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2D03D965"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8D5EBE" w:rsidRPr="008D5EBE">
        <w:rPr>
          <w:rFonts w:ascii="Tahoma" w:eastAsia="Times New Roman" w:hAnsi="Tahoma" w:cs="Tahoma"/>
          <w:b/>
          <w:bCs/>
          <w:color w:val="000000"/>
          <w:sz w:val="22"/>
          <w:szCs w:val="22"/>
          <w:lang w:val="lt-LT" w:eastAsia="lt-LT"/>
        </w:rPr>
        <w:t xml:space="preserve">KELTŲ JĖGAINIŲ IR VARIKLIŲ ATSARGINIŲ DALIŲ </w:t>
      </w:r>
      <w:r w:rsidR="00B20420"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3598880A"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8D5EBE">
        <w:rPr>
          <w:rFonts w:ascii="Tahoma" w:eastAsia="Times New Roman" w:hAnsi="Tahoma" w:cs="Tahoma"/>
          <w:sz w:val="22"/>
          <w:szCs w:val="22"/>
          <w:lang w:eastAsia="lt-LT"/>
        </w:rPr>
        <w:t>birželio</w:t>
      </w:r>
      <w:proofErr w:type="spellEnd"/>
      <w:r w:rsidR="008D5EBE">
        <w:rPr>
          <w:rFonts w:ascii="Tahoma" w:eastAsia="Times New Roman" w:hAnsi="Tahoma" w:cs="Tahoma"/>
          <w:sz w:val="22"/>
          <w:szCs w:val="22"/>
          <w:lang w:eastAsia="lt-LT"/>
        </w:rPr>
        <w:t xml:space="preserve"> 16</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21160128"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1E61C6">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keltų</w:t>
      </w:r>
      <w:proofErr w:type="spellEnd"/>
      <w:r w:rsidR="00E32E25" w:rsidRPr="00E32E25">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jėgainių</w:t>
      </w:r>
      <w:proofErr w:type="spellEnd"/>
      <w:r w:rsidR="00E32E25" w:rsidRPr="00E32E25">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ir</w:t>
      </w:r>
      <w:proofErr w:type="spellEnd"/>
      <w:r w:rsidR="00E32E25" w:rsidRPr="00E32E25">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variklių</w:t>
      </w:r>
      <w:proofErr w:type="spellEnd"/>
      <w:r w:rsidR="00E32E25" w:rsidRPr="00E32E25">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atsarginių</w:t>
      </w:r>
      <w:proofErr w:type="spellEnd"/>
      <w:r w:rsidR="00E32E25" w:rsidRPr="00E32E25">
        <w:rPr>
          <w:rFonts w:ascii="Tahoma" w:eastAsia="Times New Roman" w:hAnsi="Tahoma" w:cs="Tahoma"/>
          <w:color w:val="000000"/>
          <w:sz w:val="22"/>
          <w:szCs w:val="22"/>
          <w:lang w:eastAsia="lt-LT"/>
        </w:rPr>
        <w:t xml:space="preserve"> </w:t>
      </w:r>
      <w:proofErr w:type="spellStart"/>
      <w:r w:rsidR="00E32E25" w:rsidRPr="00E32E25">
        <w:rPr>
          <w:rFonts w:ascii="Tahoma" w:eastAsia="Times New Roman" w:hAnsi="Tahoma" w:cs="Tahoma"/>
          <w:color w:val="000000"/>
          <w:sz w:val="22"/>
          <w:szCs w:val="22"/>
          <w:lang w:eastAsia="lt-LT"/>
        </w:rPr>
        <w:t>dalių</w:t>
      </w:r>
      <w:proofErr w:type="spellEnd"/>
      <w:r w:rsidR="00E32E25">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73687F25"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E32E25">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738D58AC"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E32E25">
        <w:rPr>
          <w:rFonts w:ascii="Tahoma" w:eastAsia="Times New Roman" w:hAnsi="Tahoma" w:cs="Tahoma"/>
          <w:b/>
          <w:bCs/>
          <w:color w:val="000000"/>
          <w:sz w:val="22"/>
          <w:szCs w:val="22"/>
          <w:lang w:eastAsia="lt-LT"/>
        </w:rPr>
        <w:t>birželio</w:t>
      </w:r>
      <w:proofErr w:type="spellEnd"/>
      <w:r w:rsidR="00E32E25">
        <w:rPr>
          <w:rFonts w:ascii="Tahoma" w:eastAsia="Times New Roman" w:hAnsi="Tahoma" w:cs="Tahoma"/>
          <w:b/>
          <w:bCs/>
          <w:color w:val="000000"/>
          <w:sz w:val="22"/>
          <w:szCs w:val="22"/>
          <w:lang w:eastAsia="lt-LT"/>
        </w:rPr>
        <w:t xml:space="preserve"> 30</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1E61C6">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4317A46B"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Jei taip</w:t>
            </w:r>
            <w:r w:rsidR="00B1526C">
              <w:rPr>
                <w:rFonts w:ascii="Tahoma" w:hAnsi="Tahoma" w:cs="Tahoma"/>
              </w:rPr>
              <w:t>,</w:t>
            </w:r>
            <w:r>
              <w:rPr>
                <w:rFonts w:ascii="Tahoma" w:hAnsi="Tahoma" w:cs="Tahoma"/>
              </w:rPr>
              <w:t xml:space="preserve">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53C2A92C"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sidR="001E61C6">
              <w:rPr>
                <w:rFonts w:ascii="Tahoma" w:hAnsi="Tahoma" w:cs="Tahoma"/>
              </w:rPr>
              <w:t>v</w:t>
            </w:r>
            <w:r w:rsidR="001E61C6" w:rsidRPr="001E61C6">
              <w:rPr>
                <w:rFonts w:ascii="Tahoma" w:hAnsi="Tahoma" w:cs="Tahoma"/>
              </w:rPr>
              <w:t>is</w:t>
            </w:r>
            <w:r w:rsidR="001E61C6">
              <w:rPr>
                <w:rFonts w:ascii="Tahoma" w:hAnsi="Tahoma" w:cs="Tahoma"/>
              </w:rPr>
              <w:t>ų</w:t>
            </w:r>
            <w:r w:rsidR="001E61C6" w:rsidRPr="001E61C6">
              <w:rPr>
                <w:rFonts w:ascii="Tahoma" w:hAnsi="Tahoma" w:cs="Tahoma"/>
              </w:rPr>
              <w:t xml:space="preserve"> </w:t>
            </w:r>
            <w:r w:rsidR="00E32E25">
              <w:rPr>
                <w:rFonts w:ascii="Tahoma" w:hAnsi="Tahoma" w:cs="Tahoma"/>
              </w:rPr>
              <w:t>prekių kaina</w:t>
            </w:r>
            <w:r w:rsidRPr="00547112">
              <w:rPr>
                <w:rFonts w:ascii="Tahoma" w:hAnsi="Tahoma" w:cs="Tahoma"/>
              </w:rPr>
              <w:t>?</w:t>
            </w:r>
            <w:r w:rsidR="00E32E25">
              <w:rPr>
                <w:rFonts w:ascii="Tahoma" w:hAnsi="Tahoma" w:cs="Tahoma"/>
              </w:rPr>
              <w:t xml:space="preserve"> (informacija reikalinga pirkimo vertei nustatyti)</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549FE6CD"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w:t>
            </w:r>
            <w:r w:rsidR="00E32E25">
              <w:rPr>
                <w:rFonts w:ascii="Tahoma" w:hAnsi="Tahoma" w:cs="Tahoma"/>
              </w:rPr>
              <w:t>rekėms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6B8C6086"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ir</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sutarties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6D0770">
        <w:rPr>
          <w:rFonts w:ascii="Tahoma" w:hAnsi="Tahoma" w:cs="Tahoma"/>
          <w:b/>
          <w:sz w:val="22"/>
          <w:szCs w:val="22"/>
          <w:lang w:bidi="hi-IN"/>
        </w:rPr>
        <w:t>u</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fail</w:t>
      </w:r>
      <w:r w:rsidR="006D0770">
        <w:rPr>
          <w:rFonts w:ascii="Tahoma" w:hAnsi="Tahoma" w:cs="Tahoma"/>
          <w:b/>
          <w:sz w:val="22"/>
          <w:szCs w:val="22"/>
          <w:lang w:bidi="hi-IN"/>
        </w:rPr>
        <w:t>u</w:t>
      </w:r>
      <w:proofErr w:type="spellEnd"/>
      <w:r w:rsidR="00767571">
        <w:rPr>
          <w:rFonts w:ascii="Tahoma" w:hAnsi="Tahoma" w:cs="Tahoma"/>
          <w:b/>
          <w:sz w:val="22"/>
          <w:szCs w:val="22"/>
          <w:lang w:bidi="hi-IN"/>
        </w:rPr>
        <w:t>.</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720"/>
  <w:hyphenationZone w:val="396"/>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1C6"/>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16FDE"/>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0770"/>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5EBE"/>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1526C"/>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2E25"/>
    <w:rsid w:val="00E339D6"/>
    <w:rsid w:val="00E41B18"/>
    <w:rsid w:val="00E4224D"/>
    <w:rsid w:val="00E47AC0"/>
    <w:rsid w:val="00E501E0"/>
    <w:rsid w:val="00E51EB3"/>
    <w:rsid w:val="00E54352"/>
    <w:rsid w:val="00E60716"/>
    <w:rsid w:val="00E64739"/>
    <w:rsid w:val="00E664C1"/>
    <w:rsid w:val="00E667D0"/>
    <w:rsid w:val="00E72457"/>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2143</Words>
  <Characters>1222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35</cp:revision>
  <cp:lastPrinted>2017-12-08T06:39:00Z</cp:lastPrinted>
  <dcterms:created xsi:type="dcterms:W3CDTF">2024-01-17T09:35:00Z</dcterms:created>
  <dcterms:modified xsi:type="dcterms:W3CDTF">2025-06-16T11:24:00Z</dcterms:modified>
</cp:coreProperties>
</file>