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F9AE" w14:textId="77777777" w:rsidR="00940552" w:rsidRPr="006E3DFF" w:rsidRDefault="00940552" w:rsidP="00F762BB">
      <w:pPr>
        <w:keepNext/>
        <w:keepLines/>
        <w:spacing w:before="120"/>
        <w:ind w:left="5103"/>
        <w:jc w:val="right"/>
        <w:outlineLvl w:val="1"/>
        <w:rPr>
          <w:rFonts w:asciiTheme="minorHAnsi" w:eastAsia="Calibri" w:hAnsiTheme="minorHAnsi" w:cstheme="minorHAnsi"/>
          <w:b/>
        </w:rPr>
      </w:pPr>
      <w:bookmarkStart w:id="0" w:name="_Ref38291223"/>
      <w:bookmarkStart w:id="1" w:name="_Ref38291334"/>
      <w:bookmarkStart w:id="2" w:name="_Ref38533412"/>
      <w:bookmarkStart w:id="3" w:name="_Toc124404959"/>
      <w:r w:rsidRPr="006E3DFF">
        <w:rPr>
          <w:rFonts w:asciiTheme="minorHAnsi" w:eastAsia="Calibri" w:hAnsiTheme="minorHAnsi" w:cstheme="minorHAnsi"/>
          <w:b/>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781BD809" w14:textId="1C080E1F" w:rsidR="008B6454" w:rsidRPr="00B02A01" w:rsidRDefault="008B6454" w:rsidP="00A362ED">
      <w:pPr>
        <w:contextualSpacing/>
        <w:jc w:val="center"/>
        <w:rPr>
          <w:rFonts w:cstheme="minorHAnsi"/>
          <w:b/>
          <w:sz w:val="32"/>
          <w:szCs w:val="32"/>
        </w:rPr>
      </w:pPr>
      <w:r w:rsidRPr="00B02A01">
        <w:rPr>
          <w:rFonts w:cstheme="minorHAnsi"/>
          <w:b/>
          <w:bCs/>
          <w:sz w:val="32"/>
          <w:szCs w:val="32"/>
        </w:rPr>
        <w:t>„</w:t>
      </w:r>
      <w:r w:rsidR="005329E3" w:rsidRPr="005329E3">
        <w:rPr>
          <w:b/>
          <w:sz w:val="32"/>
          <w:szCs w:val="32"/>
        </w:rPr>
        <w:t>Duomenų perdavimo paslaugos</w:t>
      </w:r>
      <w:r w:rsidRPr="00B02A01">
        <w:rPr>
          <w:rFonts w:cstheme="minorHAnsi"/>
          <w:b/>
          <w:bCs/>
          <w:sz w:val="32"/>
          <w:szCs w:val="32"/>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w:t>
            </w:r>
            <w:r w:rsidRPr="0045180C">
              <w:rPr>
                <w:sz w:val="22"/>
                <w:szCs w:val="22"/>
              </w:rPr>
              <w:lastRenderedPageBreak/>
              <w:t xml:space="preserve">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lastRenderedPageBreak/>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350FA33" w14:textId="7575C164" w:rsidR="00C636E9" w:rsidRPr="0045180C" w:rsidRDefault="003E5E4F" w:rsidP="00CE2C30">
      <w:pPr>
        <w:jc w:val="center"/>
        <w:rPr>
          <w:b/>
          <w:sz w:val="22"/>
          <w:szCs w:val="22"/>
        </w:rPr>
      </w:pPr>
      <w:bookmarkStart w:id="6" w:name="_Hlk8377959"/>
      <w:bookmarkStart w:id="7" w:name="_Hlk96519690"/>
      <w:r w:rsidRPr="0045180C">
        <w:rPr>
          <w:b/>
          <w:sz w:val="22"/>
          <w:szCs w:val="22"/>
        </w:rPr>
        <w:t xml:space="preserve">3. </w:t>
      </w:r>
      <w:bookmarkEnd w:id="6"/>
      <w:r w:rsidR="00CE2C30" w:rsidRPr="0045180C">
        <w:rPr>
          <w:b/>
          <w:sz w:val="22"/>
          <w:szCs w:val="22"/>
        </w:rPr>
        <w:t xml:space="preserve">PASIŪLYMO KAINA </w:t>
      </w:r>
      <w:r w:rsidR="00CE2C30">
        <w:rPr>
          <w:b/>
          <w:sz w:val="22"/>
          <w:szCs w:val="22"/>
        </w:rPr>
        <w:t>IR SIŪLOMOS TECHNINĖS CHARAKTERISTIKOS</w:t>
      </w:r>
    </w:p>
    <w:p w14:paraId="0C8D49B8" w14:textId="77777777" w:rsidR="00AF2FDD" w:rsidRPr="0045180C" w:rsidRDefault="00AF2FDD" w:rsidP="00AF2FDD">
      <w:pPr>
        <w:jc w:val="both"/>
        <w:rPr>
          <w:b/>
          <w:sz w:val="22"/>
          <w:szCs w:val="22"/>
        </w:rPr>
      </w:pPr>
    </w:p>
    <w:p w14:paraId="2351DCEE" w14:textId="0130140E" w:rsidR="00AF2FDD" w:rsidRDefault="00AF2FDD" w:rsidP="00AF2FDD">
      <w:pPr>
        <w:jc w:val="both"/>
        <w:rPr>
          <w:sz w:val="22"/>
          <w:szCs w:val="22"/>
        </w:rPr>
      </w:pPr>
      <w:r w:rsidRPr="0045180C">
        <w:rPr>
          <w:sz w:val="22"/>
          <w:szCs w:val="22"/>
        </w:rPr>
        <w:t>3.1. Pasiūlymo kaina nurodoma eurais užpildant pateikt</w:t>
      </w:r>
      <w:r w:rsidR="00EC3336">
        <w:rPr>
          <w:sz w:val="22"/>
          <w:szCs w:val="22"/>
        </w:rPr>
        <w:t>ą</w:t>
      </w:r>
      <w:r w:rsidRPr="0045180C">
        <w:rPr>
          <w:sz w:val="22"/>
          <w:szCs w:val="22"/>
        </w:rPr>
        <w:t xml:space="preserve"> </w:t>
      </w:r>
      <w:hyperlink r:id="rId11" w:history="1">
        <w:r w:rsidRPr="0045180C">
          <w:rPr>
            <w:rStyle w:val="Hyperlink"/>
            <w:sz w:val="22"/>
            <w:szCs w:val="22"/>
          </w:rPr>
          <w:t>lentel</w:t>
        </w:r>
      </w:hyperlink>
      <w:r w:rsidR="00EC3336">
        <w:rPr>
          <w:rStyle w:val="Hyperlink"/>
          <w:sz w:val="22"/>
          <w:szCs w:val="22"/>
        </w:rPr>
        <w:t>ę</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 xml:space="preserve">visai </w:t>
      </w:r>
      <w:r w:rsidR="00A511E1">
        <w:rPr>
          <w:sz w:val="22"/>
          <w:szCs w:val="22"/>
        </w:rPr>
        <w:t xml:space="preserve">pirkimo dalies </w:t>
      </w:r>
      <w:r w:rsidRPr="0045180C">
        <w:rPr>
          <w:sz w:val="22"/>
          <w:szCs w:val="22"/>
        </w:rPr>
        <w:t>lentelėje nurodytai apimčiai, nestambinant jos plačiau ar neskaidant jos smulkiau:</w:t>
      </w:r>
    </w:p>
    <w:p w14:paraId="2C7E003B" w14:textId="77777777" w:rsidR="0015438F" w:rsidRDefault="0015438F" w:rsidP="00AF2FDD">
      <w:pPr>
        <w:jc w:val="both"/>
        <w:rPr>
          <w:sz w:val="22"/>
          <w:szCs w:val="22"/>
        </w:rPr>
      </w:pPr>
    </w:p>
    <w:p w14:paraId="5DDFD964" w14:textId="65850936" w:rsidR="009917EF" w:rsidRPr="009917EF" w:rsidRDefault="0015438F" w:rsidP="00E115CF">
      <w:pPr>
        <w:ind w:left="-709" w:firstLine="709"/>
      </w:pPr>
      <w:r w:rsidRPr="0015438F">
        <w:rPr>
          <w:rFonts w:eastAsia="Batang"/>
          <w:b/>
          <w:bCs/>
          <w:color w:val="000000"/>
        </w:rPr>
        <w:t>1 Pirkimo dalis:</w:t>
      </w:r>
      <w:r w:rsidRPr="0015438F">
        <w:rPr>
          <w:b/>
          <w:bCs/>
          <w:color w:val="000000" w:themeColor="text1"/>
        </w:rPr>
        <w:t xml:space="preserve"> </w:t>
      </w:r>
      <w:r w:rsidR="009917EF" w:rsidRPr="009917EF">
        <w:rPr>
          <w:b/>
        </w:rPr>
        <w:t>Duomenų perdavimo paslaugos tarp LITNET mazgų</w:t>
      </w:r>
    </w:p>
    <w:p w14:paraId="3D967359" w14:textId="4FD3FC0A" w:rsidR="0015438F" w:rsidRDefault="0015438F" w:rsidP="00AF2FDD">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3561"/>
        <w:gridCol w:w="1714"/>
        <w:gridCol w:w="1716"/>
        <w:gridCol w:w="1714"/>
      </w:tblGrid>
      <w:tr w:rsidR="00E55856" w:rsidRPr="00C20E7C" w14:paraId="5580D1D1" w14:textId="77777777" w:rsidTr="00E55856">
        <w:tc>
          <w:tcPr>
            <w:tcW w:w="480" w:type="pct"/>
            <w:vMerge w:val="restart"/>
            <w:vAlign w:val="center"/>
          </w:tcPr>
          <w:p w14:paraId="515FC260" w14:textId="0BD68E35" w:rsidR="00E55856" w:rsidRPr="00C20E7C" w:rsidRDefault="00124E7A" w:rsidP="00C20E7C">
            <w:pPr>
              <w:widowControl w:val="0"/>
              <w:tabs>
                <w:tab w:val="left" w:pos="720"/>
              </w:tabs>
              <w:spacing w:after="20"/>
              <w:jc w:val="center"/>
              <w:rPr>
                <w:rFonts w:eastAsia="Calibri"/>
                <w:noProof/>
                <w:sz w:val="20"/>
                <w:szCs w:val="20"/>
              </w:rPr>
            </w:pPr>
            <w:r>
              <w:rPr>
                <w:rFonts w:eastAsia="Calibri"/>
                <w:noProof/>
                <w:sz w:val="20"/>
                <w:szCs w:val="20"/>
              </w:rPr>
              <w:t xml:space="preserve">Eilės </w:t>
            </w:r>
            <w:r w:rsidR="00E55856" w:rsidRPr="00C20E7C">
              <w:rPr>
                <w:rFonts w:eastAsia="Calibri"/>
                <w:noProof/>
                <w:sz w:val="20"/>
                <w:szCs w:val="20"/>
              </w:rPr>
              <w:t>Nr.</w:t>
            </w:r>
          </w:p>
        </w:tc>
        <w:tc>
          <w:tcPr>
            <w:tcW w:w="1849" w:type="pct"/>
            <w:vMerge w:val="restart"/>
            <w:vAlign w:val="center"/>
          </w:tcPr>
          <w:p w14:paraId="61B0B789" w14:textId="0EF07A2B" w:rsidR="00E55856" w:rsidRPr="00C20E7C" w:rsidRDefault="00E55856" w:rsidP="00C20E7C">
            <w:pPr>
              <w:widowControl w:val="0"/>
              <w:tabs>
                <w:tab w:val="left" w:pos="720"/>
              </w:tabs>
              <w:spacing w:after="20"/>
              <w:jc w:val="center"/>
              <w:rPr>
                <w:rFonts w:eastAsia="Calibri"/>
                <w:noProof/>
                <w:color w:val="000000"/>
                <w:sz w:val="20"/>
                <w:szCs w:val="20"/>
              </w:rPr>
            </w:pPr>
            <w:r w:rsidRPr="00C20E7C">
              <w:rPr>
                <w:rFonts w:eastAsia="Calibri"/>
                <w:noProof/>
                <w:color w:val="000000"/>
                <w:sz w:val="20"/>
                <w:szCs w:val="20"/>
              </w:rPr>
              <w:t>Paslaugos pavadinimas</w:t>
            </w:r>
            <w:r w:rsidRPr="00C20E7C">
              <w:rPr>
                <w:sz w:val="22"/>
                <w:szCs w:val="22"/>
              </w:rPr>
              <w:t xml:space="preserve"> </w:t>
            </w:r>
          </w:p>
        </w:tc>
        <w:tc>
          <w:tcPr>
            <w:tcW w:w="890" w:type="pct"/>
            <w:vAlign w:val="center"/>
          </w:tcPr>
          <w:p w14:paraId="2308AA5B" w14:textId="77777777" w:rsidR="00E55856" w:rsidRPr="00C20E7C" w:rsidRDefault="00E55856" w:rsidP="00C20E7C">
            <w:pPr>
              <w:widowControl w:val="0"/>
              <w:tabs>
                <w:tab w:val="left" w:pos="720"/>
              </w:tabs>
              <w:spacing w:after="20"/>
              <w:jc w:val="center"/>
              <w:rPr>
                <w:rFonts w:eastAsia="Calibri"/>
                <w:noProof/>
                <w:sz w:val="20"/>
                <w:szCs w:val="20"/>
              </w:rPr>
            </w:pPr>
            <w:r w:rsidRPr="00C20E7C">
              <w:rPr>
                <w:rFonts w:eastAsia="Calibri"/>
                <w:noProof/>
                <w:sz w:val="20"/>
                <w:szCs w:val="20"/>
              </w:rPr>
              <w:t>Segmento įrengimo kaina, Eur. be PVM</w:t>
            </w:r>
          </w:p>
        </w:tc>
        <w:tc>
          <w:tcPr>
            <w:tcW w:w="891" w:type="pct"/>
            <w:vAlign w:val="center"/>
          </w:tcPr>
          <w:p w14:paraId="1E7C3768" w14:textId="77777777" w:rsidR="00E55856" w:rsidRPr="00C20E7C" w:rsidRDefault="00E55856" w:rsidP="00C20E7C">
            <w:pPr>
              <w:widowControl w:val="0"/>
              <w:tabs>
                <w:tab w:val="left" w:pos="720"/>
              </w:tabs>
              <w:spacing w:after="20"/>
              <w:jc w:val="center"/>
              <w:rPr>
                <w:rFonts w:eastAsia="Calibri"/>
                <w:noProof/>
                <w:sz w:val="20"/>
                <w:szCs w:val="20"/>
              </w:rPr>
            </w:pPr>
            <w:r w:rsidRPr="00C20E7C">
              <w:rPr>
                <w:rFonts w:eastAsia="Calibri"/>
                <w:noProof/>
                <w:sz w:val="20"/>
                <w:szCs w:val="20"/>
              </w:rPr>
              <w:t>Segmento mėnesinė kaina, Eur. be PVM</w:t>
            </w:r>
          </w:p>
        </w:tc>
        <w:tc>
          <w:tcPr>
            <w:tcW w:w="890" w:type="pct"/>
            <w:vAlign w:val="center"/>
          </w:tcPr>
          <w:p w14:paraId="1E665C29" w14:textId="539B5663" w:rsidR="00E55856" w:rsidRPr="00C20E7C" w:rsidRDefault="00E55856" w:rsidP="00C20E7C">
            <w:pPr>
              <w:widowControl w:val="0"/>
              <w:tabs>
                <w:tab w:val="left" w:pos="720"/>
              </w:tabs>
              <w:spacing w:after="20"/>
              <w:jc w:val="center"/>
              <w:rPr>
                <w:sz w:val="20"/>
                <w:szCs w:val="20"/>
                <w:lang w:val="fi-FI"/>
              </w:rPr>
            </w:pPr>
            <w:r w:rsidRPr="00C20E7C">
              <w:rPr>
                <w:sz w:val="20"/>
                <w:szCs w:val="20"/>
                <w:lang w:val="fi-FI"/>
              </w:rPr>
              <w:t>Bendra pasiūlymo segmento kaina Eur. (</w:t>
            </w:r>
            <w:r>
              <w:rPr>
                <w:sz w:val="20"/>
                <w:szCs w:val="20"/>
                <w:lang w:val="fi-FI"/>
              </w:rPr>
              <w:t>be</w:t>
            </w:r>
            <w:r w:rsidRPr="00C20E7C">
              <w:rPr>
                <w:sz w:val="20"/>
                <w:szCs w:val="20"/>
                <w:lang w:val="fi-FI"/>
              </w:rPr>
              <w:t xml:space="preserve"> PVM)</w:t>
            </w:r>
          </w:p>
          <w:p w14:paraId="57EA6064" w14:textId="5BE2D3F9" w:rsidR="00E55856" w:rsidRPr="00C20E7C" w:rsidRDefault="00E55856" w:rsidP="00C20E7C">
            <w:pPr>
              <w:widowControl w:val="0"/>
              <w:tabs>
                <w:tab w:val="left" w:pos="720"/>
              </w:tabs>
              <w:spacing w:after="20"/>
              <w:jc w:val="center"/>
              <w:rPr>
                <w:rFonts w:eastAsia="Calibri"/>
                <w:noProof/>
                <w:sz w:val="20"/>
                <w:szCs w:val="20"/>
              </w:rPr>
            </w:pPr>
            <w:r w:rsidRPr="00C20E7C">
              <w:rPr>
                <w:rFonts w:eastAsia="Calibri"/>
                <w:noProof/>
                <w:sz w:val="20"/>
                <w:szCs w:val="20"/>
              </w:rPr>
              <w:t>#3= 1+#2*35</w:t>
            </w:r>
          </w:p>
        </w:tc>
      </w:tr>
      <w:tr w:rsidR="00E55856" w:rsidRPr="00C20E7C" w14:paraId="3FCEA48F" w14:textId="77777777" w:rsidTr="00E55856">
        <w:tc>
          <w:tcPr>
            <w:tcW w:w="480" w:type="pct"/>
            <w:vMerge/>
          </w:tcPr>
          <w:p w14:paraId="49FE1192" w14:textId="77777777" w:rsidR="00E55856" w:rsidRPr="00C20E7C" w:rsidRDefault="00E55856" w:rsidP="00C20E7C">
            <w:pPr>
              <w:widowControl w:val="0"/>
              <w:tabs>
                <w:tab w:val="left" w:pos="720"/>
              </w:tabs>
              <w:spacing w:after="20"/>
              <w:jc w:val="center"/>
              <w:rPr>
                <w:rFonts w:eastAsia="Calibri"/>
                <w:noProof/>
                <w:sz w:val="20"/>
                <w:szCs w:val="20"/>
              </w:rPr>
            </w:pPr>
          </w:p>
        </w:tc>
        <w:tc>
          <w:tcPr>
            <w:tcW w:w="1849" w:type="pct"/>
            <w:vMerge/>
            <w:tcBorders>
              <w:bottom w:val="single" w:sz="4" w:space="0" w:color="auto"/>
            </w:tcBorders>
            <w:shd w:val="clear" w:color="auto" w:fill="auto"/>
            <w:vAlign w:val="bottom"/>
          </w:tcPr>
          <w:p w14:paraId="32F4F54B" w14:textId="77777777" w:rsidR="00E55856" w:rsidRPr="00C20E7C" w:rsidRDefault="00E55856" w:rsidP="00C20E7C">
            <w:pPr>
              <w:widowControl w:val="0"/>
              <w:tabs>
                <w:tab w:val="left" w:pos="720"/>
              </w:tabs>
              <w:spacing w:after="20"/>
              <w:rPr>
                <w:rFonts w:eastAsia="Calibri"/>
                <w:noProof/>
                <w:sz w:val="20"/>
                <w:szCs w:val="20"/>
                <w:lang w:val="en-US"/>
              </w:rPr>
            </w:pPr>
          </w:p>
        </w:tc>
        <w:tc>
          <w:tcPr>
            <w:tcW w:w="890" w:type="pct"/>
          </w:tcPr>
          <w:p w14:paraId="286AC3F7" w14:textId="77777777" w:rsidR="00E55856" w:rsidRPr="00C20E7C" w:rsidRDefault="00E55856" w:rsidP="00C20E7C">
            <w:pPr>
              <w:widowControl w:val="0"/>
              <w:tabs>
                <w:tab w:val="left" w:pos="720"/>
              </w:tabs>
              <w:spacing w:after="20"/>
              <w:jc w:val="center"/>
              <w:rPr>
                <w:rFonts w:eastAsia="Calibri"/>
                <w:noProof/>
                <w:sz w:val="20"/>
                <w:szCs w:val="20"/>
              </w:rPr>
            </w:pPr>
            <w:r w:rsidRPr="00C20E7C">
              <w:rPr>
                <w:rFonts w:eastAsia="Calibri"/>
                <w:noProof/>
                <w:sz w:val="20"/>
                <w:szCs w:val="20"/>
              </w:rPr>
              <w:t>1</w:t>
            </w:r>
          </w:p>
        </w:tc>
        <w:tc>
          <w:tcPr>
            <w:tcW w:w="891" w:type="pct"/>
          </w:tcPr>
          <w:p w14:paraId="22EC9F4B" w14:textId="77777777" w:rsidR="00E55856" w:rsidRPr="00C20E7C" w:rsidRDefault="00E55856" w:rsidP="00C20E7C">
            <w:pPr>
              <w:widowControl w:val="0"/>
              <w:tabs>
                <w:tab w:val="left" w:pos="720"/>
              </w:tabs>
              <w:spacing w:after="20"/>
              <w:jc w:val="center"/>
              <w:rPr>
                <w:rFonts w:eastAsia="Calibri"/>
                <w:noProof/>
                <w:sz w:val="20"/>
                <w:szCs w:val="20"/>
              </w:rPr>
            </w:pPr>
            <w:r w:rsidRPr="00C20E7C">
              <w:rPr>
                <w:rFonts w:eastAsia="Calibri"/>
                <w:noProof/>
                <w:sz w:val="20"/>
                <w:szCs w:val="20"/>
              </w:rPr>
              <w:t>2</w:t>
            </w:r>
          </w:p>
        </w:tc>
        <w:tc>
          <w:tcPr>
            <w:tcW w:w="890" w:type="pct"/>
          </w:tcPr>
          <w:p w14:paraId="6AA7BB70" w14:textId="77777777" w:rsidR="00E55856" w:rsidRPr="00C20E7C" w:rsidRDefault="00E55856" w:rsidP="00C20E7C">
            <w:pPr>
              <w:widowControl w:val="0"/>
              <w:tabs>
                <w:tab w:val="left" w:pos="720"/>
              </w:tabs>
              <w:spacing w:after="20"/>
              <w:jc w:val="center"/>
              <w:rPr>
                <w:rFonts w:eastAsia="Calibri"/>
                <w:noProof/>
                <w:sz w:val="20"/>
                <w:szCs w:val="20"/>
              </w:rPr>
            </w:pPr>
            <w:r w:rsidRPr="00C20E7C">
              <w:rPr>
                <w:rFonts w:eastAsia="Calibri"/>
                <w:noProof/>
                <w:sz w:val="20"/>
                <w:szCs w:val="20"/>
              </w:rPr>
              <w:t>3</w:t>
            </w:r>
          </w:p>
        </w:tc>
      </w:tr>
      <w:tr w:rsidR="00D5334F" w:rsidRPr="00C20E7C" w14:paraId="3AEB4CA4" w14:textId="77777777" w:rsidTr="00E55856">
        <w:tc>
          <w:tcPr>
            <w:tcW w:w="480" w:type="pct"/>
          </w:tcPr>
          <w:p w14:paraId="758BD8DD" w14:textId="77777777" w:rsidR="00D5334F" w:rsidRPr="00C20E7C" w:rsidRDefault="00D5334F" w:rsidP="00C20E7C">
            <w:pPr>
              <w:widowControl w:val="0"/>
              <w:tabs>
                <w:tab w:val="left" w:pos="720"/>
              </w:tabs>
              <w:spacing w:after="20"/>
              <w:jc w:val="center"/>
              <w:rPr>
                <w:rFonts w:eastAsia="Calibri"/>
                <w:noProof/>
                <w:sz w:val="20"/>
                <w:szCs w:val="20"/>
              </w:rPr>
            </w:pPr>
            <w:r w:rsidRPr="00C20E7C">
              <w:rPr>
                <w:rFonts w:eastAsia="Calibri"/>
                <w:noProof/>
                <w:sz w:val="20"/>
                <w:szCs w:val="20"/>
              </w:rPr>
              <w:t>1</w:t>
            </w:r>
          </w:p>
        </w:tc>
        <w:tc>
          <w:tcPr>
            <w:tcW w:w="1849" w:type="pct"/>
            <w:tcBorders>
              <w:top w:val="single" w:sz="4" w:space="0" w:color="auto"/>
              <w:left w:val="nil"/>
              <w:bottom w:val="single" w:sz="4" w:space="0" w:color="auto"/>
              <w:right w:val="single" w:sz="4" w:space="0" w:color="auto"/>
            </w:tcBorders>
            <w:shd w:val="clear" w:color="auto" w:fill="auto"/>
            <w:vAlign w:val="bottom"/>
          </w:tcPr>
          <w:p w14:paraId="110B8B1A" w14:textId="77777777" w:rsidR="00D5334F" w:rsidRPr="00C20E7C" w:rsidRDefault="00D5334F" w:rsidP="00C20E7C">
            <w:pPr>
              <w:widowControl w:val="0"/>
              <w:tabs>
                <w:tab w:val="left" w:pos="720"/>
              </w:tabs>
              <w:spacing w:after="20"/>
              <w:rPr>
                <w:rFonts w:eastAsia="Calibri"/>
                <w:noProof/>
                <w:sz w:val="20"/>
                <w:szCs w:val="20"/>
                <w:lang w:val="en-US"/>
              </w:rPr>
            </w:pPr>
            <w:r w:rsidRPr="00C20E7C">
              <w:rPr>
                <w:rFonts w:eastAsia="Calibri"/>
                <w:noProof/>
                <w:sz w:val="20"/>
                <w:szCs w:val="20"/>
                <w:lang w:val="en-US"/>
              </w:rPr>
              <w:t>Alytaus kolegija,</w:t>
            </w:r>
            <w:r w:rsidRPr="00C20E7C">
              <w:rPr>
                <w:sz w:val="22"/>
                <w:szCs w:val="22"/>
              </w:rPr>
              <w:t xml:space="preserve"> </w:t>
            </w:r>
            <w:r w:rsidRPr="00C20E7C">
              <w:rPr>
                <w:rFonts w:eastAsia="Calibri"/>
                <w:noProof/>
                <w:sz w:val="20"/>
                <w:szCs w:val="20"/>
                <w:lang w:val="en-US"/>
              </w:rPr>
              <w:t>Ligoninės 1c, Alytus</w:t>
            </w:r>
          </w:p>
        </w:tc>
        <w:tc>
          <w:tcPr>
            <w:tcW w:w="890" w:type="pct"/>
          </w:tcPr>
          <w:p w14:paraId="047EFE83" w14:textId="77777777" w:rsidR="00D5334F" w:rsidRPr="00C20E7C" w:rsidRDefault="00D5334F" w:rsidP="00C20E7C">
            <w:pPr>
              <w:widowControl w:val="0"/>
              <w:tabs>
                <w:tab w:val="left" w:pos="720"/>
              </w:tabs>
              <w:spacing w:after="20"/>
              <w:jc w:val="center"/>
              <w:rPr>
                <w:rFonts w:eastAsia="Calibri"/>
                <w:noProof/>
                <w:sz w:val="20"/>
                <w:szCs w:val="20"/>
              </w:rPr>
            </w:pPr>
          </w:p>
        </w:tc>
        <w:tc>
          <w:tcPr>
            <w:tcW w:w="891" w:type="pct"/>
          </w:tcPr>
          <w:p w14:paraId="16F69F1E" w14:textId="77777777" w:rsidR="00D5334F" w:rsidRPr="00C20E7C" w:rsidRDefault="00D5334F" w:rsidP="00C20E7C">
            <w:pPr>
              <w:widowControl w:val="0"/>
              <w:tabs>
                <w:tab w:val="left" w:pos="720"/>
              </w:tabs>
              <w:spacing w:after="20"/>
              <w:jc w:val="center"/>
              <w:rPr>
                <w:rFonts w:eastAsia="Calibri"/>
                <w:noProof/>
                <w:sz w:val="20"/>
                <w:szCs w:val="20"/>
              </w:rPr>
            </w:pPr>
          </w:p>
        </w:tc>
        <w:tc>
          <w:tcPr>
            <w:tcW w:w="890" w:type="pct"/>
          </w:tcPr>
          <w:p w14:paraId="0E42FCDC" w14:textId="77777777" w:rsidR="00D5334F" w:rsidRPr="00C20E7C" w:rsidRDefault="00D5334F" w:rsidP="00C20E7C">
            <w:pPr>
              <w:widowControl w:val="0"/>
              <w:tabs>
                <w:tab w:val="left" w:pos="720"/>
              </w:tabs>
              <w:spacing w:after="20"/>
              <w:jc w:val="center"/>
              <w:rPr>
                <w:rFonts w:eastAsia="Calibri"/>
                <w:noProof/>
                <w:sz w:val="20"/>
                <w:szCs w:val="20"/>
              </w:rPr>
            </w:pPr>
          </w:p>
        </w:tc>
      </w:tr>
      <w:tr w:rsidR="00D5334F" w:rsidRPr="00C20E7C" w14:paraId="09FD1106" w14:textId="77777777" w:rsidTr="00E55856">
        <w:tc>
          <w:tcPr>
            <w:tcW w:w="480" w:type="pct"/>
          </w:tcPr>
          <w:p w14:paraId="6FE8010F" w14:textId="77777777" w:rsidR="00D5334F" w:rsidRPr="00C20E7C" w:rsidRDefault="00D5334F" w:rsidP="00C20E7C">
            <w:pPr>
              <w:widowControl w:val="0"/>
              <w:tabs>
                <w:tab w:val="left" w:pos="720"/>
              </w:tabs>
              <w:spacing w:after="20"/>
              <w:jc w:val="center"/>
              <w:rPr>
                <w:rFonts w:eastAsia="Calibri"/>
                <w:noProof/>
                <w:sz w:val="20"/>
                <w:szCs w:val="20"/>
              </w:rPr>
            </w:pPr>
            <w:r w:rsidRPr="00C20E7C">
              <w:rPr>
                <w:rFonts w:eastAsia="Calibri"/>
                <w:noProof/>
                <w:sz w:val="20"/>
                <w:szCs w:val="20"/>
              </w:rPr>
              <w:t>2</w:t>
            </w:r>
          </w:p>
        </w:tc>
        <w:tc>
          <w:tcPr>
            <w:tcW w:w="1849" w:type="pct"/>
            <w:tcBorders>
              <w:top w:val="single" w:sz="4" w:space="0" w:color="auto"/>
              <w:left w:val="nil"/>
              <w:bottom w:val="single" w:sz="4" w:space="0" w:color="auto"/>
              <w:right w:val="single" w:sz="4" w:space="0" w:color="auto"/>
            </w:tcBorders>
            <w:shd w:val="clear" w:color="auto" w:fill="auto"/>
            <w:vAlign w:val="bottom"/>
          </w:tcPr>
          <w:p w14:paraId="327D9DED" w14:textId="77777777" w:rsidR="00D5334F" w:rsidRPr="00C20E7C" w:rsidRDefault="00D5334F" w:rsidP="00C20E7C">
            <w:pPr>
              <w:widowControl w:val="0"/>
              <w:tabs>
                <w:tab w:val="left" w:pos="720"/>
              </w:tabs>
              <w:spacing w:after="20"/>
              <w:rPr>
                <w:sz w:val="20"/>
                <w:szCs w:val="20"/>
              </w:rPr>
            </w:pPr>
            <w:r w:rsidRPr="00C20E7C">
              <w:rPr>
                <w:sz w:val="20"/>
                <w:szCs w:val="20"/>
              </w:rPr>
              <w:t>Kėdainių rajono savivaldybė,</w:t>
            </w:r>
            <w:r w:rsidRPr="00C20E7C">
              <w:rPr>
                <w:sz w:val="22"/>
                <w:szCs w:val="22"/>
              </w:rPr>
              <w:t xml:space="preserve"> </w:t>
            </w:r>
            <w:r w:rsidRPr="00C20E7C">
              <w:rPr>
                <w:sz w:val="20"/>
                <w:szCs w:val="20"/>
              </w:rPr>
              <w:t>Basanavičiaus g. 36, Kėdainiai</w:t>
            </w:r>
          </w:p>
        </w:tc>
        <w:tc>
          <w:tcPr>
            <w:tcW w:w="890" w:type="pct"/>
          </w:tcPr>
          <w:p w14:paraId="2D61DF23" w14:textId="77777777" w:rsidR="00D5334F" w:rsidRPr="00C20E7C" w:rsidRDefault="00D5334F" w:rsidP="00C20E7C">
            <w:pPr>
              <w:widowControl w:val="0"/>
              <w:tabs>
                <w:tab w:val="left" w:pos="720"/>
              </w:tabs>
              <w:spacing w:after="20"/>
              <w:jc w:val="center"/>
              <w:rPr>
                <w:rFonts w:eastAsia="Calibri"/>
                <w:noProof/>
                <w:sz w:val="20"/>
                <w:szCs w:val="20"/>
              </w:rPr>
            </w:pPr>
          </w:p>
        </w:tc>
        <w:tc>
          <w:tcPr>
            <w:tcW w:w="891" w:type="pct"/>
          </w:tcPr>
          <w:p w14:paraId="1EBA1650" w14:textId="77777777" w:rsidR="00D5334F" w:rsidRPr="00C20E7C" w:rsidRDefault="00D5334F" w:rsidP="00C20E7C">
            <w:pPr>
              <w:widowControl w:val="0"/>
              <w:tabs>
                <w:tab w:val="left" w:pos="720"/>
              </w:tabs>
              <w:spacing w:after="20"/>
              <w:jc w:val="center"/>
              <w:rPr>
                <w:rFonts w:eastAsia="Calibri"/>
                <w:noProof/>
                <w:sz w:val="20"/>
                <w:szCs w:val="20"/>
              </w:rPr>
            </w:pPr>
          </w:p>
        </w:tc>
        <w:tc>
          <w:tcPr>
            <w:tcW w:w="890" w:type="pct"/>
          </w:tcPr>
          <w:p w14:paraId="63F6B14F" w14:textId="77777777" w:rsidR="00D5334F" w:rsidRPr="00C20E7C" w:rsidRDefault="00D5334F" w:rsidP="00C20E7C">
            <w:pPr>
              <w:widowControl w:val="0"/>
              <w:tabs>
                <w:tab w:val="left" w:pos="720"/>
              </w:tabs>
              <w:spacing w:after="20"/>
              <w:jc w:val="center"/>
              <w:rPr>
                <w:rFonts w:eastAsia="Calibri"/>
                <w:noProof/>
                <w:sz w:val="20"/>
                <w:szCs w:val="20"/>
              </w:rPr>
            </w:pPr>
          </w:p>
        </w:tc>
      </w:tr>
      <w:tr w:rsidR="00680EDD" w:rsidRPr="00C20E7C" w14:paraId="472099A0" w14:textId="77777777" w:rsidTr="00CD6D06">
        <w:tc>
          <w:tcPr>
            <w:tcW w:w="480" w:type="pct"/>
            <w:shd w:val="clear" w:color="auto" w:fill="FFFF00"/>
          </w:tcPr>
          <w:p w14:paraId="4C82C72E" w14:textId="77777777" w:rsidR="00680EDD" w:rsidRPr="00C20E7C" w:rsidRDefault="00680EDD" w:rsidP="00680EDD">
            <w:pPr>
              <w:widowControl w:val="0"/>
              <w:tabs>
                <w:tab w:val="left" w:pos="720"/>
              </w:tabs>
              <w:spacing w:after="20"/>
              <w:jc w:val="center"/>
              <w:rPr>
                <w:rFonts w:eastAsia="Calibri"/>
                <w:noProof/>
                <w:sz w:val="20"/>
                <w:szCs w:val="20"/>
              </w:rPr>
            </w:pPr>
            <w:r w:rsidRPr="00C20E7C">
              <w:rPr>
                <w:rFonts w:eastAsia="Calibri"/>
                <w:noProof/>
                <w:sz w:val="20"/>
                <w:szCs w:val="20"/>
              </w:rPr>
              <w:t>3</w:t>
            </w:r>
          </w:p>
        </w:tc>
        <w:tc>
          <w:tcPr>
            <w:tcW w:w="1849" w:type="pct"/>
            <w:tcBorders>
              <w:top w:val="single" w:sz="4" w:space="0" w:color="auto"/>
              <w:left w:val="nil"/>
              <w:bottom w:val="single" w:sz="4" w:space="0" w:color="auto"/>
              <w:right w:val="single" w:sz="4" w:space="0" w:color="auto"/>
            </w:tcBorders>
            <w:shd w:val="clear" w:color="auto" w:fill="FFFF00"/>
            <w:vAlign w:val="center"/>
          </w:tcPr>
          <w:p w14:paraId="3D12D7AF" w14:textId="77777777" w:rsidR="00680EDD" w:rsidRPr="00B50BBC" w:rsidRDefault="00680EDD" w:rsidP="00680EDD">
            <w:pPr>
              <w:rPr>
                <w:sz w:val="19"/>
                <w:szCs w:val="19"/>
              </w:rPr>
            </w:pPr>
            <w:r>
              <w:rPr>
                <w:sz w:val="19"/>
                <w:szCs w:val="19"/>
              </w:rPr>
              <w:t>Marijampolės savivaldybė</w:t>
            </w:r>
            <w:r w:rsidRPr="00B50BBC">
              <w:rPr>
                <w:sz w:val="19"/>
                <w:szCs w:val="19"/>
              </w:rPr>
              <w:t>,</w:t>
            </w:r>
          </w:p>
          <w:p w14:paraId="50200BCC" w14:textId="16E93BE7" w:rsidR="00680EDD" w:rsidRPr="00C20E7C" w:rsidRDefault="00680EDD" w:rsidP="00680EDD">
            <w:pPr>
              <w:widowControl w:val="0"/>
              <w:tabs>
                <w:tab w:val="left" w:pos="720"/>
              </w:tabs>
              <w:spacing w:after="20"/>
              <w:rPr>
                <w:sz w:val="20"/>
                <w:szCs w:val="20"/>
              </w:rPr>
            </w:pPr>
            <w:r>
              <w:rPr>
                <w:sz w:val="19"/>
                <w:szCs w:val="19"/>
              </w:rPr>
              <w:t>Basanavičiaus a. 1</w:t>
            </w:r>
            <w:r w:rsidRPr="00B50BBC">
              <w:rPr>
                <w:sz w:val="19"/>
                <w:szCs w:val="19"/>
              </w:rPr>
              <w:t>, Marijampolė</w:t>
            </w:r>
          </w:p>
        </w:tc>
        <w:tc>
          <w:tcPr>
            <w:tcW w:w="890" w:type="pct"/>
            <w:shd w:val="clear" w:color="auto" w:fill="FFFF00"/>
          </w:tcPr>
          <w:p w14:paraId="337C8E4D" w14:textId="77777777" w:rsidR="00680EDD" w:rsidRPr="00C20E7C" w:rsidRDefault="00680EDD" w:rsidP="00680EDD">
            <w:pPr>
              <w:widowControl w:val="0"/>
              <w:tabs>
                <w:tab w:val="left" w:pos="720"/>
              </w:tabs>
              <w:spacing w:after="20"/>
              <w:jc w:val="center"/>
              <w:rPr>
                <w:rFonts w:eastAsia="Calibri"/>
                <w:noProof/>
                <w:sz w:val="20"/>
                <w:szCs w:val="20"/>
              </w:rPr>
            </w:pPr>
          </w:p>
        </w:tc>
        <w:tc>
          <w:tcPr>
            <w:tcW w:w="891" w:type="pct"/>
            <w:shd w:val="clear" w:color="auto" w:fill="FFFF00"/>
          </w:tcPr>
          <w:p w14:paraId="4C6BF983" w14:textId="77777777" w:rsidR="00680EDD" w:rsidRPr="00C20E7C" w:rsidRDefault="00680EDD" w:rsidP="00680EDD">
            <w:pPr>
              <w:widowControl w:val="0"/>
              <w:tabs>
                <w:tab w:val="left" w:pos="720"/>
              </w:tabs>
              <w:spacing w:after="20"/>
              <w:jc w:val="center"/>
              <w:rPr>
                <w:rFonts w:eastAsia="Calibri"/>
                <w:noProof/>
                <w:sz w:val="20"/>
                <w:szCs w:val="20"/>
              </w:rPr>
            </w:pPr>
          </w:p>
        </w:tc>
        <w:tc>
          <w:tcPr>
            <w:tcW w:w="890" w:type="pct"/>
            <w:shd w:val="clear" w:color="auto" w:fill="FFFF00"/>
          </w:tcPr>
          <w:p w14:paraId="654FF2C0" w14:textId="77777777" w:rsidR="00680EDD" w:rsidRPr="00C20E7C" w:rsidRDefault="00680EDD" w:rsidP="00680EDD">
            <w:pPr>
              <w:widowControl w:val="0"/>
              <w:tabs>
                <w:tab w:val="left" w:pos="720"/>
              </w:tabs>
              <w:spacing w:after="20"/>
              <w:jc w:val="center"/>
              <w:rPr>
                <w:rFonts w:eastAsia="Calibri"/>
                <w:noProof/>
                <w:sz w:val="20"/>
                <w:szCs w:val="20"/>
              </w:rPr>
            </w:pPr>
          </w:p>
        </w:tc>
      </w:tr>
      <w:tr w:rsidR="00680EDD" w:rsidRPr="00C20E7C" w14:paraId="7A49FD8E" w14:textId="77777777" w:rsidTr="00E55856">
        <w:tc>
          <w:tcPr>
            <w:tcW w:w="480" w:type="pct"/>
          </w:tcPr>
          <w:p w14:paraId="48B25BDA" w14:textId="77777777" w:rsidR="00680EDD" w:rsidRPr="00C20E7C" w:rsidRDefault="00680EDD" w:rsidP="00680EDD">
            <w:pPr>
              <w:widowControl w:val="0"/>
              <w:tabs>
                <w:tab w:val="left" w:pos="720"/>
              </w:tabs>
              <w:spacing w:after="20"/>
              <w:jc w:val="center"/>
              <w:rPr>
                <w:rFonts w:eastAsia="Calibri"/>
                <w:noProof/>
                <w:sz w:val="20"/>
                <w:szCs w:val="20"/>
              </w:rPr>
            </w:pPr>
            <w:r w:rsidRPr="00C20E7C">
              <w:rPr>
                <w:rFonts w:eastAsia="Calibri"/>
                <w:noProof/>
                <w:sz w:val="20"/>
                <w:szCs w:val="20"/>
              </w:rPr>
              <w:t>4</w:t>
            </w:r>
          </w:p>
        </w:tc>
        <w:tc>
          <w:tcPr>
            <w:tcW w:w="1849" w:type="pct"/>
            <w:tcBorders>
              <w:top w:val="single" w:sz="4" w:space="0" w:color="auto"/>
              <w:left w:val="nil"/>
              <w:bottom w:val="single" w:sz="4" w:space="0" w:color="auto"/>
              <w:right w:val="single" w:sz="4" w:space="0" w:color="auto"/>
            </w:tcBorders>
            <w:shd w:val="clear" w:color="auto" w:fill="auto"/>
            <w:vAlign w:val="bottom"/>
          </w:tcPr>
          <w:p w14:paraId="7D7A9408" w14:textId="77777777" w:rsidR="00680EDD" w:rsidRPr="00C20E7C" w:rsidRDefault="00680EDD" w:rsidP="00680EDD">
            <w:pPr>
              <w:widowControl w:val="0"/>
              <w:tabs>
                <w:tab w:val="left" w:pos="720"/>
              </w:tabs>
              <w:spacing w:after="20"/>
              <w:rPr>
                <w:sz w:val="20"/>
                <w:szCs w:val="20"/>
              </w:rPr>
            </w:pPr>
            <w:r w:rsidRPr="00C20E7C">
              <w:rPr>
                <w:sz w:val="20"/>
                <w:szCs w:val="20"/>
              </w:rPr>
              <w:t>Utenos kolegija,</w:t>
            </w:r>
            <w:r w:rsidRPr="00C20E7C">
              <w:rPr>
                <w:sz w:val="22"/>
                <w:szCs w:val="22"/>
              </w:rPr>
              <w:t xml:space="preserve"> </w:t>
            </w:r>
            <w:r w:rsidRPr="00C20E7C">
              <w:rPr>
                <w:sz w:val="20"/>
                <w:szCs w:val="20"/>
              </w:rPr>
              <w:t>Basanavičiaus g. 56, Utena</w:t>
            </w:r>
          </w:p>
        </w:tc>
        <w:tc>
          <w:tcPr>
            <w:tcW w:w="890" w:type="pct"/>
          </w:tcPr>
          <w:p w14:paraId="7A146D16" w14:textId="77777777" w:rsidR="00680EDD" w:rsidRPr="00C20E7C" w:rsidRDefault="00680EDD" w:rsidP="00680EDD">
            <w:pPr>
              <w:widowControl w:val="0"/>
              <w:tabs>
                <w:tab w:val="left" w:pos="720"/>
              </w:tabs>
              <w:spacing w:after="20"/>
              <w:jc w:val="center"/>
              <w:rPr>
                <w:rFonts w:eastAsia="Calibri"/>
                <w:noProof/>
                <w:sz w:val="20"/>
                <w:szCs w:val="20"/>
              </w:rPr>
            </w:pPr>
          </w:p>
        </w:tc>
        <w:tc>
          <w:tcPr>
            <w:tcW w:w="891" w:type="pct"/>
          </w:tcPr>
          <w:p w14:paraId="7CA9E784" w14:textId="77777777" w:rsidR="00680EDD" w:rsidRPr="00C20E7C" w:rsidRDefault="00680EDD" w:rsidP="00680EDD">
            <w:pPr>
              <w:widowControl w:val="0"/>
              <w:tabs>
                <w:tab w:val="left" w:pos="720"/>
              </w:tabs>
              <w:spacing w:after="20"/>
              <w:jc w:val="center"/>
              <w:rPr>
                <w:rFonts w:eastAsia="Calibri"/>
                <w:noProof/>
                <w:sz w:val="20"/>
                <w:szCs w:val="20"/>
              </w:rPr>
            </w:pPr>
          </w:p>
        </w:tc>
        <w:tc>
          <w:tcPr>
            <w:tcW w:w="890" w:type="pct"/>
          </w:tcPr>
          <w:p w14:paraId="1D239CFB" w14:textId="77777777" w:rsidR="00680EDD" w:rsidRPr="00C20E7C" w:rsidRDefault="00680EDD" w:rsidP="00680EDD">
            <w:pPr>
              <w:widowControl w:val="0"/>
              <w:tabs>
                <w:tab w:val="left" w:pos="720"/>
              </w:tabs>
              <w:spacing w:after="20"/>
              <w:jc w:val="center"/>
              <w:rPr>
                <w:rFonts w:eastAsia="Calibri"/>
                <w:noProof/>
                <w:sz w:val="20"/>
                <w:szCs w:val="20"/>
              </w:rPr>
            </w:pPr>
          </w:p>
        </w:tc>
      </w:tr>
      <w:tr w:rsidR="00680EDD" w:rsidRPr="00C20E7C" w14:paraId="797DD6BD" w14:textId="77777777" w:rsidTr="00E115CF">
        <w:tc>
          <w:tcPr>
            <w:tcW w:w="4110" w:type="pct"/>
            <w:gridSpan w:val="4"/>
          </w:tcPr>
          <w:p w14:paraId="2CF03C90" w14:textId="11572ECA" w:rsidR="00680EDD" w:rsidRPr="00C20E7C" w:rsidRDefault="00680EDD" w:rsidP="00680EDD">
            <w:pPr>
              <w:widowControl w:val="0"/>
              <w:tabs>
                <w:tab w:val="left" w:pos="720"/>
              </w:tabs>
              <w:spacing w:after="20"/>
              <w:jc w:val="right"/>
              <w:rPr>
                <w:rFonts w:eastAsia="Calibri"/>
                <w:noProof/>
                <w:sz w:val="20"/>
                <w:szCs w:val="20"/>
              </w:rPr>
            </w:pPr>
            <w:r>
              <w:rPr>
                <w:rFonts w:eastAsia="Calibri"/>
                <w:noProof/>
                <w:sz w:val="20"/>
                <w:szCs w:val="20"/>
              </w:rPr>
              <w:t>Bendra kaina be PVM</w:t>
            </w:r>
          </w:p>
        </w:tc>
        <w:tc>
          <w:tcPr>
            <w:tcW w:w="890" w:type="pct"/>
          </w:tcPr>
          <w:p w14:paraId="17502A92" w14:textId="77777777" w:rsidR="00680EDD" w:rsidRPr="00C20E7C" w:rsidRDefault="00680EDD" w:rsidP="00680EDD">
            <w:pPr>
              <w:widowControl w:val="0"/>
              <w:tabs>
                <w:tab w:val="left" w:pos="720"/>
              </w:tabs>
              <w:spacing w:after="20"/>
              <w:jc w:val="center"/>
              <w:rPr>
                <w:rFonts w:eastAsia="Calibri"/>
                <w:noProof/>
                <w:sz w:val="20"/>
                <w:szCs w:val="20"/>
              </w:rPr>
            </w:pPr>
          </w:p>
        </w:tc>
      </w:tr>
      <w:tr w:rsidR="00680EDD" w:rsidRPr="00C20E7C" w14:paraId="1AC7C6A8" w14:textId="77777777" w:rsidTr="00E115CF">
        <w:tc>
          <w:tcPr>
            <w:tcW w:w="4110" w:type="pct"/>
            <w:gridSpan w:val="4"/>
          </w:tcPr>
          <w:p w14:paraId="685245A1" w14:textId="008263B0" w:rsidR="00680EDD" w:rsidRPr="00C20E7C" w:rsidRDefault="00680EDD" w:rsidP="00680EDD">
            <w:pPr>
              <w:widowControl w:val="0"/>
              <w:tabs>
                <w:tab w:val="left" w:pos="720"/>
              </w:tabs>
              <w:spacing w:after="20"/>
              <w:jc w:val="right"/>
              <w:rPr>
                <w:rFonts w:eastAsia="Calibri"/>
                <w:noProof/>
                <w:sz w:val="20"/>
                <w:szCs w:val="20"/>
              </w:rPr>
            </w:pPr>
            <w:r>
              <w:rPr>
                <w:rFonts w:eastAsia="Calibri"/>
                <w:noProof/>
                <w:sz w:val="20"/>
                <w:szCs w:val="20"/>
              </w:rPr>
              <w:t>PVM</w:t>
            </w:r>
          </w:p>
        </w:tc>
        <w:tc>
          <w:tcPr>
            <w:tcW w:w="890" w:type="pct"/>
          </w:tcPr>
          <w:p w14:paraId="374630B8" w14:textId="77777777" w:rsidR="00680EDD" w:rsidRPr="00C20E7C" w:rsidRDefault="00680EDD" w:rsidP="00680EDD">
            <w:pPr>
              <w:widowControl w:val="0"/>
              <w:tabs>
                <w:tab w:val="left" w:pos="720"/>
              </w:tabs>
              <w:spacing w:after="20"/>
              <w:jc w:val="center"/>
              <w:rPr>
                <w:rFonts w:eastAsia="Calibri"/>
                <w:noProof/>
                <w:sz w:val="20"/>
                <w:szCs w:val="20"/>
              </w:rPr>
            </w:pPr>
          </w:p>
        </w:tc>
      </w:tr>
      <w:tr w:rsidR="00680EDD" w:rsidRPr="00C20E7C" w14:paraId="56D6185E" w14:textId="77777777" w:rsidTr="00E115CF">
        <w:tc>
          <w:tcPr>
            <w:tcW w:w="4110" w:type="pct"/>
            <w:gridSpan w:val="4"/>
          </w:tcPr>
          <w:p w14:paraId="2F2CCA61" w14:textId="51FFD276" w:rsidR="00680EDD" w:rsidRPr="00C20E7C" w:rsidRDefault="00680EDD" w:rsidP="00680EDD">
            <w:pPr>
              <w:widowControl w:val="0"/>
              <w:tabs>
                <w:tab w:val="left" w:pos="720"/>
              </w:tabs>
              <w:spacing w:after="20"/>
              <w:jc w:val="right"/>
              <w:rPr>
                <w:rFonts w:eastAsia="Calibri"/>
                <w:noProof/>
                <w:sz w:val="20"/>
                <w:szCs w:val="20"/>
              </w:rPr>
            </w:pPr>
            <w:r>
              <w:rPr>
                <w:rFonts w:eastAsia="Calibri"/>
                <w:noProof/>
                <w:sz w:val="20"/>
                <w:szCs w:val="20"/>
              </w:rPr>
              <w:t>Bendra</w:t>
            </w:r>
            <w:r w:rsidRPr="00444DA1">
              <w:rPr>
                <w:rFonts w:eastAsia="Calibri"/>
                <w:noProof/>
                <w:sz w:val="20"/>
                <w:szCs w:val="20"/>
              </w:rPr>
              <w:t xml:space="preserve"> kaina </w:t>
            </w:r>
            <w:r>
              <w:rPr>
                <w:rFonts w:eastAsia="Calibri"/>
                <w:noProof/>
                <w:sz w:val="20"/>
                <w:szCs w:val="20"/>
              </w:rPr>
              <w:t>su</w:t>
            </w:r>
            <w:r w:rsidRPr="00444DA1">
              <w:rPr>
                <w:rFonts w:eastAsia="Calibri"/>
                <w:noProof/>
                <w:sz w:val="20"/>
                <w:szCs w:val="20"/>
              </w:rPr>
              <w:t xml:space="preserve"> PVM</w:t>
            </w:r>
          </w:p>
        </w:tc>
        <w:tc>
          <w:tcPr>
            <w:tcW w:w="890" w:type="pct"/>
          </w:tcPr>
          <w:p w14:paraId="645CCA9F" w14:textId="77777777" w:rsidR="00680EDD" w:rsidRPr="00C20E7C" w:rsidRDefault="00680EDD" w:rsidP="00680EDD">
            <w:pPr>
              <w:widowControl w:val="0"/>
              <w:tabs>
                <w:tab w:val="left" w:pos="720"/>
              </w:tabs>
              <w:spacing w:after="20"/>
              <w:jc w:val="center"/>
              <w:rPr>
                <w:rFonts w:eastAsia="Calibri"/>
                <w:noProof/>
                <w:sz w:val="20"/>
                <w:szCs w:val="20"/>
              </w:rPr>
            </w:pPr>
          </w:p>
        </w:tc>
      </w:tr>
    </w:tbl>
    <w:p w14:paraId="5728C022" w14:textId="77777777" w:rsidR="00C20E7C" w:rsidRDefault="00C20E7C" w:rsidP="00AF2FDD">
      <w:pPr>
        <w:jc w:val="both"/>
        <w:rPr>
          <w:sz w:val="22"/>
          <w:szCs w:val="22"/>
        </w:rPr>
      </w:pPr>
    </w:p>
    <w:p w14:paraId="2ED250E8" w14:textId="4045AFA6"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Pasiūlymo 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7777777" w:rsidR="00AF2FDD" w:rsidRPr="0045180C" w:rsidRDefault="00AF2FDD" w:rsidP="00AF2FDD">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074DCA26" w14:textId="7375669A" w:rsidR="00AF2FDD" w:rsidRDefault="00AF2FDD" w:rsidP="00AF2FDD">
      <w:pPr>
        <w:jc w:val="both"/>
        <w:rPr>
          <w:sz w:val="22"/>
          <w:szCs w:val="22"/>
        </w:rPr>
      </w:pPr>
    </w:p>
    <w:p w14:paraId="79EE1ACD" w14:textId="378ABD91" w:rsidR="0015438F" w:rsidRPr="0015438F" w:rsidRDefault="0015438F" w:rsidP="00AF2FDD">
      <w:pPr>
        <w:jc w:val="both"/>
        <w:rPr>
          <w:b/>
          <w:bCs/>
          <w:sz w:val="22"/>
          <w:szCs w:val="22"/>
        </w:rPr>
      </w:pPr>
      <w:r w:rsidRPr="0015438F">
        <w:rPr>
          <w:b/>
          <w:bCs/>
        </w:rPr>
        <w:t>2 Pirkimo dalis</w:t>
      </w:r>
      <w:r w:rsidR="003B6F3C">
        <w:rPr>
          <w:b/>
          <w:bCs/>
        </w:rPr>
        <w:t>:</w:t>
      </w:r>
      <w:r w:rsidR="003B6F3C" w:rsidRPr="003B6F3C">
        <w:t xml:space="preserve"> </w:t>
      </w:r>
      <w:r w:rsidR="003B6F3C" w:rsidRPr="003B6F3C">
        <w:rPr>
          <w:b/>
          <w:bCs/>
        </w:rPr>
        <w:t>Duomenų perdavimo paslaugos į agrarinius institutus</w:t>
      </w:r>
    </w:p>
    <w:p w14:paraId="6EC33D20" w14:textId="77777777" w:rsidR="0015438F" w:rsidRDefault="0015438F" w:rsidP="0015438F">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3567"/>
        <w:gridCol w:w="1695"/>
        <w:gridCol w:w="1735"/>
        <w:gridCol w:w="1708"/>
      </w:tblGrid>
      <w:tr w:rsidR="003B6F3C" w:rsidRPr="00C20E7C" w14:paraId="276F9F87" w14:textId="77777777" w:rsidTr="00124E7A">
        <w:trPr>
          <w:trHeight w:val="300"/>
        </w:trPr>
        <w:tc>
          <w:tcPr>
            <w:tcW w:w="480" w:type="pct"/>
            <w:vMerge w:val="restart"/>
            <w:vAlign w:val="center"/>
          </w:tcPr>
          <w:p w14:paraId="57AB1B6A" w14:textId="5B9C9154" w:rsidR="003B6F3C" w:rsidRPr="00C20E7C" w:rsidRDefault="00124E7A" w:rsidP="00186DD7">
            <w:pPr>
              <w:widowControl w:val="0"/>
              <w:tabs>
                <w:tab w:val="left" w:pos="720"/>
              </w:tabs>
              <w:spacing w:after="20"/>
              <w:jc w:val="center"/>
              <w:rPr>
                <w:rFonts w:eastAsia="Calibri"/>
                <w:noProof/>
                <w:sz w:val="20"/>
                <w:szCs w:val="20"/>
              </w:rPr>
            </w:pPr>
            <w:r>
              <w:rPr>
                <w:rFonts w:eastAsia="Calibri"/>
                <w:noProof/>
                <w:sz w:val="20"/>
                <w:szCs w:val="20"/>
              </w:rPr>
              <w:t>Eilės</w:t>
            </w:r>
            <w:r w:rsidR="003B6F3C" w:rsidRPr="00C20E7C">
              <w:rPr>
                <w:rFonts w:eastAsia="Calibri"/>
                <w:noProof/>
                <w:sz w:val="20"/>
                <w:szCs w:val="20"/>
              </w:rPr>
              <w:t xml:space="preserve"> Nr.</w:t>
            </w:r>
          </w:p>
        </w:tc>
        <w:tc>
          <w:tcPr>
            <w:tcW w:w="1852" w:type="pct"/>
            <w:vMerge w:val="restart"/>
            <w:vAlign w:val="center"/>
          </w:tcPr>
          <w:p w14:paraId="5A478C2B" w14:textId="77777777" w:rsidR="003B6F3C" w:rsidRPr="00C20E7C" w:rsidRDefault="003B6F3C" w:rsidP="00186DD7">
            <w:pPr>
              <w:widowControl w:val="0"/>
              <w:tabs>
                <w:tab w:val="left" w:pos="720"/>
              </w:tabs>
              <w:spacing w:after="20"/>
              <w:jc w:val="center"/>
              <w:rPr>
                <w:rFonts w:eastAsia="Calibri"/>
                <w:noProof/>
                <w:color w:val="000000"/>
                <w:sz w:val="20"/>
                <w:szCs w:val="20"/>
              </w:rPr>
            </w:pPr>
            <w:r w:rsidRPr="00C20E7C">
              <w:rPr>
                <w:rFonts w:eastAsia="Calibri"/>
                <w:noProof/>
                <w:color w:val="000000"/>
                <w:sz w:val="20"/>
                <w:szCs w:val="20"/>
              </w:rPr>
              <w:t>Paslaugos pavadinimas</w:t>
            </w:r>
            <w:r w:rsidRPr="00C20E7C">
              <w:rPr>
                <w:sz w:val="22"/>
                <w:szCs w:val="22"/>
              </w:rPr>
              <w:t xml:space="preserve"> </w:t>
            </w:r>
          </w:p>
        </w:tc>
        <w:tc>
          <w:tcPr>
            <w:tcW w:w="880" w:type="pct"/>
            <w:vAlign w:val="center"/>
          </w:tcPr>
          <w:p w14:paraId="7B4F378C" w14:textId="77777777" w:rsidR="003B6F3C" w:rsidRPr="00C20E7C" w:rsidRDefault="003B6F3C" w:rsidP="00186DD7">
            <w:pPr>
              <w:widowControl w:val="0"/>
              <w:tabs>
                <w:tab w:val="left" w:pos="720"/>
              </w:tabs>
              <w:spacing w:after="20"/>
              <w:jc w:val="center"/>
              <w:rPr>
                <w:rFonts w:eastAsia="Calibri"/>
                <w:noProof/>
                <w:sz w:val="20"/>
                <w:szCs w:val="20"/>
              </w:rPr>
            </w:pPr>
            <w:r w:rsidRPr="00C20E7C">
              <w:rPr>
                <w:rFonts w:eastAsia="Calibri"/>
                <w:noProof/>
                <w:sz w:val="20"/>
                <w:szCs w:val="20"/>
              </w:rPr>
              <w:t>Segmento įrengimo kaina, Eur. be PVM</w:t>
            </w:r>
          </w:p>
        </w:tc>
        <w:tc>
          <w:tcPr>
            <w:tcW w:w="901" w:type="pct"/>
            <w:vAlign w:val="center"/>
          </w:tcPr>
          <w:p w14:paraId="2912EE92" w14:textId="77777777" w:rsidR="003B6F3C" w:rsidRPr="00C20E7C" w:rsidRDefault="003B6F3C" w:rsidP="00186DD7">
            <w:pPr>
              <w:widowControl w:val="0"/>
              <w:tabs>
                <w:tab w:val="left" w:pos="720"/>
              </w:tabs>
              <w:spacing w:after="20"/>
              <w:jc w:val="center"/>
              <w:rPr>
                <w:rFonts w:eastAsia="Calibri"/>
                <w:noProof/>
                <w:sz w:val="20"/>
                <w:szCs w:val="20"/>
              </w:rPr>
            </w:pPr>
            <w:r w:rsidRPr="00C20E7C">
              <w:rPr>
                <w:rFonts w:eastAsia="Calibri"/>
                <w:noProof/>
                <w:sz w:val="20"/>
                <w:szCs w:val="20"/>
              </w:rPr>
              <w:t>Segmento mėnesinė kaina, Eur. be PVM</w:t>
            </w:r>
          </w:p>
        </w:tc>
        <w:tc>
          <w:tcPr>
            <w:tcW w:w="887" w:type="pct"/>
            <w:vAlign w:val="center"/>
          </w:tcPr>
          <w:p w14:paraId="5657227E" w14:textId="0FB1AA43" w:rsidR="003B6F3C" w:rsidRPr="00C20E7C" w:rsidRDefault="003B6F3C" w:rsidP="00186DD7">
            <w:pPr>
              <w:widowControl w:val="0"/>
              <w:tabs>
                <w:tab w:val="left" w:pos="720"/>
              </w:tabs>
              <w:spacing w:after="20"/>
              <w:jc w:val="center"/>
              <w:rPr>
                <w:sz w:val="20"/>
                <w:szCs w:val="20"/>
                <w:lang w:val="fi-FI"/>
              </w:rPr>
            </w:pPr>
            <w:r w:rsidRPr="00C20E7C">
              <w:rPr>
                <w:sz w:val="20"/>
                <w:szCs w:val="20"/>
                <w:lang w:val="fi-FI"/>
              </w:rPr>
              <w:t xml:space="preserve">Bendra pasiūlymo segmento kaina Eur. </w:t>
            </w:r>
            <w:r>
              <w:rPr>
                <w:sz w:val="20"/>
                <w:szCs w:val="20"/>
                <w:lang w:val="fi-FI"/>
              </w:rPr>
              <w:t>be</w:t>
            </w:r>
            <w:r w:rsidRPr="00C20E7C">
              <w:rPr>
                <w:sz w:val="20"/>
                <w:szCs w:val="20"/>
                <w:lang w:val="fi-FI"/>
              </w:rPr>
              <w:t xml:space="preserve"> PVM</w:t>
            </w:r>
          </w:p>
          <w:p w14:paraId="67D3123D" w14:textId="77777777" w:rsidR="003B6F3C" w:rsidRPr="00C20E7C" w:rsidRDefault="003B6F3C" w:rsidP="00186DD7">
            <w:pPr>
              <w:widowControl w:val="0"/>
              <w:tabs>
                <w:tab w:val="left" w:pos="720"/>
              </w:tabs>
              <w:spacing w:after="20"/>
              <w:jc w:val="center"/>
              <w:rPr>
                <w:rFonts w:eastAsia="Calibri"/>
                <w:noProof/>
                <w:sz w:val="20"/>
                <w:szCs w:val="20"/>
              </w:rPr>
            </w:pPr>
            <w:r w:rsidRPr="00C20E7C">
              <w:rPr>
                <w:rFonts w:eastAsia="Calibri"/>
                <w:noProof/>
                <w:sz w:val="20"/>
                <w:szCs w:val="20"/>
              </w:rPr>
              <w:t>#3= 1+#2*35</w:t>
            </w:r>
          </w:p>
        </w:tc>
      </w:tr>
      <w:tr w:rsidR="003B6F3C" w:rsidRPr="00C20E7C" w14:paraId="0B849632" w14:textId="77777777" w:rsidTr="00AD3787">
        <w:trPr>
          <w:trHeight w:val="300"/>
        </w:trPr>
        <w:tc>
          <w:tcPr>
            <w:tcW w:w="480" w:type="pct"/>
            <w:vMerge/>
          </w:tcPr>
          <w:p w14:paraId="0047D111" w14:textId="77777777" w:rsidR="003B6F3C" w:rsidRPr="00C20E7C" w:rsidRDefault="003B6F3C" w:rsidP="00186DD7">
            <w:pPr>
              <w:widowControl w:val="0"/>
              <w:tabs>
                <w:tab w:val="left" w:pos="720"/>
              </w:tabs>
              <w:spacing w:after="20"/>
              <w:jc w:val="center"/>
              <w:rPr>
                <w:rFonts w:eastAsia="Calibri"/>
                <w:noProof/>
                <w:sz w:val="20"/>
                <w:szCs w:val="20"/>
              </w:rPr>
            </w:pPr>
          </w:p>
        </w:tc>
        <w:tc>
          <w:tcPr>
            <w:tcW w:w="1852" w:type="pct"/>
            <w:vMerge/>
            <w:vAlign w:val="bottom"/>
          </w:tcPr>
          <w:p w14:paraId="5E2C368A" w14:textId="77777777" w:rsidR="003B6F3C" w:rsidRPr="00C20E7C" w:rsidRDefault="003B6F3C" w:rsidP="00186DD7">
            <w:pPr>
              <w:widowControl w:val="0"/>
              <w:tabs>
                <w:tab w:val="left" w:pos="720"/>
              </w:tabs>
              <w:spacing w:after="20"/>
              <w:rPr>
                <w:rFonts w:eastAsia="Calibri"/>
                <w:noProof/>
                <w:sz w:val="20"/>
                <w:szCs w:val="20"/>
                <w:lang w:val="en-US"/>
              </w:rPr>
            </w:pPr>
          </w:p>
        </w:tc>
        <w:tc>
          <w:tcPr>
            <w:tcW w:w="880" w:type="pct"/>
          </w:tcPr>
          <w:p w14:paraId="53628EF3" w14:textId="77777777" w:rsidR="003B6F3C" w:rsidRPr="00C20E7C" w:rsidRDefault="003B6F3C" w:rsidP="00186DD7">
            <w:pPr>
              <w:widowControl w:val="0"/>
              <w:tabs>
                <w:tab w:val="left" w:pos="720"/>
              </w:tabs>
              <w:spacing w:after="20"/>
              <w:jc w:val="center"/>
              <w:rPr>
                <w:rFonts w:eastAsia="Calibri"/>
                <w:noProof/>
                <w:sz w:val="20"/>
                <w:szCs w:val="20"/>
              </w:rPr>
            </w:pPr>
            <w:r w:rsidRPr="00C20E7C">
              <w:rPr>
                <w:rFonts w:eastAsia="Calibri"/>
                <w:noProof/>
                <w:sz w:val="20"/>
                <w:szCs w:val="20"/>
              </w:rPr>
              <w:t>1</w:t>
            </w:r>
          </w:p>
        </w:tc>
        <w:tc>
          <w:tcPr>
            <w:tcW w:w="901" w:type="pct"/>
          </w:tcPr>
          <w:p w14:paraId="0712D4CD" w14:textId="77777777" w:rsidR="003B6F3C" w:rsidRPr="00C20E7C" w:rsidRDefault="003B6F3C" w:rsidP="00186DD7">
            <w:pPr>
              <w:widowControl w:val="0"/>
              <w:tabs>
                <w:tab w:val="left" w:pos="720"/>
              </w:tabs>
              <w:spacing w:after="20"/>
              <w:jc w:val="center"/>
              <w:rPr>
                <w:rFonts w:eastAsia="Calibri"/>
                <w:noProof/>
                <w:sz w:val="20"/>
                <w:szCs w:val="20"/>
              </w:rPr>
            </w:pPr>
            <w:r w:rsidRPr="00C20E7C">
              <w:rPr>
                <w:rFonts w:eastAsia="Calibri"/>
                <w:noProof/>
                <w:sz w:val="20"/>
                <w:szCs w:val="20"/>
              </w:rPr>
              <w:t>2</w:t>
            </w:r>
          </w:p>
        </w:tc>
        <w:tc>
          <w:tcPr>
            <w:tcW w:w="887" w:type="pct"/>
          </w:tcPr>
          <w:p w14:paraId="787A6BC0" w14:textId="77777777" w:rsidR="003B6F3C" w:rsidRPr="00C20E7C" w:rsidRDefault="003B6F3C" w:rsidP="00186DD7">
            <w:pPr>
              <w:widowControl w:val="0"/>
              <w:tabs>
                <w:tab w:val="left" w:pos="720"/>
              </w:tabs>
              <w:spacing w:after="20"/>
              <w:jc w:val="center"/>
              <w:rPr>
                <w:rFonts w:eastAsia="Calibri"/>
                <w:noProof/>
                <w:sz w:val="20"/>
                <w:szCs w:val="20"/>
              </w:rPr>
            </w:pPr>
            <w:r w:rsidRPr="00C20E7C">
              <w:rPr>
                <w:rFonts w:eastAsia="Calibri"/>
                <w:noProof/>
                <w:sz w:val="20"/>
                <w:szCs w:val="20"/>
              </w:rPr>
              <w:t>3</w:t>
            </w:r>
          </w:p>
        </w:tc>
      </w:tr>
      <w:tr w:rsidR="003B6F3C" w:rsidRPr="00C20E7C" w14:paraId="09141E9F" w14:textId="77777777" w:rsidTr="00AD3787">
        <w:trPr>
          <w:trHeight w:val="300"/>
        </w:trPr>
        <w:tc>
          <w:tcPr>
            <w:tcW w:w="480" w:type="pct"/>
          </w:tcPr>
          <w:p w14:paraId="7882AFF0" w14:textId="77777777" w:rsidR="003B6F3C" w:rsidRPr="00C20E7C" w:rsidRDefault="003B6F3C" w:rsidP="00186DD7">
            <w:pPr>
              <w:widowControl w:val="0"/>
              <w:tabs>
                <w:tab w:val="left" w:pos="720"/>
              </w:tabs>
              <w:spacing w:after="20"/>
              <w:jc w:val="center"/>
              <w:rPr>
                <w:rFonts w:eastAsia="Calibri"/>
                <w:noProof/>
                <w:sz w:val="20"/>
                <w:szCs w:val="20"/>
              </w:rPr>
            </w:pPr>
            <w:r w:rsidRPr="00C20E7C">
              <w:rPr>
                <w:rFonts w:eastAsia="Calibri"/>
                <w:noProof/>
                <w:sz w:val="20"/>
                <w:szCs w:val="20"/>
              </w:rPr>
              <w:t>1</w:t>
            </w:r>
          </w:p>
        </w:tc>
        <w:tc>
          <w:tcPr>
            <w:tcW w:w="1852" w:type="pct"/>
            <w:tcBorders>
              <w:top w:val="single" w:sz="4" w:space="0" w:color="auto"/>
              <w:left w:val="nil"/>
              <w:bottom w:val="single" w:sz="4" w:space="0" w:color="auto"/>
              <w:right w:val="single" w:sz="4" w:space="0" w:color="auto"/>
            </w:tcBorders>
            <w:shd w:val="clear" w:color="auto" w:fill="auto"/>
            <w:vAlign w:val="bottom"/>
          </w:tcPr>
          <w:p w14:paraId="275A33BA" w14:textId="77777777" w:rsidR="005D12D3" w:rsidRPr="005D12D3" w:rsidRDefault="005D12D3" w:rsidP="005D12D3">
            <w:pPr>
              <w:widowControl w:val="0"/>
              <w:tabs>
                <w:tab w:val="left" w:pos="720"/>
              </w:tabs>
              <w:spacing w:after="20"/>
              <w:rPr>
                <w:rFonts w:eastAsia="Calibri"/>
                <w:noProof/>
                <w:sz w:val="20"/>
                <w:szCs w:val="20"/>
                <w:lang w:val="en-US"/>
              </w:rPr>
            </w:pPr>
            <w:r w:rsidRPr="005D12D3">
              <w:rPr>
                <w:rFonts w:eastAsia="Calibri"/>
                <w:noProof/>
                <w:sz w:val="20"/>
                <w:szCs w:val="20"/>
                <w:lang w:val="en-US"/>
              </w:rPr>
              <w:t xml:space="preserve">Lietuvos agrarinių ir miškų mokslų centras </w:t>
            </w:r>
          </w:p>
          <w:p w14:paraId="48A477BC" w14:textId="4A7F3279" w:rsidR="003B6F3C" w:rsidRPr="00C20E7C" w:rsidRDefault="005D12D3" w:rsidP="005D12D3">
            <w:pPr>
              <w:widowControl w:val="0"/>
              <w:tabs>
                <w:tab w:val="left" w:pos="720"/>
              </w:tabs>
              <w:spacing w:after="20"/>
              <w:rPr>
                <w:rFonts w:eastAsia="Calibri"/>
                <w:noProof/>
                <w:sz w:val="20"/>
                <w:szCs w:val="20"/>
                <w:lang w:val="en-US"/>
              </w:rPr>
            </w:pPr>
            <w:r w:rsidRPr="005D12D3">
              <w:rPr>
                <w:rFonts w:eastAsia="Calibri"/>
                <w:noProof/>
                <w:sz w:val="20"/>
                <w:szCs w:val="20"/>
                <w:lang w:val="en-US"/>
              </w:rPr>
              <w:t>Instituto al. 1, Akademijos mstl., Kėdainių r. sav., 8 347 37 271</w:t>
            </w:r>
          </w:p>
        </w:tc>
        <w:tc>
          <w:tcPr>
            <w:tcW w:w="880" w:type="pct"/>
          </w:tcPr>
          <w:p w14:paraId="4B55CA5B" w14:textId="77777777" w:rsidR="003B6F3C" w:rsidRPr="00C20E7C" w:rsidRDefault="003B6F3C" w:rsidP="00186DD7">
            <w:pPr>
              <w:widowControl w:val="0"/>
              <w:tabs>
                <w:tab w:val="left" w:pos="720"/>
              </w:tabs>
              <w:spacing w:after="20"/>
              <w:jc w:val="center"/>
              <w:rPr>
                <w:rFonts w:eastAsia="Calibri"/>
                <w:noProof/>
                <w:sz w:val="20"/>
                <w:szCs w:val="20"/>
              </w:rPr>
            </w:pPr>
          </w:p>
        </w:tc>
        <w:tc>
          <w:tcPr>
            <w:tcW w:w="901" w:type="pct"/>
          </w:tcPr>
          <w:p w14:paraId="3540E0D9" w14:textId="77777777" w:rsidR="003B6F3C" w:rsidRPr="00C20E7C" w:rsidRDefault="003B6F3C" w:rsidP="00186DD7">
            <w:pPr>
              <w:widowControl w:val="0"/>
              <w:tabs>
                <w:tab w:val="left" w:pos="720"/>
              </w:tabs>
              <w:spacing w:after="20"/>
              <w:jc w:val="center"/>
              <w:rPr>
                <w:rFonts w:eastAsia="Calibri"/>
                <w:noProof/>
                <w:sz w:val="20"/>
                <w:szCs w:val="20"/>
              </w:rPr>
            </w:pPr>
          </w:p>
        </w:tc>
        <w:tc>
          <w:tcPr>
            <w:tcW w:w="887" w:type="pct"/>
          </w:tcPr>
          <w:p w14:paraId="14FEABDE" w14:textId="77777777" w:rsidR="003B6F3C" w:rsidRPr="00C20E7C" w:rsidRDefault="003B6F3C" w:rsidP="00186DD7">
            <w:pPr>
              <w:widowControl w:val="0"/>
              <w:tabs>
                <w:tab w:val="left" w:pos="720"/>
              </w:tabs>
              <w:spacing w:after="20"/>
              <w:jc w:val="center"/>
              <w:rPr>
                <w:rFonts w:eastAsia="Calibri"/>
                <w:noProof/>
                <w:sz w:val="20"/>
                <w:szCs w:val="20"/>
              </w:rPr>
            </w:pPr>
          </w:p>
        </w:tc>
      </w:tr>
      <w:tr w:rsidR="003B6F3C" w:rsidRPr="00C20E7C" w14:paraId="4DD87F57" w14:textId="77777777" w:rsidTr="00AD3787">
        <w:trPr>
          <w:trHeight w:val="300"/>
        </w:trPr>
        <w:tc>
          <w:tcPr>
            <w:tcW w:w="480" w:type="pct"/>
          </w:tcPr>
          <w:p w14:paraId="63E76B5D" w14:textId="77777777" w:rsidR="003B6F3C" w:rsidRPr="00C20E7C" w:rsidRDefault="003B6F3C" w:rsidP="00186DD7">
            <w:pPr>
              <w:widowControl w:val="0"/>
              <w:tabs>
                <w:tab w:val="left" w:pos="720"/>
              </w:tabs>
              <w:spacing w:after="20"/>
              <w:jc w:val="center"/>
              <w:rPr>
                <w:rFonts w:eastAsia="Calibri"/>
                <w:noProof/>
                <w:sz w:val="20"/>
                <w:szCs w:val="20"/>
              </w:rPr>
            </w:pPr>
            <w:r w:rsidRPr="00C20E7C">
              <w:rPr>
                <w:rFonts w:eastAsia="Calibri"/>
                <w:noProof/>
                <w:sz w:val="20"/>
                <w:szCs w:val="20"/>
              </w:rPr>
              <w:t>2</w:t>
            </w:r>
          </w:p>
        </w:tc>
        <w:tc>
          <w:tcPr>
            <w:tcW w:w="1852" w:type="pct"/>
            <w:tcBorders>
              <w:top w:val="single" w:sz="4" w:space="0" w:color="auto"/>
              <w:left w:val="nil"/>
              <w:bottom w:val="single" w:sz="4" w:space="0" w:color="auto"/>
              <w:right w:val="single" w:sz="4" w:space="0" w:color="auto"/>
            </w:tcBorders>
            <w:shd w:val="clear" w:color="auto" w:fill="auto"/>
            <w:vAlign w:val="bottom"/>
          </w:tcPr>
          <w:p w14:paraId="0371E1EF" w14:textId="77777777" w:rsidR="002B2E11" w:rsidRPr="002B2E11" w:rsidRDefault="002B2E11" w:rsidP="002B2E11">
            <w:pPr>
              <w:widowControl w:val="0"/>
              <w:tabs>
                <w:tab w:val="left" w:pos="720"/>
              </w:tabs>
              <w:spacing w:after="20"/>
              <w:rPr>
                <w:sz w:val="20"/>
                <w:szCs w:val="20"/>
              </w:rPr>
            </w:pPr>
            <w:r w:rsidRPr="002B2E11">
              <w:rPr>
                <w:sz w:val="20"/>
                <w:szCs w:val="20"/>
              </w:rPr>
              <w:t xml:space="preserve">Lietuvos agrarinių ir miškų mokslų centro </w:t>
            </w:r>
            <w:proofErr w:type="spellStart"/>
            <w:r w:rsidRPr="002B2E11">
              <w:rPr>
                <w:sz w:val="20"/>
                <w:szCs w:val="20"/>
              </w:rPr>
              <w:t>Vėžaičių</w:t>
            </w:r>
            <w:proofErr w:type="spellEnd"/>
            <w:r w:rsidRPr="002B2E11">
              <w:rPr>
                <w:sz w:val="20"/>
                <w:szCs w:val="20"/>
              </w:rPr>
              <w:t xml:space="preserve"> filialas</w:t>
            </w:r>
          </w:p>
          <w:p w14:paraId="400EB211" w14:textId="42F5462C" w:rsidR="003B6F3C" w:rsidRPr="00C20E7C" w:rsidRDefault="002B2E11" w:rsidP="002B2E11">
            <w:pPr>
              <w:widowControl w:val="0"/>
              <w:tabs>
                <w:tab w:val="left" w:pos="720"/>
              </w:tabs>
              <w:spacing w:after="20"/>
              <w:rPr>
                <w:sz w:val="20"/>
                <w:szCs w:val="20"/>
              </w:rPr>
            </w:pPr>
            <w:r w:rsidRPr="002B2E11">
              <w:rPr>
                <w:sz w:val="20"/>
                <w:szCs w:val="20"/>
              </w:rPr>
              <w:t xml:space="preserve">Gargždų 29, </w:t>
            </w:r>
            <w:proofErr w:type="spellStart"/>
            <w:r w:rsidRPr="002B2E11">
              <w:rPr>
                <w:sz w:val="20"/>
                <w:szCs w:val="20"/>
              </w:rPr>
              <w:t>Vėžaičiai</w:t>
            </w:r>
            <w:proofErr w:type="spellEnd"/>
            <w:r w:rsidRPr="002B2E11">
              <w:rPr>
                <w:sz w:val="20"/>
                <w:szCs w:val="20"/>
              </w:rPr>
              <w:t>, Klaipėdos r,  8 678 48 664</w:t>
            </w:r>
          </w:p>
        </w:tc>
        <w:tc>
          <w:tcPr>
            <w:tcW w:w="880" w:type="pct"/>
          </w:tcPr>
          <w:p w14:paraId="29DD30B9" w14:textId="77777777" w:rsidR="003B6F3C" w:rsidRPr="00C20E7C" w:rsidRDefault="003B6F3C" w:rsidP="00186DD7">
            <w:pPr>
              <w:widowControl w:val="0"/>
              <w:tabs>
                <w:tab w:val="left" w:pos="720"/>
              </w:tabs>
              <w:spacing w:after="20"/>
              <w:jc w:val="center"/>
              <w:rPr>
                <w:rFonts w:eastAsia="Calibri"/>
                <w:noProof/>
                <w:sz w:val="20"/>
                <w:szCs w:val="20"/>
              </w:rPr>
            </w:pPr>
          </w:p>
        </w:tc>
        <w:tc>
          <w:tcPr>
            <w:tcW w:w="901" w:type="pct"/>
          </w:tcPr>
          <w:p w14:paraId="25A30047" w14:textId="77777777" w:rsidR="003B6F3C" w:rsidRPr="00C20E7C" w:rsidRDefault="003B6F3C" w:rsidP="00186DD7">
            <w:pPr>
              <w:widowControl w:val="0"/>
              <w:tabs>
                <w:tab w:val="left" w:pos="720"/>
              </w:tabs>
              <w:spacing w:after="20"/>
              <w:jc w:val="center"/>
              <w:rPr>
                <w:rFonts w:eastAsia="Calibri"/>
                <w:noProof/>
                <w:sz w:val="20"/>
                <w:szCs w:val="20"/>
              </w:rPr>
            </w:pPr>
          </w:p>
        </w:tc>
        <w:tc>
          <w:tcPr>
            <w:tcW w:w="887" w:type="pct"/>
          </w:tcPr>
          <w:p w14:paraId="794E59D0" w14:textId="77777777" w:rsidR="003B6F3C" w:rsidRPr="00C20E7C" w:rsidRDefault="003B6F3C" w:rsidP="00186DD7">
            <w:pPr>
              <w:widowControl w:val="0"/>
              <w:tabs>
                <w:tab w:val="left" w:pos="720"/>
              </w:tabs>
              <w:spacing w:after="20"/>
              <w:jc w:val="center"/>
              <w:rPr>
                <w:rFonts w:eastAsia="Calibri"/>
                <w:noProof/>
                <w:sz w:val="20"/>
                <w:szCs w:val="20"/>
              </w:rPr>
            </w:pPr>
          </w:p>
        </w:tc>
      </w:tr>
      <w:tr w:rsidR="003B6F3C" w:rsidRPr="00C20E7C" w14:paraId="7EB66060" w14:textId="77777777" w:rsidTr="00AD3787">
        <w:trPr>
          <w:trHeight w:val="300"/>
        </w:trPr>
        <w:tc>
          <w:tcPr>
            <w:tcW w:w="480" w:type="pct"/>
          </w:tcPr>
          <w:p w14:paraId="059A1356" w14:textId="77777777" w:rsidR="003B6F3C" w:rsidRPr="00C20E7C" w:rsidRDefault="003B6F3C" w:rsidP="00186DD7">
            <w:pPr>
              <w:widowControl w:val="0"/>
              <w:tabs>
                <w:tab w:val="left" w:pos="720"/>
              </w:tabs>
              <w:spacing w:after="20"/>
              <w:jc w:val="center"/>
              <w:rPr>
                <w:rFonts w:eastAsia="Calibri"/>
                <w:noProof/>
                <w:sz w:val="20"/>
                <w:szCs w:val="20"/>
              </w:rPr>
            </w:pPr>
            <w:r w:rsidRPr="00C20E7C">
              <w:rPr>
                <w:rFonts w:eastAsia="Calibri"/>
                <w:noProof/>
                <w:sz w:val="20"/>
                <w:szCs w:val="20"/>
              </w:rPr>
              <w:t>3</w:t>
            </w:r>
          </w:p>
        </w:tc>
        <w:tc>
          <w:tcPr>
            <w:tcW w:w="1852" w:type="pct"/>
            <w:tcBorders>
              <w:top w:val="single" w:sz="4" w:space="0" w:color="auto"/>
              <w:left w:val="nil"/>
              <w:bottom w:val="single" w:sz="4" w:space="0" w:color="auto"/>
              <w:right w:val="single" w:sz="4" w:space="0" w:color="auto"/>
            </w:tcBorders>
            <w:shd w:val="clear" w:color="auto" w:fill="auto"/>
            <w:vAlign w:val="bottom"/>
          </w:tcPr>
          <w:p w14:paraId="4BFC28C7" w14:textId="77777777" w:rsidR="00B94278" w:rsidRPr="00B94278" w:rsidRDefault="00B94278" w:rsidP="00B94278">
            <w:pPr>
              <w:widowControl w:val="0"/>
              <w:tabs>
                <w:tab w:val="left" w:pos="720"/>
              </w:tabs>
              <w:spacing w:after="20"/>
              <w:rPr>
                <w:sz w:val="20"/>
                <w:szCs w:val="20"/>
              </w:rPr>
            </w:pPr>
            <w:r w:rsidRPr="00B94278">
              <w:rPr>
                <w:sz w:val="20"/>
                <w:szCs w:val="20"/>
              </w:rPr>
              <w:t>Lietuvos agrarinių ir miškų mokslų centro Vokės filialas</w:t>
            </w:r>
          </w:p>
          <w:p w14:paraId="02E47ED9" w14:textId="23B52932" w:rsidR="003B6F3C" w:rsidRPr="00C20E7C" w:rsidRDefault="00B94278" w:rsidP="00B94278">
            <w:pPr>
              <w:widowControl w:val="0"/>
              <w:tabs>
                <w:tab w:val="left" w:pos="720"/>
              </w:tabs>
              <w:spacing w:after="20"/>
              <w:rPr>
                <w:sz w:val="20"/>
                <w:szCs w:val="20"/>
              </w:rPr>
            </w:pPr>
            <w:r w:rsidRPr="00B94278">
              <w:rPr>
                <w:sz w:val="20"/>
                <w:szCs w:val="20"/>
              </w:rPr>
              <w:t>Žalioji a. 2, Vilniaus, 8 5 264 5439</w:t>
            </w:r>
          </w:p>
        </w:tc>
        <w:tc>
          <w:tcPr>
            <w:tcW w:w="880" w:type="pct"/>
          </w:tcPr>
          <w:p w14:paraId="26744EB5" w14:textId="77777777" w:rsidR="003B6F3C" w:rsidRPr="00C20E7C" w:rsidRDefault="003B6F3C" w:rsidP="00186DD7">
            <w:pPr>
              <w:widowControl w:val="0"/>
              <w:tabs>
                <w:tab w:val="left" w:pos="720"/>
              </w:tabs>
              <w:spacing w:after="20"/>
              <w:jc w:val="center"/>
              <w:rPr>
                <w:rFonts w:eastAsia="Calibri"/>
                <w:noProof/>
                <w:sz w:val="20"/>
                <w:szCs w:val="20"/>
              </w:rPr>
            </w:pPr>
          </w:p>
        </w:tc>
        <w:tc>
          <w:tcPr>
            <w:tcW w:w="901" w:type="pct"/>
          </w:tcPr>
          <w:p w14:paraId="56FC3A3D" w14:textId="77777777" w:rsidR="003B6F3C" w:rsidRPr="00C20E7C" w:rsidRDefault="003B6F3C" w:rsidP="00186DD7">
            <w:pPr>
              <w:widowControl w:val="0"/>
              <w:tabs>
                <w:tab w:val="left" w:pos="720"/>
              </w:tabs>
              <w:spacing w:after="20"/>
              <w:jc w:val="center"/>
              <w:rPr>
                <w:rFonts w:eastAsia="Calibri"/>
                <w:noProof/>
                <w:sz w:val="20"/>
                <w:szCs w:val="20"/>
              </w:rPr>
            </w:pPr>
          </w:p>
        </w:tc>
        <w:tc>
          <w:tcPr>
            <w:tcW w:w="887" w:type="pct"/>
          </w:tcPr>
          <w:p w14:paraId="255310C0" w14:textId="77777777" w:rsidR="003B6F3C" w:rsidRPr="00C20E7C" w:rsidRDefault="003B6F3C" w:rsidP="00186DD7">
            <w:pPr>
              <w:widowControl w:val="0"/>
              <w:tabs>
                <w:tab w:val="left" w:pos="720"/>
              </w:tabs>
              <w:spacing w:after="20"/>
              <w:jc w:val="center"/>
              <w:rPr>
                <w:rFonts w:eastAsia="Calibri"/>
                <w:noProof/>
                <w:sz w:val="20"/>
                <w:szCs w:val="20"/>
              </w:rPr>
            </w:pPr>
          </w:p>
        </w:tc>
      </w:tr>
      <w:tr w:rsidR="003B6F3C" w:rsidRPr="00C20E7C" w14:paraId="48CF1162" w14:textId="77777777" w:rsidTr="00AD3787">
        <w:trPr>
          <w:trHeight w:val="300"/>
        </w:trPr>
        <w:tc>
          <w:tcPr>
            <w:tcW w:w="480" w:type="pct"/>
          </w:tcPr>
          <w:p w14:paraId="359C3FC8" w14:textId="77777777" w:rsidR="003B6F3C" w:rsidRPr="00C20E7C" w:rsidRDefault="003B6F3C" w:rsidP="00186DD7">
            <w:pPr>
              <w:widowControl w:val="0"/>
              <w:tabs>
                <w:tab w:val="left" w:pos="720"/>
              </w:tabs>
              <w:spacing w:after="20"/>
              <w:jc w:val="center"/>
              <w:rPr>
                <w:rFonts w:eastAsia="Calibri"/>
                <w:noProof/>
                <w:sz w:val="20"/>
                <w:szCs w:val="20"/>
              </w:rPr>
            </w:pPr>
            <w:r w:rsidRPr="00C20E7C">
              <w:rPr>
                <w:rFonts w:eastAsia="Calibri"/>
                <w:noProof/>
                <w:sz w:val="20"/>
                <w:szCs w:val="20"/>
              </w:rPr>
              <w:t>4</w:t>
            </w:r>
          </w:p>
        </w:tc>
        <w:tc>
          <w:tcPr>
            <w:tcW w:w="1852" w:type="pct"/>
            <w:tcBorders>
              <w:top w:val="single" w:sz="4" w:space="0" w:color="auto"/>
              <w:left w:val="nil"/>
              <w:bottom w:val="single" w:sz="4" w:space="0" w:color="auto"/>
              <w:right w:val="single" w:sz="4" w:space="0" w:color="auto"/>
            </w:tcBorders>
            <w:shd w:val="clear" w:color="auto" w:fill="auto"/>
            <w:vAlign w:val="bottom"/>
          </w:tcPr>
          <w:p w14:paraId="78CC9FBA" w14:textId="77777777" w:rsidR="00360543" w:rsidRPr="00360543" w:rsidRDefault="00360543" w:rsidP="00360543">
            <w:pPr>
              <w:widowControl w:val="0"/>
              <w:tabs>
                <w:tab w:val="left" w:pos="720"/>
              </w:tabs>
              <w:spacing w:after="20"/>
              <w:rPr>
                <w:sz w:val="20"/>
                <w:szCs w:val="20"/>
              </w:rPr>
            </w:pPr>
            <w:r w:rsidRPr="00360543">
              <w:rPr>
                <w:sz w:val="20"/>
                <w:szCs w:val="20"/>
              </w:rPr>
              <w:t>LSMU gyvulininkystės institutas</w:t>
            </w:r>
          </w:p>
          <w:p w14:paraId="4647ADB4" w14:textId="5D18895F" w:rsidR="003B6F3C" w:rsidRPr="00C20E7C" w:rsidRDefault="00360543" w:rsidP="00360543">
            <w:pPr>
              <w:widowControl w:val="0"/>
              <w:tabs>
                <w:tab w:val="left" w:pos="720"/>
              </w:tabs>
              <w:spacing w:after="20"/>
              <w:rPr>
                <w:sz w:val="20"/>
                <w:szCs w:val="20"/>
              </w:rPr>
            </w:pPr>
            <w:proofErr w:type="spellStart"/>
            <w:r w:rsidRPr="00360543">
              <w:rPr>
                <w:sz w:val="20"/>
                <w:szCs w:val="20"/>
              </w:rPr>
              <w:t>Žebenkos</w:t>
            </w:r>
            <w:proofErr w:type="spellEnd"/>
            <w:r w:rsidRPr="00360543">
              <w:rPr>
                <w:sz w:val="20"/>
                <w:szCs w:val="20"/>
              </w:rPr>
              <w:t xml:space="preserve"> g. 12, </w:t>
            </w:r>
            <w:proofErr w:type="spellStart"/>
            <w:r w:rsidRPr="00360543">
              <w:rPr>
                <w:sz w:val="20"/>
                <w:szCs w:val="20"/>
              </w:rPr>
              <w:t>Baisiogala</w:t>
            </w:r>
            <w:proofErr w:type="spellEnd"/>
            <w:r w:rsidRPr="00360543">
              <w:rPr>
                <w:sz w:val="20"/>
                <w:szCs w:val="20"/>
              </w:rPr>
              <w:t xml:space="preserve">, Radviliškio </w:t>
            </w:r>
            <w:proofErr w:type="spellStart"/>
            <w:r w:rsidRPr="00360543">
              <w:rPr>
                <w:sz w:val="20"/>
                <w:szCs w:val="20"/>
              </w:rPr>
              <w:t>r.sav</w:t>
            </w:r>
            <w:proofErr w:type="spellEnd"/>
            <w:r w:rsidRPr="00360543">
              <w:rPr>
                <w:sz w:val="20"/>
                <w:szCs w:val="20"/>
              </w:rPr>
              <w:t>, 8 42 26 53 83</w:t>
            </w:r>
          </w:p>
        </w:tc>
        <w:tc>
          <w:tcPr>
            <w:tcW w:w="880" w:type="pct"/>
          </w:tcPr>
          <w:p w14:paraId="0D46CBF7" w14:textId="77777777" w:rsidR="003B6F3C" w:rsidRPr="00C20E7C" w:rsidRDefault="003B6F3C" w:rsidP="00186DD7">
            <w:pPr>
              <w:widowControl w:val="0"/>
              <w:tabs>
                <w:tab w:val="left" w:pos="720"/>
              </w:tabs>
              <w:spacing w:after="20"/>
              <w:jc w:val="center"/>
              <w:rPr>
                <w:rFonts w:eastAsia="Calibri"/>
                <w:noProof/>
                <w:sz w:val="20"/>
                <w:szCs w:val="20"/>
              </w:rPr>
            </w:pPr>
          </w:p>
        </w:tc>
        <w:tc>
          <w:tcPr>
            <w:tcW w:w="901" w:type="pct"/>
          </w:tcPr>
          <w:p w14:paraId="700B69FE" w14:textId="77777777" w:rsidR="003B6F3C" w:rsidRPr="00C20E7C" w:rsidRDefault="003B6F3C" w:rsidP="00186DD7">
            <w:pPr>
              <w:widowControl w:val="0"/>
              <w:tabs>
                <w:tab w:val="left" w:pos="720"/>
              </w:tabs>
              <w:spacing w:after="20"/>
              <w:jc w:val="center"/>
              <w:rPr>
                <w:rFonts w:eastAsia="Calibri"/>
                <w:noProof/>
                <w:sz w:val="20"/>
                <w:szCs w:val="20"/>
              </w:rPr>
            </w:pPr>
          </w:p>
        </w:tc>
        <w:tc>
          <w:tcPr>
            <w:tcW w:w="887" w:type="pct"/>
          </w:tcPr>
          <w:p w14:paraId="00EE1603" w14:textId="77777777" w:rsidR="003B6F3C" w:rsidRPr="00C20E7C" w:rsidRDefault="003B6F3C" w:rsidP="00186DD7">
            <w:pPr>
              <w:widowControl w:val="0"/>
              <w:tabs>
                <w:tab w:val="left" w:pos="720"/>
              </w:tabs>
              <w:spacing w:after="20"/>
              <w:jc w:val="center"/>
              <w:rPr>
                <w:rFonts w:eastAsia="Calibri"/>
                <w:noProof/>
                <w:sz w:val="20"/>
                <w:szCs w:val="20"/>
              </w:rPr>
            </w:pPr>
          </w:p>
        </w:tc>
      </w:tr>
      <w:tr w:rsidR="003B6F3C" w:rsidRPr="00C20E7C" w14:paraId="3BB4D2BD" w14:textId="77777777" w:rsidTr="00AD3787">
        <w:trPr>
          <w:trHeight w:val="300"/>
        </w:trPr>
        <w:tc>
          <w:tcPr>
            <w:tcW w:w="4113" w:type="pct"/>
            <w:gridSpan w:val="4"/>
          </w:tcPr>
          <w:p w14:paraId="4ADAC175" w14:textId="41F17C49" w:rsidR="003B6F3C" w:rsidRPr="00C20E7C" w:rsidRDefault="00B27594" w:rsidP="00186DD7">
            <w:pPr>
              <w:widowControl w:val="0"/>
              <w:tabs>
                <w:tab w:val="left" w:pos="720"/>
              </w:tabs>
              <w:spacing w:after="20"/>
              <w:jc w:val="right"/>
              <w:rPr>
                <w:rFonts w:eastAsia="Calibri"/>
                <w:noProof/>
                <w:sz w:val="20"/>
                <w:szCs w:val="20"/>
              </w:rPr>
            </w:pPr>
            <w:r>
              <w:rPr>
                <w:rFonts w:eastAsia="Calibri"/>
                <w:noProof/>
                <w:sz w:val="20"/>
                <w:szCs w:val="20"/>
              </w:rPr>
              <w:t>Bendra</w:t>
            </w:r>
            <w:r w:rsidR="003B6F3C">
              <w:rPr>
                <w:rFonts w:eastAsia="Calibri"/>
                <w:noProof/>
                <w:sz w:val="20"/>
                <w:szCs w:val="20"/>
              </w:rPr>
              <w:t xml:space="preserve"> kaina be PVM</w:t>
            </w:r>
          </w:p>
        </w:tc>
        <w:tc>
          <w:tcPr>
            <w:tcW w:w="887" w:type="pct"/>
          </w:tcPr>
          <w:p w14:paraId="453C772D" w14:textId="77777777" w:rsidR="003B6F3C" w:rsidRPr="00C20E7C" w:rsidRDefault="003B6F3C" w:rsidP="00186DD7">
            <w:pPr>
              <w:widowControl w:val="0"/>
              <w:tabs>
                <w:tab w:val="left" w:pos="720"/>
              </w:tabs>
              <w:spacing w:after="20"/>
              <w:jc w:val="center"/>
              <w:rPr>
                <w:rFonts w:eastAsia="Calibri"/>
                <w:noProof/>
                <w:sz w:val="20"/>
                <w:szCs w:val="20"/>
              </w:rPr>
            </w:pPr>
          </w:p>
        </w:tc>
      </w:tr>
      <w:tr w:rsidR="003B6F3C" w:rsidRPr="00C20E7C" w14:paraId="0278FA53" w14:textId="77777777" w:rsidTr="00AD3787">
        <w:trPr>
          <w:trHeight w:val="300"/>
        </w:trPr>
        <w:tc>
          <w:tcPr>
            <w:tcW w:w="4113" w:type="pct"/>
            <w:gridSpan w:val="4"/>
          </w:tcPr>
          <w:p w14:paraId="23056AE3" w14:textId="77777777" w:rsidR="003B6F3C" w:rsidRDefault="003B6F3C" w:rsidP="00186DD7">
            <w:pPr>
              <w:widowControl w:val="0"/>
              <w:tabs>
                <w:tab w:val="left" w:pos="720"/>
              </w:tabs>
              <w:spacing w:after="20"/>
              <w:jc w:val="right"/>
              <w:rPr>
                <w:rFonts w:eastAsia="Calibri"/>
                <w:noProof/>
                <w:sz w:val="20"/>
                <w:szCs w:val="20"/>
              </w:rPr>
            </w:pPr>
            <w:r>
              <w:rPr>
                <w:rFonts w:eastAsia="Calibri"/>
                <w:noProof/>
                <w:sz w:val="20"/>
                <w:szCs w:val="20"/>
              </w:rPr>
              <w:t>PVM</w:t>
            </w:r>
          </w:p>
        </w:tc>
        <w:tc>
          <w:tcPr>
            <w:tcW w:w="887" w:type="pct"/>
          </w:tcPr>
          <w:p w14:paraId="21E25238" w14:textId="77777777" w:rsidR="003B6F3C" w:rsidRPr="00C20E7C" w:rsidRDefault="003B6F3C" w:rsidP="00186DD7">
            <w:pPr>
              <w:widowControl w:val="0"/>
              <w:tabs>
                <w:tab w:val="left" w:pos="720"/>
              </w:tabs>
              <w:spacing w:after="20"/>
              <w:jc w:val="center"/>
              <w:rPr>
                <w:rFonts w:eastAsia="Calibri"/>
                <w:noProof/>
                <w:sz w:val="20"/>
                <w:szCs w:val="20"/>
              </w:rPr>
            </w:pPr>
          </w:p>
        </w:tc>
      </w:tr>
      <w:tr w:rsidR="003B6F3C" w:rsidRPr="00C20E7C" w14:paraId="01863E17" w14:textId="77777777" w:rsidTr="00AD3787">
        <w:trPr>
          <w:trHeight w:val="300"/>
        </w:trPr>
        <w:tc>
          <w:tcPr>
            <w:tcW w:w="4113" w:type="pct"/>
            <w:gridSpan w:val="4"/>
          </w:tcPr>
          <w:p w14:paraId="7627FCAB" w14:textId="1022570D" w:rsidR="003B6F3C" w:rsidRDefault="00B27594" w:rsidP="00186DD7">
            <w:pPr>
              <w:widowControl w:val="0"/>
              <w:tabs>
                <w:tab w:val="left" w:pos="720"/>
              </w:tabs>
              <w:spacing w:after="20"/>
              <w:jc w:val="right"/>
              <w:rPr>
                <w:rFonts w:eastAsia="Calibri"/>
                <w:noProof/>
                <w:sz w:val="20"/>
                <w:szCs w:val="20"/>
              </w:rPr>
            </w:pPr>
            <w:r>
              <w:rPr>
                <w:rFonts w:eastAsia="Calibri"/>
                <w:noProof/>
                <w:sz w:val="20"/>
                <w:szCs w:val="20"/>
              </w:rPr>
              <w:t>Bendra</w:t>
            </w:r>
            <w:r w:rsidR="003B6F3C" w:rsidRPr="00444DA1">
              <w:rPr>
                <w:rFonts w:eastAsia="Calibri"/>
                <w:noProof/>
                <w:sz w:val="20"/>
                <w:szCs w:val="20"/>
              </w:rPr>
              <w:t xml:space="preserve"> kaina </w:t>
            </w:r>
            <w:r w:rsidR="003B6F3C">
              <w:rPr>
                <w:rFonts w:eastAsia="Calibri"/>
                <w:noProof/>
                <w:sz w:val="20"/>
                <w:szCs w:val="20"/>
              </w:rPr>
              <w:t>su</w:t>
            </w:r>
            <w:r w:rsidR="003B6F3C" w:rsidRPr="00444DA1">
              <w:rPr>
                <w:rFonts w:eastAsia="Calibri"/>
                <w:noProof/>
                <w:sz w:val="20"/>
                <w:szCs w:val="20"/>
              </w:rPr>
              <w:t xml:space="preserve"> PVM</w:t>
            </w:r>
          </w:p>
        </w:tc>
        <w:tc>
          <w:tcPr>
            <w:tcW w:w="887" w:type="pct"/>
          </w:tcPr>
          <w:p w14:paraId="77152701" w14:textId="77777777" w:rsidR="003B6F3C" w:rsidRPr="00C20E7C" w:rsidRDefault="003B6F3C" w:rsidP="00186DD7">
            <w:pPr>
              <w:widowControl w:val="0"/>
              <w:tabs>
                <w:tab w:val="left" w:pos="720"/>
              </w:tabs>
              <w:spacing w:after="20"/>
              <w:jc w:val="center"/>
              <w:rPr>
                <w:rFonts w:eastAsia="Calibri"/>
                <w:noProof/>
                <w:sz w:val="20"/>
                <w:szCs w:val="20"/>
              </w:rPr>
            </w:pPr>
          </w:p>
        </w:tc>
      </w:tr>
    </w:tbl>
    <w:p w14:paraId="68EC98B4" w14:textId="77777777" w:rsidR="003B6F3C" w:rsidRDefault="003B6F3C" w:rsidP="0015438F">
      <w:pPr>
        <w:jc w:val="both"/>
        <w:rPr>
          <w:sz w:val="22"/>
          <w:szCs w:val="22"/>
        </w:rPr>
      </w:pPr>
    </w:p>
    <w:p w14:paraId="530CD9C7" w14:textId="77777777" w:rsidR="0015438F" w:rsidRPr="00AA485A" w:rsidRDefault="0015438F" w:rsidP="0015438F">
      <w:pPr>
        <w:keepNext/>
        <w:widowControl w:val="0"/>
        <w:autoSpaceDE w:val="0"/>
        <w:autoSpaceDN w:val="0"/>
        <w:adjustRightInd w:val="0"/>
        <w:ind w:firstLine="567"/>
        <w:jc w:val="both"/>
        <w:rPr>
          <w:color w:val="000000"/>
        </w:rPr>
      </w:pPr>
      <w:r w:rsidRPr="00AA485A">
        <w:rPr>
          <w:color w:val="000000"/>
        </w:rPr>
        <w:t>Pasiūlymo kaina EUR su PVM (žodžiais):</w:t>
      </w:r>
    </w:p>
    <w:p w14:paraId="2F0B8986" w14:textId="77777777" w:rsidR="0015438F" w:rsidRDefault="0015438F" w:rsidP="0015438F">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68A7B889" w14:textId="77777777" w:rsidR="0015438F" w:rsidRDefault="0015438F" w:rsidP="0015438F">
      <w:pPr>
        <w:keepNext/>
        <w:widowControl w:val="0"/>
        <w:autoSpaceDE w:val="0"/>
        <w:autoSpaceDN w:val="0"/>
        <w:adjustRightInd w:val="0"/>
        <w:ind w:firstLine="567"/>
        <w:jc w:val="both"/>
        <w:rPr>
          <w:color w:val="000000"/>
        </w:rPr>
      </w:pPr>
    </w:p>
    <w:p w14:paraId="055F5E54" w14:textId="77777777" w:rsidR="0015438F" w:rsidRDefault="0015438F" w:rsidP="0015438F">
      <w:pPr>
        <w:rPr>
          <w:sz w:val="22"/>
          <w:szCs w:val="22"/>
        </w:rPr>
      </w:pPr>
      <w:r w:rsidRPr="000E7A17">
        <w:rPr>
          <w:color w:val="000000"/>
        </w:rPr>
        <w:t>Jei suma skaičiais neatitinka sumos žodžiais, teisinga laikoma suma žodžiais</w:t>
      </w:r>
      <w:r>
        <w:rPr>
          <w:color w:val="000000"/>
        </w:rPr>
        <w:t>.</w:t>
      </w:r>
    </w:p>
    <w:p w14:paraId="36B267FA" w14:textId="77777777" w:rsidR="0015438F" w:rsidRDefault="0015438F" w:rsidP="0015438F">
      <w:pPr>
        <w:jc w:val="right"/>
        <w:rPr>
          <w:sz w:val="22"/>
          <w:szCs w:val="22"/>
        </w:rPr>
      </w:pPr>
    </w:p>
    <w:p w14:paraId="754BA2C8" w14:textId="77777777" w:rsidR="0015438F" w:rsidRPr="0045180C" w:rsidRDefault="0015438F" w:rsidP="0015438F">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3" w:history="1">
        <w:r w:rsidRPr="0045180C">
          <w:rPr>
            <w:sz w:val="22"/>
            <w:szCs w:val="22"/>
            <w:u w:val="single"/>
          </w:rPr>
          <w:t>ČIA</w:t>
        </w:r>
      </w:hyperlink>
      <w:r w:rsidRPr="0045180C">
        <w:rPr>
          <w:sz w:val="22"/>
          <w:szCs w:val="22"/>
        </w:rPr>
        <w:t>.</w:t>
      </w:r>
    </w:p>
    <w:p w14:paraId="71B0BF00" w14:textId="77777777" w:rsidR="0015438F" w:rsidRPr="0045180C" w:rsidRDefault="0015438F" w:rsidP="0015438F">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4B3BC1A7" w14:textId="077D8520" w:rsidR="0015438F" w:rsidRDefault="0015438F" w:rsidP="00AF2FDD">
      <w:pPr>
        <w:jc w:val="both"/>
        <w:rPr>
          <w:sz w:val="22"/>
          <w:szCs w:val="22"/>
        </w:rPr>
      </w:pPr>
    </w:p>
    <w:p w14:paraId="0F96EF0E" w14:textId="77777777" w:rsidR="0015438F" w:rsidRDefault="0015438F" w:rsidP="0015438F">
      <w:pPr>
        <w:jc w:val="right"/>
        <w:rPr>
          <w:sz w:val="22"/>
          <w:szCs w:val="22"/>
        </w:rPr>
      </w:pPr>
    </w:p>
    <w:bookmarkEnd w:id="7"/>
    <w:p w14:paraId="6A1418AF" w14:textId="0307D867" w:rsidR="00AD0963"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bCs/>
          <w:sz w:val="22"/>
          <w:szCs w:val="22"/>
        </w:rPr>
        <w:t xml:space="preserve">3.2. </w:t>
      </w:r>
      <w:r w:rsidR="00BF05DB" w:rsidRPr="0045180C">
        <w:rPr>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880E4C" w:rsidRPr="0045180C">
        <w:rPr>
          <w:sz w:val="22"/>
          <w:szCs w:val="22"/>
        </w:rPr>
        <w:t xml:space="preserve">. </w:t>
      </w:r>
    </w:p>
    <w:p w14:paraId="7DB956D6" w14:textId="77777777" w:rsidR="00855093" w:rsidRDefault="00855093" w:rsidP="00880E4C">
      <w:pPr>
        <w:pStyle w:val="NormalWeb"/>
        <w:tabs>
          <w:tab w:val="left" w:pos="270"/>
        </w:tabs>
        <w:suppressAutoHyphens w:val="0"/>
        <w:autoSpaceDE w:val="0"/>
        <w:autoSpaceDN w:val="0"/>
        <w:spacing w:before="0" w:after="40"/>
        <w:ind w:right="141"/>
        <w:jc w:val="both"/>
        <w:textAlignment w:val="baseline"/>
        <w:rPr>
          <w:sz w:val="22"/>
          <w:szCs w:val="22"/>
        </w:rPr>
      </w:pPr>
    </w:p>
    <w:p w14:paraId="6695F31B" w14:textId="62AA1FB9" w:rsidR="00852ECE"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t xml:space="preserve">3.3. </w:t>
      </w:r>
      <w:r w:rsidR="00855093" w:rsidRPr="0028595F">
        <w:rPr>
          <w:color w:val="000000" w:themeColor="text1"/>
          <w:sz w:val="22"/>
          <w:szCs w:val="22"/>
        </w:rPr>
        <w:t>Teikdami šį pasiūlymą mes patvirtiname, kad mūsų siūlomos prekės atitinka techninius reikalavimus</w:t>
      </w:r>
      <w:r w:rsidR="00855093">
        <w:rPr>
          <w:color w:val="000000" w:themeColor="text1"/>
          <w:sz w:val="22"/>
          <w:szCs w:val="22"/>
        </w:rPr>
        <w:t>,</w:t>
      </w:r>
      <w:r w:rsidR="00855093" w:rsidRPr="0028595F">
        <w:rPr>
          <w:color w:val="000000" w:themeColor="text1"/>
          <w:sz w:val="22"/>
          <w:szCs w:val="22"/>
        </w:rPr>
        <w:t xml:space="preserve"> nurodytus </w:t>
      </w:r>
      <w:r w:rsidR="00855093">
        <w:rPr>
          <w:color w:val="000000" w:themeColor="text1"/>
          <w:sz w:val="22"/>
          <w:szCs w:val="22"/>
        </w:rPr>
        <w:t xml:space="preserve">specialiųjų </w:t>
      </w:r>
      <w:r w:rsidR="00855093" w:rsidRPr="0028595F">
        <w:rPr>
          <w:color w:val="000000" w:themeColor="text1"/>
          <w:sz w:val="22"/>
          <w:szCs w:val="22"/>
        </w:rPr>
        <w:t>pirkimo sąlygų 2 priede „Techninė specifikacija“ ir prekėms galios pasiūlyta kaina</w:t>
      </w:r>
      <w:r w:rsidR="00855093">
        <w:rPr>
          <w:color w:val="000000" w:themeColor="text1"/>
          <w:sz w:val="22"/>
          <w:szCs w:val="22"/>
        </w:rPr>
        <w:t>.</w:t>
      </w:r>
    </w:p>
    <w:p w14:paraId="5936EA64" w14:textId="5E60A2AB" w:rsidR="004F672F"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t xml:space="preserve">3.4. </w:t>
      </w:r>
      <w:r w:rsidR="004F672F" w:rsidRPr="0028595F">
        <w:rPr>
          <w:color w:val="000000" w:themeColor="text1"/>
          <w:sz w:val="22"/>
          <w:szCs w:val="22"/>
        </w:rPr>
        <w:t xml:space="preserve">Teikdami šį pasiūlymą mes patvirtiname, kad mūsų siūlomos prekės </w:t>
      </w:r>
      <w:r w:rsidR="004F672F">
        <w:rPr>
          <w:color w:val="000000" w:themeColor="text1"/>
          <w:sz w:val="22"/>
          <w:szCs w:val="22"/>
        </w:rPr>
        <w:t xml:space="preserve">yra ilgaamžės, o jos sudedamosios dalys </w:t>
      </w:r>
      <w:r w:rsidR="004F672F" w:rsidRPr="00FD1314">
        <w:rPr>
          <w:color w:val="000000" w:themeColor="text1"/>
          <w:sz w:val="22"/>
          <w:szCs w:val="22"/>
        </w:rPr>
        <w:t xml:space="preserve">lengvai pataisomos ar pakeičiamos ir užtikriname, </w:t>
      </w:r>
      <w:r w:rsidR="004F672F" w:rsidRPr="00FD1314">
        <w:rPr>
          <w:bCs/>
          <w:iCs/>
          <w:sz w:val="22"/>
          <w:szCs w:val="22"/>
        </w:rPr>
        <w:t>kad per garantinį įrangos naudojimo laikotarpį ir bent 5 metus po garantinio laikotarpio bus galima įsigyti originalių arba joms lygiaverčių atsarginių dalių</w:t>
      </w:r>
      <w:r w:rsidR="004F672F">
        <w:rPr>
          <w:bCs/>
          <w:iCs/>
          <w:sz w:val="22"/>
          <w:szCs w:val="22"/>
        </w:rPr>
        <w:t>.</w:t>
      </w:r>
    </w:p>
    <w:p w14:paraId="3CEE7DDF" w14:textId="04976484" w:rsidR="00880E4C"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sz w:val="22"/>
          <w:szCs w:val="22"/>
        </w:rPr>
        <w:t>3</w:t>
      </w:r>
      <w:r w:rsidR="00880E4C" w:rsidRPr="00E0262E">
        <w:rPr>
          <w:sz w:val="22"/>
          <w:szCs w:val="22"/>
        </w:rPr>
        <w:t>.</w:t>
      </w:r>
      <w:r>
        <w:rPr>
          <w:sz w:val="22"/>
          <w:szCs w:val="22"/>
        </w:rPr>
        <w:t>5</w:t>
      </w:r>
      <w:r w:rsidR="00880E4C" w:rsidRPr="00E0262E">
        <w:rPr>
          <w:sz w:val="22"/>
          <w:szCs w:val="22"/>
        </w:rPr>
        <w:t>. P</w:t>
      </w:r>
      <w:r w:rsidR="003C70AF" w:rsidRPr="00E0262E">
        <w:rPr>
          <w:sz w:val="22"/>
          <w:szCs w:val="22"/>
        </w:rPr>
        <w:t>erkančioji organizacija</w:t>
      </w:r>
      <w:r w:rsidR="00880E4C" w:rsidRPr="00E0262E">
        <w:rPr>
          <w:sz w:val="22"/>
          <w:szCs w:val="22"/>
        </w:rPr>
        <w:t xml:space="preserve"> siekia mažinti poveikį aplinkai, įsigydama p</w:t>
      </w:r>
      <w:r w:rsidR="00600CBF" w:rsidRPr="00E0262E">
        <w:rPr>
          <w:sz w:val="22"/>
          <w:szCs w:val="22"/>
        </w:rPr>
        <w:t>rekes</w:t>
      </w:r>
      <w:r w:rsidR="00880E4C"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NormalWeb"/>
        <w:tabs>
          <w:tab w:val="left" w:pos="270"/>
        </w:tabs>
        <w:suppressAutoHyphens w:val="0"/>
        <w:autoSpaceDE w:val="0"/>
        <w:autoSpaceDN w:val="0"/>
        <w:spacing w:before="0" w:after="40"/>
        <w:ind w:right="141"/>
        <w:jc w:val="both"/>
        <w:textAlignment w:val="baseline"/>
        <w:rPr>
          <w:sz w:val="22"/>
          <w:szCs w:val="22"/>
        </w:rPr>
      </w:pPr>
    </w:p>
    <w:tbl>
      <w:tblPr>
        <w:tblStyle w:val="TableGrid"/>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lastRenderedPageBreak/>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0372F9" w:rsidRPr="00E0262E" w14:paraId="4C521AF4" w14:textId="77777777" w:rsidTr="00620E17">
        <w:tc>
          <w:tcPr>
            <w:tcW w:w="851" w:type="dxa"/>
            <w:tcBorders>
              <w:top w:val="single" w:sz="4" w:space="0" w:color="auto"/>
              <w:left w:val="single" w:sz="4" w:space="0" w:color="auto"/>
              <w:bottom w:val="single" w:sz="4" w:space="0" w:color="auto"/>
              <w:right w:val="single" w:sz="4" w:space="0" w:color="auto"/>
            </w:tcBorders>
          </w:tcPr>
          <w:p w14:paraId="1D130832" w14:textId="22DF774E" w:rsidR="000372F9" w:rsidRPr="00E0262E" w:rsidRDefault="0015438F" w:rsidP="00BB7F7E">
            <w:pPr>
              <w:tabs>
                <w:tab w:val="left" w:pos="709"/>
              </w:tabs>
              <w:jc w:val="both"/>
              <w:rPr>
                <w:sz w:val="22"/>
                <w:szCs w:val="22"/>
              </w:rPr>
            </w:pPr>
            <w:r>
              <w:rPr>
                <w:sz w:val="22"/>
                <w:szCs w:val="22"/>
              </w:rPr>
              <w:t>3</w:t>
            </w:r>
            <w:r w:rsidR="000372F9">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7E2E2BC5" w14:textId="3756B322" w:rsidR="000372F9" w:rsidRPr="00E0262E" w:rsidRDefault="000543DE" w:rsidP="00BB7F7E">
            <w:pPr>
              <w:tabs>
                <w:tab w:val="left" w:pos="709"/>
              </w:tabs>
              <w:jc w:val="both"/>
              <w:rPr>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4"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5"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6"/>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6EB53" w14:textId="77777777" w:rsidR="00184FC9" w:rsidRDefault="00184FC9" w:rsidP="00D5620E">
      <w:r>
        <w:separator/>
      </w:r>
    </w:p>
  </w:endnote>
  <w:endnote w:type="continuationSeparator" w:id="0">
    <w:p w14:paraId="1DB2C9C3" w14:textId="77777777" w:rsidR="00184FC9" w:rsidRDefault="00184FC9"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147608"/>
      <w:docPartObj>
        <w:docPartGallery w:val="Page Numbers (Bottom of Page)"/>
        <w:docPartUnique/>
      </w:docPartObj>
    </w:sdtPr>
    <w:sdtEndPr/>
    <w:sdtContent>
      <w:p w14:paraId="13458530" w14:textId="189FFA4C" w:rsidR="00D5620E" w:rsidRPr="00D5620E" w:rsidRDefault="00D5620E">
        <w:pPr>
          <w:pStyle w:val="Footer"/>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27FE" w14:textId="77777777" w:rsidR="00184FC9" w:rsidRDefault="00184FC9" w:rsidP="00D5620E">
      <w:r>
        <w:separator/>
      </w:r>
    </w:p>
  </w:footnote>
  <w:footnote w:type="continuationSeparator" w:id="0">
    <w:p w14:paraId="277B5F54" w14:textId="77777777" w:rsidR="00184FC9" w:rsidRDefault="00184FC9"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6"/>
  </w:num>
  <w:num w:numId="8">
    <w:abstractNumId w:val="6"/>
    <w:lvlOverride w:ilvl="0">
      <w:startOverride w:val="2"/>
    </w:lvlOverride>
    <w:lvlOverride w:ilvl="1">
      <w:startOverride w:val="4"/>
    </w:lvlOverride>
  </w:num>
  <w:num w:numId="9">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1A0E"/>
    <w:rsid w:val="00026304"/>
    <w:rsid w:val="000304FE"/>
    <w:rsid w:val="000372F9"/>
    <w:rsid w:val="00045EA9"/>
    <w:rsid w:val="0004710C"/>
    <w:rsid w:val="000503FA"/>
    <w:rsid w:val="000513B1"/>
    <w:rsid w:val="000543DE"/>
    <w:rsid w:val="00054BC2"/>
    <w:rsid w:val="00056711"/>
    <w:rsid w:val="0006230D"/>
    <w:rsid w:val="000733FC"/>
    <w:rsid w:val="00073751"/>
    <w:rsid w:val="000829B1"/>
    <w:rsid w:val="00083575"/>
    <w:rsid w:val="00092958"/>
    <w:rsid w:val="000A710E"/>
    <w:rsid w:val="000B0349"/>
    <w:rsid w:val="000B04F6"/>
    <w:rsid w:val="000B719A"/>
    <w:rsid w:val="000C0B9F"/>
    <w:rsid w:val="000C17DB"/>
    <w:rsid w:val="000C5A1B"/>
    <w:rsid w:val="000C5D56"/>
    <w:rsid w:val="000D2D10"/>
    <w:rsid w:val="000D4322"/>
    <w:rsid w:val="000D47AC"/>
    <w:rsid w:val="000F05DD"/>
    <w:rsid w:val="000F27E7"/>
    <w:rsid w:val="000F3105"/>
    <w:rsid w:val="000F62D9"/>
    <w:rsid w:val="00106E94"/>
    <w:rsid w:val="001076D7"/>
    <w:rsid w:val="0011513D"/>
    <w:rsid w:val="00120BFB"/>
    <w:rsid w:val="00122D47"/>
    <w:rsid w:val="001235DA"/>
    <w:rsid w:val="00124E7A"/>
    <w:rsid w:val="00135206"/>
    <w:rsid w:val="00150660"/>
    <w:rsid w:val="001521AE"/>
    <w:rsid w:val="0015257C"/>
    <w:rsid w:val="0015417B"/>
    <w:rsid w:val="0015438F"/>
    <w:rsid w:val="00165F14"/>
    <w:rsid w:val="001718EF"/>
    <w:rsid w:val="0017240D"/>
    <w:rsid w:val="00173052"/>
    <w:rsid w:val="00175A3D"/>
    <w:rsid w:val="0018414D"/>
    <w:rsid w:val="00184FC9"/>
    <w:rsid w:val="0018752B"/>
    <w:rsid w:val="001A5383"/>
    <w:rsid w:val="001A6950"/>
    <w:rsid w:val="001C0700"/>
    <w:rsid w:val="001C5FAD"/>
    <w:rsid w:val="001D21B0"/>
    <w:rsid w:val="001D4F60"/>
    <w:rsid w:val="001E03CB"/>
    <w:rsid w:val="001E364C"/>
    <w:rsid w:val="001F4A37"/>
    <w:rsid w:val="002059D3"/>
    <w:rsid w:val="00206973"/>
    <w:rsid w:val="00211A92"/>
    <w:rsid w:val="00213065"/>
    <w:rsid w:val="00215D54"/>
    <w:rsid w:val="00221AC9"/>
    <w:rsid w:val="00226AC7"/>
    <w:rsid w:val="002272FF"/>
    <w:rsid w:val="00244DBE"/>
    <w:rsid w:val="00245418"/>
    <w:rsid w:val="00247D60"/>
    <w:rsid w:val="00257044"/>
    <w:rsid w:val="00265992"/>
    <w:rsid w:val="00265DB2"/>
    <w:rsid w:val="0026660D"/>
    <w:rsid w:val="00273BC4"/>
    <w:rsid w:val="00284EC9"/>
    <w:rsid w:val="0028609E"/>
    <w:rsid w:val="00286BB6"/>
    <w:rsid w:val="002872AF"/>
    <w:rsid w:val="002A1C07"/>
    <w:rsid w:val="002A3D3E"/>
    <w:rsid w:val="002B1EAE"/>
    <w:rsid w:val="002B2E11"/>
    <w:rsid w:val="002B3286"/>
    <w:rsid w:val="002C05F1"/>
    <w:rsid w:val="002C79E6"/>
    <w:rsid w:val="002D295B"/>
    <w:rsid w:val="002E2050"/>
    <w:rsid w:val="00304DE1"/>
    <w:rsid w:val="00307F92"/>
    <w:rsid w:val="00324B2F"/>
    <w:rsid w:val="0033134D"/>
    <w:rsid w:val="0033201D"/>
    <w:rsid w:val="003340D1"/>
    <w:rsid w:val="00341823"/>
    <w:rsid w:val="00356B9C"/>
    <w:rsid w:val="00357B91"/>
    <w:rsid w:val="003602A4"/>
    <w:rsid w:val="00360543"/>
    <w:rsid w:val="0036271A"/>
    <w:rsid w:val="003642C1"/>
    <w:rsid w:val="00370370"/>
    <w:rsid w:val="00373031"/>
    <w:rsid w:val="00381120"/>
    <w:rsid w:val="00381195"/>
    <w:rsid w:val="003B5537"/>
    <w:rsid w:val="003B6F3C"/>
    <w:rsid w:val="003C70AF"/>
    <w:rsid w:val="003D1C42"/>
    <w:rsid w:val="003E0ACE"/>
    <w:rsid w:val="003E5559"/>
    <w:rsid w:val="003E5B7D"/>
    <w:rsid w:val="003E5E4F"/>
    <w:rsid w:val="003E64DB"/>
    <w:rsid w:val="003F1605"/>
    <w:rsid w:val="003F53BC"/>
    <w:rsid w:val="00400D73"/>
    <w:rsid w:val="00401E29"/>
    <w:rsid w:val="00411234"/>
    <w:rsid w:val="00431EC0"/>
    <w:rsid w:val="00432395"/>
    <w:rsid w:val="00433B18"/>
    <w:rsid w:val="00436C09"/>
    <w:rsid w:val="004403FA"/>
    <w:rsid w:val="004409C8"/>
    <w:rsid w:val="004427AB"/>
    <w:rsid w:val="00444DA1"/>
    <w:rsid w:val="00446D4D"/>
    <w:rsid w:val="0045180C"/>
    <w:rsid w:val="00460201"/>
    <w:rsid w:val="00460DE6"/>
    <w:rsid w:val="00462ABF"/>
    <w:rsid w:val="004647BE"/>
    <w:rsid w:val="004733A9"/>
    <w:rsid w:val="00476F43"/>
    <w:rsid w:val="004803C1"/>
    <w:rsid w:val="0049130A"/>
    <w:rsid w:val="004952C5"/>
    <w:rsid w:val="004A25F4"/>
    <w:rsid w:val="004A79DA"/>
    <w:rsid w:val="004B5331"/>
    <w:rsid w:val="004D2A66"/>
    <w:rsid w:val="004E6D36"/>
    <w:rsid w:val="004F672F"/>
    <w:rsid w:val="00507D8B"/>
    <w:rsid w:val="0051035E"/>
    <w:rsid w:val="005237AF"/>
    <w:rsid w:val="005257E7"/>
    <w:rsid w:val="0052590A"/>
    <w:rsid w:val="00526922"/>
    <w:rsid w:val="005301D7"/>
    <w:rsid w:val="005329E3"/>
    <w:rsid w:val="00534144"/>
    <w:rsid w:val="00535A6A"/>
    <w:rsid w:val="005401C9"/>
    <w:rsid w:val="00565D0B"/>
    <w:rsid w:val="00567FFD"/>
    <w:rsid w:val="005808EF"/>
    <w:rsid w:val="005831FF"/>
    <w:rsid w:val="00593DA8"/>
    <w:rsid w:val="00593E2E"/>
    <w:rsid w:val="005B0CE0"/>
    <w:rsid w:val="005B25F7"/>
    <w:rsid w:val="005B523E"/>
    <w:rsid w:val="005C33F1"/>
    <w:rsid w:val="005C3B4D"/>
    <w:rsid w:val="005C74B9"/>
    <w:rsid w:val="005D12D3"/>
    <w:rsid w:val="005D33CB"/>
    <w:rsid w:val="005D7961"/>
    <w:rsid w:val="005E55D2"/>
    <w:rsid w:val="005F09C4"/>
    <w:rsid w:val="005F1230"/>
    <w:rsid w:val="005F6440"/>
    <w:rsid w:val="00600CBF"/>
    <w:rsid w:val="00607857"/>
    <w:rsid w:val="00610BC1"/>
    <w:rsid w:val="00624F5D"/>
    <w:rsid w:val="00626AC2"/>
    <w:rsid w:val="0064305E"/>
    <w:rsid w:val="00656C02"/>
    <w:rsid w:val="0067489B"/>
    <w:rsid w:val="00680EDD"/>
    <w:rsid w:val="00687CAC"/>
    <w:rsid w:val="006929FD"/>
    <w:rsid w:val="006A1168"/>
    <w:rsid w:val="006B0BF3"/>
    <w:rsid w:val="006B0DDD"/>
    <w:rsid w:val="006C1801"/>
    <w:rsid w:val="006D021E"/>
    <w:rsid w:val="006D1577"/>
    <w:rsid w:val="006D18F3"/>
    <w:rsid w:val="006D337A"/>
    <w:rsid w:val="006E3DFF"/>
    <w:rsid w:val="006E7D5E"/>
    <w:rsid w:val="006F2099"/>
    <w:rsid w:val="00701409"/>
    <w:rsid w:val="00716E69"/>
    <w:rsid w:val="007173D9"/>
    <w:rsid w:val="00722DE8"/>
    <w:rsid w:val="00724748"/>
    <w:rsid w:val="007249CA"/>
    <w:rsid w:val="0072632E"/>
    <w:rsid w:val="00733D58"/>
    <w:rsid w:val="00735E5B"/>
    <w:rsid w:val="00744CC5"/>
    <w:rsid w:val="00750538"/>
    <w:rsid w:val="00781EAE"/>
    <w:rsid w:val="007916C7"/>
    <w:rsid w:val="00794FE7"/>
    <w:rsid w:val="007B0D5F"/>
    <w:rsid w:val="007B39E5"/>
    <w:rsid w:val="007B789B"/>
    <w:rsid w:val="007C28DF"/>
    <w:rsid w:val="007C36AF"/>
    <w:rsid w:val="007C4EB2"/>
    <w:rsid w:val="007D4D8B"/>
    <w:rsid w:val="007E2138"/>
    <w:rsid w:val="007F749E"/>
    <w:rsid w:val="008116AC"/>
    <w:rsid w:val="008149C2"/>
    <w:rsid w:val="00852360"/>
    <w:rsid w:val="00852ECE"/>
    <w:rsid w:val="00855093"/>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6402"/>
    <w:rsid w:val="008F47FE"/>
    <w:rsid w:val="0090656A"/>
    <w:rsid w:val="0091059A"/>
    <w:rsid w:val="0092260B"/>
    <w:rsid w:val="00937EE6"/>
    <w:rsid w:val="00940552"/>
    <w:rsid w:val="00954DB7"/>
    <w:rsid w:val="00961BCA"/>
    <w:rsid w:val="00964B05"/>
    <w:rsid w:val="00966EEB"/>
    <w:rsid w:val="009709C1"/>
    <w:rsid w:val="009757CC"/>
    <w:rsid w:val="0098587F"/>
    <w:rsid w:val="009917EF"/>
    <w:rsid w:val="009920CB"/>
    <w:rsid w:val="00994681"/>
    <w:rsid w:val="009B0570"/>
    <w:rsid w:val="009C32E1"/>
    <w:rsid w:val="009C5195"/>
    <w:rsid w:val="009D4099"/>
    <w:rsid w:val="009E6F1D"/>
    <w:rsid w:val="009F0390"/>
    <w:rsid w:val="00A04C83"/>
    <w:rsid w:val="00A0774D"/>
    <w:rsid w:val="00A153B5"/>
    <w:rsid w:val="00A30953"/>
    <w:rsid w:val="00A30954"/>
    <w:rsid w:val="00A362ED"/>
    <w:rsid w:val="00A36785"/>
    <w:rsid w:val="00A44469"/>
    <w:rsid w:val="00A462F3"/>
    <w:rsid w:val="00A47650"/>
    <w:rsid w:val="00A511E1"/>
    <w:rsid w:val="00A5495D"/>
    <w:rsid w:val="00A55776"/>
    <w:rsid w:val="00A568E3"/>
    <w:rsid w:val="00A707EB"/>
    <w:rsid w:val="00A7397D"/>
    <w:rsid w:val="00A74FF1"/>
    <w:rsid w:val="00A80AD4"/>
    <w:rsid w:val="00A8575A"/>
    <w:rsid w:val="00A9671B"/>
    <w:rsid w:val="00AA173E"/>
    <w:rsid w:val="00AA623E"/>
    <w:rsid w:val="00AA6B9A"/>
    <w:rsid w:val="00AD0393"/>
    <w:rsid w:val="00AD0963"/>
    <w:rsid w:val="00AD3787"/>
    <w:rsid w:val="00AE1B28"/>
    <w:rsid w:val="00AE5856"/>
    <w:rsid w:val="00AE78A0"/>
    <w:rsid w:val="00AE792C"/>
    <w:rsid w:val="00AF1216"/>
    <w:rsid w:val="00AF2FDD"/>
    <w:rsid w:val="00AF3676"/>
    <w:rsid w:val="00AF7734"/>
    <w:rsid w:val="00AF7C72"/>
    <w:rsid w:val="00B00F16"/>
    <w:rsid w:val="00B01358"/>
    <w:rsid w:val="00B02A01"/>
    <w:rsid w:val="00B11CA8"/>
    <w:rsid w:val="00B256F9"/>
    <w:rsid w:val="00B27594"/>
    <w:rsid w:val="00B3242F"/>
    <w:rsid w:val="00B34380"/>
    <w:rsid w:val="00B43797"/>
    <w:rsid w:val="00B47825"/>
    <w:rsid w:val="00B51535"/>
    <w:rsid w:val="00B53CBE"/>
    <w:rsid w:val="00B561D1"/>
    <w:rsid w:val="00B63F74"/>
    <w:rsid w:val="00B739CC"/>
    <w:rsid w:val="00B74F37"/>
    <w:rsid w:val="00B809CE"/>
    <w:rsid w:val="00B94278"/>
    <w:rsid w:val="00B942C6"/>
    <w:rsid w:val="00BB663A"/>
    <w:rsid w:val="00BC6C2E"/>
    <w:rsid w:val="00BD1AB2"/>
    <w:rsid w:val="00BD1EB4"/>
    <w:rsid w:val="00BD6C0B"/>
    <w:rsid w:val="00BE096C"/>
    <w:rsid w:val="00BE6F24"/>
    <w:rsid w:val="00BF05DB"/>
    <w:rsid w:val="00BF350D"/>
    <w:rsid w:val="00BF3C9D"/>
    <w:rsid w:val="00C00876"/>
    <w:rsid w:val="00C03750"/>
    <w:rsid w:val="00C11DD1"/>
    <w:rsid w:val="00C16D7E"/>
    <w:rsid w:val="00C20E7C"/>
    <w:rsid w:val="00C22084"/>
    <w:rsid w:val="00C24098"/>
    <w:rsid w:val="00C24BA9"/>
    <w:rsid w:val="00C25E59"/>
    <w:rsid w:val="00C27C08"/>
    <w:rsid w:val="00C3243D"/>
    <w:rsid w:val="00C505C8"/>
    <w:rsid w:val="00C51533"/>
    <w:rsid w:val="00C55AAB"/>
    <w:rsid w:val="00C636E9"/>
    <w:rsid w:val="00C8049A"/>
    <w:rsid w:val="00C903A6"/>
    <w:rsid w:val="00C92F6D"/>
    <w:rsid w:val="00CA555F"/>
    <w:rsid w:val="00CB2C08"/>
    <w:rsid w:val="00CC42F3"/>
    <w:rsid w:val="00CC4689"/>
    <w:rsid w:val="00CD582E"/>
    <w:rsid w:val="00CD6D06"/>
    <w:rsid w:val="00CE2C30"/>
    <w:rsid w:val="00CE4142"/>
    <w:rsid w:val="00CF0EED"/>
    <w:rsid w:val="00CF2275"/>
    <w:rsid w:val="00D13A01"/>
    <w:rsid w:val="00D14688"/>
    <w:rsid w:val="00D2594D"/>
    <w:rsid w:val="00D27B02"/>
    <w:rsid w:val="00D27B42"/>
    <w:rsid w:val="00D375BA"/>
    <w:rsid w:val="00D376D7"/>
    <w:rsid w:val="00D4143B"/>
    <w:rsid w:val="00D42D7B"/>
    <w:rsid w:val="00D5334F"/>
    <w:rsid w:val="00D5620E"/>
    <w:rsid w:val="00D63D50"/>
    <w:rsid w:val="00D64DEE"/>
    <w:rsid w:val="00D6510E"/>
    <w:rsid w:val="00D658A3"/>
    <w:rsid w:val="00D769B3"/>
    <w:rsid w:val="00D80603"/>
    <w:rsid w:val="00D80FA2"/>
    <w:rsid w:val="00D94993"/>
    <w:rsid w:val="00D95FFF"/>
    <w:rsid w:val="00DA138A"/>
    <w:rsid w:val="00DA65B4"/>
    <w:rsid w:val="00DA6F5C"/>
    <w:rsid w:val="00DA7477"/>
    <w:rsid w:val="00DC6944"/>
    <w:rsid w:val="00DD0D3F"/>
    <w:rsid w:val="00DD1DF6"/>
    <w:rsid w:val="00DD4829"/>
    <w:rsid w:val="00DE3609"/>
    <w:rsid w:val="00DE6A01"/>
    <w:rsid w:val="00DF34FF"/>
    <w:rsid w:val="00DF647C"/>
    <w:rsid w:val="00E0262E"/>
    <w:rsid w:val="00E036F2"/>
    <w:rsid w:val="00E110CC"/>
    <w:rsid w:val="00E115CF"/>
    <w:rsid w:val="00E11961"/>
    <w:rsid w:val="00E11C33"/>
    <w:rsid w:val="00E24D44"/>
    <w:rsid w:val="00E25C92"/>
    <w:rsid w:val="00E2662B"/>
    <w:rsid w:val="00E315D0"/>
    <w:rsid w:val="00E32E4E"/>
    <w:rsid w:val="00E41A99"/>
    <w:rsid w:val="00E43B3E"/>
    <w:rsid w:val="00E507D6"/>
    <w:rsid w:val="00E556C9"/>
    <w:rsid w:val="00E55856"/>
    <w:rsid w:val="00E6380C"/>
    <w:rsid w:val="00E65B9E"/>
    <w:rsid w:val="00E67E35"/>
    <w:rsid w:val="00E75179"/>
    <w:rsid w:val="00E76E44"/>
    <w:rsid w:val="00E77A50"/>
    <w:rsid w:val="00E819D4"/>
    <w:rsid w:val="00E821C2"/>
    <w:rsid w:val="00E85179"/>
    <w:rsid w:val="00E933ED"/>
    <w:rsid w:val="00E95531"/>
    <w:rsid w:val="00EB4DB8"/>
    <w:rsid w:val="00EB603D"/>
    <w:rsid w:val="00EC3336"/>
    <w:rsid w:val="00ED1D0A"/>
    <w:rsid w:val="00ED7FA9"/>
    <w:rsid w:val="00EF1E19"/>
    <w:rsid w:val="00EF722D"/>
    <w:rsid w:val="00F03E4A"/>
    <w:rsid w:val="00F049B6"/>
    <w:rsid w:val="00F06F58"/>
    <w:rsid w:val="00F15930"/>
    <w:rsid w:val="00F24EB3"/>
    <w:rsid w:val="00F43C3D"/>
    <w:rsid w:val="00F50F80"/>
    <w:rsid w:val="00F569B7"/>
    <w:rsid w:val="00F579D2"/>
    <w:rsid w:val="00F72AE8"/>
    <w:rsid w:val="00F747D4"/>
    <w:rsid w:val="00F762BB"/>
    <w:rsid w:val="00F82928"/>
    <w:rsid w:val="00F86890"/>
    <w:rsid w:val="00F872A9"/>
    <w:rsid w:val="00F93081"/>
    <w:rsid w:val="00FA29F0"/>
    <w:rsid w:val="00FA5B0F"/>
    <w:rsid w:val="00FB18F4"/>
    <w:rsid w:val="00FB21B2"/>
    <w:rsid w:val="00FB784B"/>
    <w:rsid w:val="00FD5DEF"/>
    <w:rsid w:val="00FE28B9"/>
    <w:rsid w:val="00FF23AA"/>
    <w:rsid w:val="00FF2EC6"/>
    <w:rsid w:val="30AE9A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styleId="BodyText">
    <w:name w:val="Body Text"/>
    <w:aliases w:val="body indent,ändrad,Body single,EHPT,Body Text2"/>
    <w:basedOn w:val="Normal"/>
    <w:link w:val="BodyTextChar"/>
    <w:rsid w:val="009917EF"/>
    <w:pPr>
      <w:suppressAutoHyphens/>
      <w:spacing w:after="120"/>
    </w:pPr>
    <w:rPr>
      <w:sz w:val="22"/>
      <w:szCs w:val="22"/>
      <w:lang w:eastAsia="zh-CN"/>
    </w:rPr>
  </w:style>
  <w:style w:type="character" w:customStyle="1" w:styleId="BodyTextChar">
    <w:name w:val="Body Text Char"/>
    <w:aliases w:val="body indent Char,ändrad Char,Body single Char,EHPT Char,Body Text2 Char"/>
    <w:basedOn w:val="DefaultParagraphFont"/>
    <w:link w:val="BodyText"/>
    <w:rsid w:val="009917EF"/>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PVMpagalba(Pasiulymoform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hyperlink" Target="https://vpt.lrv.lt/uploads/vpt/documents/files/mp/konfidenciali_informa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8BD176-A995-4F1C-BD1E-3C27DBB9A40C}">
  <ds:schemaRefs>
    <ds:schemaRef ds:uri="http://schemas.openxmlformats.org/officeDocument/2006/bibliography"/>
  </ds:schemaRefs>
</ds:datastoreItem>
</file>

<file path=customXml/itemProps2.xml><?xml version="1.0" encoding="utf-8"?>
<ds:datastoreItem xmlns:ds="http://schemas.openxmlformats.org/officeDocument/2006/customXml" ds:itemID="{044DD4D7-C111-4070-99DC-323023658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E76D3-5534-4155-B5AD-BEA8EC54A0F0}">
  <ds:schemaRefs>
    <ds:schemaRef ds:uri="http://schemas.microsoft.com/sharepoint/v3/contenttype/forms"/>
  </ds:schemaRefs>
</ds:datastoreItem>
</file>

<file path=customXml/itemProps4.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6440</Words>
  <Characters>3671</Characters>
  <Application>Microsoft Office Word</Application>
  <DocSecurity>0</DocSecurity>
  <Lines>30</Lines>
  <Paragraphs>20</Paragraphs>
  <ScaleCrop>false</ScaleCrop>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Almina Zinevičienė</cp:lastModifiedBy>
  <cp:revision>3</cp:revision>
  <cp:lastPrinted>2024-01-05T13:07:00Z</cp:lastPrinted>
  <dcterms:created xsi:type="dcterms:W3CDTF">2025-06-16T06:54:00Z</dcterms:created>
  <dcterms:modified xsi:type="dcterms:W3CDTF">2025-06-16T07:26:00Z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