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5721181A" w14:textId="120B682F" w:rsidR="007F6317" w:rsidRDefault="007F6317" w:rsidP="00870FCE">
      <w:pPr>
        <w:spacing w:line="259" w:lineRule="auto"/>
        <w:jc w:val="center"/>
        <w:rPr>
          <w:b/>
          <w:caps/>
          <w:sz w:val="20"/>
        </w:rPr>
      </w:pPr>
      <w:r>
        <w:rPr>
          <w:b/>
          <w:caps/>
          <w:sz w:val="20"/>
        </w:rPr>
        <w:t>R</w:t>
      </w:r>
      <w:r w:rsidRPr="007F6317">
        <w:rPr>
          <w:b/>
          <w:caps/>
          <w:sz w:val="20"/>
        </w:rPr>
        <w:t xml:space="preserve">EAGENTAI </w:t>
      </w:r>
      <w:r w:rsidR="00D651C0">
        <w:rPr>
          <w:b/>
          <w:caps/>
          <w:sz w:val="20"/>
        </w:rPr>
        <w:t>INFEKCINIŲ SUKĖLĖJŲ NUSTATYMUI</w:t>
      </w: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7231163C" w:rsidR="004119FB" w:rsidRPr="00704FFB" w:rsidRDefault="00237F45" w:rsidP="004119FB">
            <w:pPr>
              <w:spacing w:line="259" w:lineRule="auto"/>
              <w:jc w:val="center"/>
              <w:rPr>
                <w:b/>
                <w:caps/>
                <w:sz w:val="22"/>
                <w:szCs w:val="22"/>
              </w:rPr>
            </w:pPr>
            <w:r>
              <w:rPr>
                <w:b/>
                <w:sz w:val="22"/>
                <w:szCs w:val="22"/>
              </w:rPr>
              <w:t>R</w:t>
            </w:r>
            <w:r w:rsidRPr="00237F45">
              <w:rPr>
                <w:b/>
                <w:sz w:val="22"/>
                <w:szCs w:val="22"/>
              </w:rPr>
              <w:t xml:space="preserve">EAGENTAI </w:t>
            </w:r>
            <w:r w:rsidR="001773F4">
              <w:rPr>
                <w:b/>
                <w:sz w:val="22"/>
                <w:szCs w:val="22"/>
              </w:rPr>
              <w:t>INFEKCINIŲ SUKĖLĖJŲ NUSTATYMUI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015435CB" w:rsidR="004941FD" w:rsidRDefault="001773F4" w:rsidP="004941FD">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el.p. </w:t>
            </w:r>
            <w:hyperlink r:id="rId16" w:history="1">
              <w:r w:rsidRPr="00165F8F">
                <w:rPr>
                  <w:rStyle w:val="Hipersaitas"/>
                  <w:sz w:val="22"/>
                  <w:szCs w:val="22"/>
                </w:rPr>
                <w:t>inga.vilke@kulig.lt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7"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r>
              <w:rPr>
                <w:rFonts w:eastAsia="Calibri"/>
                <w:sz w:val="22"/>
                <w:szCs w:val="22"/>
                <w14:ligatures w14:val="standardContextual"/>
              </w:rPr>
              <w:t>L.e.p. v</w:t>
            </w:r>
            <w:r w:rsidR="004941FD" w:rsidRPr="004C5E61">
              <w:rPr>
                <w:rFonts w:eastAsia="Calibri"/>
                <w:sz w:val="22"/>
                <w:szCs w:val="22"/>
                <w14:ligatures w14:val="standardContextual"/>
              </w:rPr>
              <w:t>yriausioji finansinink</w:t>
            </w:r>
            <w:r>
              <w:rPr>
                <w:rFonts w:eastAsia="Calibri"/>
                <w:sz w:val="22"/>
                <w:szCs w:val="22"/>
                <w14:ligatures w14:val="standardContextual"/>
              </w:rPr>
              <w:t>ė  Danguolė Bružienė</w:t>
            </w:r>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8"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1D232684"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Pr>
                <w:kern w:val="2"/>
                <w:sz w:val="22"/>
                <w:szCs w:val="22"/>
              </w:rPr>
              <w:t>reagentus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5DFDB7A5" w:rsidR="006966BB" w:rsidRPr="00B469E1" w:rsidRDefault="006966BB" w:rsidP="006966BB">
            <w:pPr>
              <w:autoSpaceDE w:val="0"/>
              <w:autoSpaceDN w:val="0"/>
              <w:adjustRightInd w:val="0"/>
              <w:rPr>
                <w:sz w:val="22"/>
                <w:szCs w:val="22"/>
              </w:rPr>
            </w:pPr>
            <w:r w:rsidRPr="009A107B">
              <w:rPr>
                <w:rFonts w:eastAsia="TimesNewRomanPSMT"/>
                <w:sz w:val="22"/>
                <w:szCs w:val="22"/>
              </w:rPr>
              <w:t>Tiekėja</w:t>
            </w:r>
            <w:r w:rsidR="008D3979">
              <w:rPr>
                <w:rFonts w:eastAsia="TimesNewRomanPSMT"/>
                <w:sz w:val="22"/>
                <w:szCs w:val="22"/>
              </w:rPr>
              <w:t>s</w:t>
            </w:r>
            <w:r w:rsidRPr="009A107B">
              <w:rPr>
                <w:rFonts w:eastAsia="TimesNewRomanPSMT"/>
                <w:sz w:val="22"/>
                <w:szCs w:val="22"/>
              </w:rPr>
              <w:t xml:space="preserve"> turi garantuoti lanksčią nepertraukiamą reagentų ir eksploatacinių</w:t>
            </w:r>
            <w:r>
              <w:rPr>
                <w:rFonts w:eastAsia="TimesNewRomanPSMT"/>
                <w:sz w:val="22"/>
                <w:szCs w:val="22"/>
              </w:rPr>
              <w:t xml:space="preserve"> </w:t>
            </w:r>
            <w:r w:rsidRPr="009A107B">
              <w:rPr>
                <w:rFonts w:eastAsia="TimesNewRomanPSMT"/>
                <w:sz w:val="22"/>
                <w:szCs w:val="22"/>
              </w:rPr>
              <w:t xml:space="preserve">medžiagų tiekimo pagal poreikį sistemą: planinis - per </w:t>
            </w:r>
            <w:r w:rsidR="00E31B0E">
              <w:rPr>
                <w:rFonts w:eastAsia="TimesNewRomanPSMT"/>
                <w:sz w:val="22"/>
                <w:szCs w:val="22"/>
              </w:rPr>
              <w:t>14</w:t>
            </w:r>
            <w:r w:rsidRPr="009A107B">
              <w:rPr>
                <w:rFonts w:eastAsia="TimesNewRomanPSMT"/>
                <w:sz w:val="22"/>
                <w:szCs w:val="22"/>
              </w:rPr>
              <w:t xml:space="preserve"> (</w:t>
            </w:r>
            <w:r w:rsidR="00E31B0E">
              <w:rPr>
                <w:rFonts w:eastAsia="TimesNewRomanPSMT"/>
                <w:sz w:val="22"/>
                <w:szCs w:val="22"/>
              </w:rPr>
              <w:t>keturiolika</w:t>
            </w:r>
            <w:r>
              <w:rPr>
                <w:rFonts w:eastAsia="TimesNewRomanPSMT"/>
                <w:sz w:val="22"/>
                <w:szCs w:val="22"/>
              </w:rPr>
              <w:t>)</w:t>
            </w:r>
            <w:r w:rsidRPr="009A107B">
              <w:rPr>
                <w:rFonts w:eastAsia="TimesNewRomanPSMT"/>
                <w:sz w:val="22"/>
                <w:szCs w:val="22"/>
              </w:rPr>
              <w:t xml:space="preserve"> darbo</w:t>
            </w:r>
            <w:r>
              <w:rPr>
                <w:rFonts w:eastAsia="TimesNewRomanPSMT"/>
                <w:sz w:val="22"/>
                <w:szCs w:val="22"/>
              </w:rPr>
              <w:t xml:space="preserve"> </w:t>
            </w:r>
            <w:r w:rsidRPr="009A107B">
              <w:rPr>
                <w:rFonts w:eastAsia="TimesNewRomanPSMT"/>
                <w:sz w:val="22"/>
                <w:szCs w:val="22"/>
              </w:rPr>
              <w:t>dien</w:t>
            </w:r>
            <w:r w:rsidR="00E31B0E">
              <w:rPr>
                <w:rFonts w:eastAsia="TimesNewRomanPSMT"/>
                <w:sz w:val="22"/>
                <w:szCs w:val="22"/>
              </w:rPr>
              <w:t>ų</w:t>
            </w:r>
            <w:r w:rsidRPr="009A107B">
              <w:rPr>
                <w:rFonts w:eastAsia="TimesNewRomanPSMT"/>
                <w:sz w:val="22"/>
                <w:szCs w:val="22"/>
              </w:rPr>
              <w:t xml:space="preserve"> nuo užsakymo pateikimo; skubus - per </w:t>
            </w:r>
            <w:r w:rsidR="00E31B0E">
              <w:rPr>
                <w:rFonts w:eastAsia="TimesNewRomanPSMT"/>
                <w:sz w:val="22"/>
                <w:szCs w:val="22"/>
              </w:rPr>
              <w:t>3</w:t>
            </w:r>
            <w:r w:rsidRPr="009A107B">
              <w:rPr>
                <w:rFonts w:eastAsia="TimesNewRomanPSMT"/>
                <w:sz w:val="22"/>
                <w:szCs w:val="22"/>
              </w:rPr>
              <w:t xml:space="preserve"> (</w:t>
            </w:r>
            <w:r w:rsidR="00E31B0E">
              <w:rPr>
                <w:rFonts w:eastAsia="TimesNewRomanPSMT"/>
                <w:sz w:val="22"/>
                <w:szCs w:val="22"/>
              </w:rPr>
              <w:t>tris</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941FD" w:rsidRPr="000D629B" w14:paraId="7DF244B9" w14:textId="77777777" w:rsidTr="003241C0">
        <w:trPr>
          <w:trHeight w:val="300"/>
        </w:trPr>
        <w:tc>
          <w:tcPr>
            <w:tcW w:w="3479" w:type="dxa"/>
            <w:gridSpan w:val="2"/>
          </w:tcPr>
          <w:p w14:paraId="43FAD19B" w14:textId="77777777" w:rsidR="004941FD" w:rsidRPr="000D629B" w:rsidRDefault="004941FD" w:rsidP="004941FD">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E0443E" w14:textId="3226727E" w:rsidR="004941FD" w:rsidRDefault="004941FD" w:rsidP="004941FD">
            <w:pPr>
              <w:rPr>
                <w:sz w:val="22"/>
                <w:szCs w:val="22"/>
              </w:rPr>
            </w:pPr>
            <w:r w:rsidRPr="00500569">
              <w:rPr>
                <w:kern w:val="2"/>
                <w:sz w:val="22"/>
                <w:szCs w:val="22"/>
              </w:rPr>
              <w:t>CE sertifikatai (</w:t>
            </w:r>
            <w:r w:rsidRPr="00500569">
              <w:rPr>
                <w:sz w:val="22"/>
                <w:szCs w:val="22"/>
              </w:rPr>
              <w:t>arba lygiaverčiai dokumentai);</w:t>
            </w:r>
          </w:p>
          <w:p w14:paraId="7F265D8C" w14:textId="24E35392" w:rsidR="00C231DA" w:rsidRDefault="00E31B0E" w:rsidP="004941FD">
            <w:pPr>
              <w:rPr>
                <w:sz w:val="22"/>
                <w:szCs w:val="22"/>
              </w:rPr>
            </w:pPr>
            <w:r w:rsidRPr="00E31B0E">
              <w:rPr>
                <w:sz w:val="22"/>
                <w:szCs w:val="22"/>
              </w:rPr>
              <w:t>Tiekėjai turi pateikti lietuvių kalba reagentų, kalibravimo ir kontrolinių medžiagų, kitų eksploatacinių medžiagų naudojimo instrukcijas, darbo metodikas bei saugos duomenų lapus</w:t>
            </w:r>
            <w:r w:rsidR="00C231DA">
              <w:rPr>
                <w:sz w:val="22"/>
                <w:szCs w:val="22"/>
              </w:rPr>
              <w:t>.</w:t>
            </w:r>
          </w:p>
          <w:p w14:paraId="5EA37DF6" w14:textId="77777777" w:rsidR="007E7B6B" w:rsidRDefault="007E7B6B" w:rsidP="004941FD">
            <w:pPr>
              <w:rPr>
                <w:sz w:val="22"/>
                <w:szCs w:val="22"/>
              </w:rPr>
            </w:pPr>
          </w:p>
          <w:p w14:paraId="7F3DB915" w14:textId="03341FBF" w:rsidR="004941FD" w:rsidRPr="000D629B" w:rsidRDefault="007E7B6B" w:rsidP="001731EB">
            <w:pPr>
              <w:jc w:val="both"/>
              <w:rPr>
                <w:kern w:val="2"/>
                <w:sz w:val="22"/>
                <w:szCs w:val="22"/>
              </w:rPr>
            </w:pPr>
            <w:r>
              <w:rPr>
                <w:sz w:val="22"/>
                <w:szCs w:val="22"/>
              </w:rPr>
              <w:t xml:space="preserve"> </w:t>
            </w:r>
            <w:r w:rsidR="004941FD" w:rsidRPr="00500569">
              <w:rPr>
                <w:kern w:val="2"/>
                <w:sz w:val="22"/>
                <w:szCs w:val="22"/>
              </w:rPr>
              <w:t>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487ED8" w:rsidRDefault="00191293" w:rsidP="0019129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io</w:t>
            </w:r>
            <w:r w:rsidRPr="00487ED8">
              <w:rPr>
                <w:b/>
                <w:bCs/>
                <w:kern w:val="2"/>
                <w:szCs w:val="24"/>
              </w:rPr>
              <w:t xml:space="preserve"> kainodara</w:t>
            </w:r>
          </w:p>
          <w:p w14:paraId="4EC2D1D3" w14:textId="67CF20B5" w:rsidR="00191293" w:rsidRPr="00487ED8" w:rsidRDefault="00191293" w:rsidP="00191293">
            <w:pPr>
              <w:rPr>
                <w:b/>
                <w:bCs/>
                <w:kern w:val="2"/>
                <w:sz w:val="22"/>
                <w:szCs w:val="22"/>
              </w:rPr>
            </w:pPr>
          </w:p>
          <w:p w14:paraId="22F87813" w14:textId="77777777" w:rsidR="00191293" w:rsidRPr="00487ED8" w:rsidRDefault="00191293" w:rsidP="00191293">
            <w:pPr>
              <w:rPr>
                <w:b/>
                <w:bCs/>
                <w:kern w:val="2"/>
                <w:sz w:val="22"/>
                <w:szCs w:val="22"/>
              </w:rPr>
            </w:pPr>
          </w:p>
          <w:p w14:paraId="7E8E03C6" w14:textId="77777777" w:rsidR="00191293" w:rsidRPr="00487ED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77777777"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6F50EC"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77777777" w:rsidR="00BF7C3D" w:rsidRPr="0002238B" w:rsidRDefault="00BF7C3D" w:rsidP="00BF7C3D">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3CF271B9" w:rsidR="00E76B91" w:rsidRPr="007670CD" w:rsidRDefault="00E8548C" w:rsidP="00E76B91">
            <w:pPr>
              <w:jc w:val="both"/>
              <w:rPr>
                <w:kern w:val="2"/>
                <w:sz w:val="22"/>
                <w:szCs w:val="22"/>
              </w:rPr>
            </w:pPr>
            <w:r w:rsidRPr="000D629B">
              <w:rPr>
                <w:kern w:val="2"/>
                <w:sz w:val="22"/>
                <w:szCs w:val="22"/>
              </w:rPr>
              <w:lastRenderedPageBreak/>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mėnesiai.</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9D3EE2" w:rsidRDefault="00B70411" w:rsidP="00B70411">
            <w:pPr>
              <w:jc w:val="both"/>
              <w:rPr>
                <w:kern w:val="2"/>
                <w:sz w:val="22"/>
                <w:szCs w:val="22"/>
              </w:rPr>
            </w:pPr>
            <w:r w:rsidRPr="009D3EE2">
              <w:rPr>
                <w:kern w:val="2"/>
                <w:sz w:val="22"/>
                <w:szCs w:val="22"/>
              </w:rPr>
              <w:t>1</w:t>
            </w:r>
            <w:r w:rsidR="003850F6" w:rsidRPr="009D3EE2">
              <w:rPr>
                <w:kern w:val="2"/>
                <w:sz w:val="22"/>
                <w:szCs w:val="22"/>
              </w:rPr>
              <w:t>2</w:t>
            </w:r>
            <w:r w:rsidRPr="009D3EE2">
              <w:rPr>
                <w:kern w:val="2"/>
                <w:sz w:val="22"/>
                <w:szCs w:val="22"/>
              </w:rPr>
              <w:t>.2.1. jeigu Tiekėjas nevykdo prisiimtų įsipareigojimų už Sutartyje nustatytą Sutarties kainą / įkainius;</w:t>
            </w:r>
          </w:p>
          <w:p w14:paraId="19C1097D" w14:textId="56A8F3AA" w:rsidR="00B70411" w:rsidRPr="009D3EE2" w:rsidRDefault="00B70411" w:rsidP="00B70411">
            <w:pPr>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.2.2. jeigu Tiekėjas vėluoja pristatyti Prekes Sutartyje nustatytu Prekių pristatymo terminu ir jų nepristato per Pirkėjo raštu nustatytą papildomą protingą terminą;</w:t>
            </w:r>
          </w:p>
          <w:p w14:paraId="1D95B310" w14:textId="2A98A83C"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.2.3. Tiekėjas pažeidžia Prekių pristatymo terminus ir dėl Prekių pristatymo vėlavimo Prekės tampa nebereikalingos;</w:t>
            </w:r>
          </w:p>
          <w:p w14:paraId="13033E90" w14:textId="3D7AD9B8"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 xml:space="preserve">.2.4.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.2.5. Tiekėjas pažeidžia šios Sutarties nuostatas, reglamentuojančias konkurenciją, intelektinės nuosavybės ar konfidencialios informacijos valdymą;</w:t>
            </w:r>
          </w:p>
          <w:p w14:paraId="5C3ACF1D" w14:textId="544BCD7E"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.2.6.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96781" w:rsidRPr="000D629B" w14:paraId="3A71B694" w14:textId="77777777" w:rsidTr="003241C0">
        <w:trPr>
          <w:trHeight w:val="300"/>
        </w:trPr>
        <w:tc>
          <w:tcPr>
            <w:tcW w:w="3374" w:type="dxa"/>
          </w:tcPr>
          <w:p w14:paraId="5F569F22" w14:textId="77777777" w:rsidR="00A96781" w:rsidRDefault="00A96781" w:rsidP="00A9678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A96781" w:rsidRDefault="00A96781" w:rsidP="00A96781">
            <w:pPr>
              <w:rPr>
                <w:b/>
                <w:bCs/>
                <w:kern w:val="2"/>
                <w:sz w:val="22"/>
                <w:szCs w:val="22"/>
              </w:rPr>
            </w:pPr>
          </w:p>
          <w:p w14:paraId="0C13A2BC" w14:textId="77777777" w:rsidR="00A96781" w:rsidRDefault="00A96781" w:rsidP="00A96781">
            <w:pPr>
              <w:rPr>
                <w:b/>
                <w:bCs/>
                <w:kern w:val="2"/>
                <w:sz w:val="22"/>
                <w:szCs w:val="22"/>
              </w:rPr>
            </w:pPr>
          </w:p>
          <w:p w14:paraId="62CB5EB5" w14:textId="77777777" w:rsidR="00A96781" w:rsidRDefault="00A96781" w:rsidP="00A96781">
            <w:pPr>
              <w:rPr>
                <w:b/>
                <w:bCs/>
                <w:kern w:val="2"/>
                <w:sz w:val="22"/>
                <w:szCs w:val="22"/>
              </w:rPr>
            </w:pPr>
          </w:p>
          <w:p w14:paraId="26F3C526" w14:textId="6C25DC0B" w:rsidR="00A96781" w:rsidRPr="000D629B" w:rsidRDefault="00A96781" w:rsidP="00A96781">
            <w:pPr>
              <w:rPr>
                <w:b/>
                <w:bCs/>
                <w:kern w:val="2"/>
                <w:sz w:val="22"/>
                <w:szCs w:val="22"/>
              </w:rPr>
            </w:pPr>
          </w:p>
        </w:tc>
        <w:tc>
          <w:tcPr>
            <w:tcW w:w="6387" w:type="dxa"/>
            <w:gridSpan w:val="3"/>
          </w:tcPr>
          <w:p w14:paraId="05ED0EEB" w14:textId="77777777" w:rsidR="00A96781" w:rsidRDefault="00A96781" w:rsidP="00A9678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C69B574" w14:textId="0C93CF0B" w:rsidR="00A96781" w:rsidRDefault="00A96781" w:rsidP="00A96781">
            <w:pPr>
              <w:jc w:val="both"/>
              <w:rPr>
                <w:color w:val="000000"/>
                <w:kern w:val="2"/>
                <w:sz w:val="22"/>
                <w:szCs w:val="22"/>
                <w:shd w:val="clear" w:color="auto" w:fill="FFFFFF"/>
              </w:rPr>
            </w:pPr>
          </w:p>
          <w:p w14:paraId="75B9A7AB" w14:textId="18106133" w:rsidR="00A96781" w:rsidRDefault="00A96781" w:rsidP="00A96781">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A96781" w:rsidRPr="000D629B" w:rsidRDefault="00A96781" w:rsidP="001731EB">
            <w:pPr>
              <w:jc w:val="both"/>
              <w:rPr>
                <w:b/>
                <w:bCs/>
                <w:kern w:val="2"/>
                <w:sz w:val="22"/>
                <w:szCs w:val="22"/>
              </w:rPr>
            </w:pPr>
            <w:r w:rsidRPr="000D629B">
              <w:rPr>
                <w:bCs/>
                <w:sz w:val="22"/>
                <w:szCs w:val="22"/>
              </w:rPr>
              <w:lastRenderedPageBreak/>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96781" w:rsidRPr="000D629B" w14:paraId="4DB92D00" w14:textId="77777777" w:rsidTr="003241C0">
        <w:trPr>
          <w:trHeight w:val="300"/>
        </w:trPr>
        <w:tc>
          <w:tcPr>
            <w:tcW w:w="3374" w:type="dxa"/>
          </w:tcPr>
          <w:p w14:paraId="049EEB89" w14:textId="22B24D72" w:rsidR="00A96781" w:rsidRPr="000D629B" w:rsidRDefault="00A96781" w:rsidP="00A9678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A96781" w:rsidRPr="000D629B" w:rsidRDefault="00A96781" w:rsidP="00A9678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A96781" w:rsidRPr="000D629B" w:rsidRDefault="00A96781" w:rsidP="00A96781">
            <w:pPr>
              <w:rPr>
                <w:color w:val="000000"/>
                <w:kern w:val="2"/>
                <w:sz w:val="22"/>
                <w:szCs w:val="22"/>
                <w:shd w:val="clear" w:color="auto" w:fill="FFFFFF"/>
              </w:rPr>
            </w:pPr>
          </w:p>
          <w:p w14:paraId="1BE2252F" w14:textId="300DFA36" w:rsidR="00A96781" w:rsidRPr="000D629B" w:rsidRDefault="00A96781" w:rsidP="00A96781">
            <w:pPr>
              <w:rPr>
                <w:color w:val="0070C0"/>
                <w:kern w:val="2"/>
                <w:sz w:val="22"/>
                <w:szCs w:val="22"/>
              </w:rPr>
            </w:pPr>
          </w:p>
        </w:tc>
      </w:tr>
      <w:tr w:rsidR="00A96781" w:rsidRPr="000D629B" w14:paraId="46122E0B" w14:textId="77777777" w:rsidTr="003241C0">
        <w:trPr>
          <w:trHeight w:val="300"/>
        </w:trPr>
        <w:tc>
          <w:tcPr>
            <w:tcW w:w="9761" w:type="dxa"/>
            <w:gridSpan w:val="4"/>
          </w:tcPr>
          <w:p w14:paraId="51AF1DAC" w14:textId="0C45473F" w:rsidR="00A96781" w:rsidRPr="004A2891" w:rsidRDefault="00A96781" w:rsidP="00A96781">
            <w:pPr>
              <w:jc w:val="center"/>
              <w:rPr>
                <w:b/>
                <w:bCs/>
                <w:kern w:val="2"/>
                <w:sz w:val="22"/>
                <w:szCs w:val="22"/>
              </w:rPr>
            </w:pPr>
            <w:r>
              <w:rPr>
                <w:b/>
                <w:bCs/>
                <w:kern w:val="2"/>
                <w:szCs w:val="24"/>
              </w:rPr>
              <w:t>14. SUTARTIES PRIEDAI</w:t>
            </w:r>
          </w:p>
        </w:tc>
      </w:tr>
      <w:tr w:rsidR="00A96781" w:rsidRPr="000D629B" w14:paraId="7C324524" w14:textId="77777777" w:rsidTr="003241C0">
        <w:trPr>
          <w:trHeight w:val="300"/>
        </w:trPr>
        <w:tc>
          <w:tcPr>
            <w:tcW w:w="3374" w:type="dxa"/>
          </w:tcPr>
          <w:p w14:paraId="57BB4638" w14:textId="5C4DC912"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A96781" w:rsidRPr="000D629B" w:rsidRDefault="00A96781" w:rsidP="00A96781">
            <w:pPr>
              <w:jc w:val="center"/>
              <w:rPr>
                <w:b/>
                <w:bCs/>
                <w:kern w:val="2"/>
                <w:sz w:val="22"/>
                <w:szCs w:val="22"/>
              </w:rPr>
            </w:pPr>
            <w:r w:rsidRPr="000D629B">
              <w:rPr>
                <w:b/>
                <w:bCs/>
                <w:kern w:val="2"/>
                <w:sz w:val="22"/>
                <w:szCs w:val="22"/>
              </w:rPr>
              <w:t>Techninė specifikacija</w:t>
            </w:r>
          </w:p>
        </w:tc>
      </w:tr>
      <w:tr w:rsidR="00A96781" w:rsidRPr="000D629B" w14:paraId="3688764D" w14:textId="77777777" w:rsidTr="003241C0">
        <w:trPr>
          <w:trHeight w:val="300"/>
        </w:trPr>
        <w:tc>
          <w:tcPr>
            <w:tcW w:w="3374" w:type="dxa"/>
          </w:tcPr>
          <w:p w14:paraId="2F937B27" w14:textId="2F27A037"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A96781" w:rsidRPr="000D629B" w:rsidRDefault="00A96781" w:rsidP="00A96781">
            <w:pPr>
              <w:jc w:val="center"/>
              <w:rPr>
                <w:b/>
                <w:bCs/>
                <w:kern w:val="2"/>
                <w:sz w:val="22"/>
                <w:szCs w:val="22"/>
              </w:rPr>
            </w:pPr>
            <w:r w:rsidRPr="000D629B">
              <w:rPr>
                <w:b/>
                <w:bCs/>
                <w:kern w:val="2"/>
                <w:sz w:val="22"/>
                <w:szCs w:val="22"/>
              </w:rPr>
              <w:t>Pasiūlymas</w:t>
            </w:r>
          </w:p>
        </w:tc>
      </w:tr>
      <w:tr w:rsidR="00A96781" w:rsidRPr="000D629B" w14:paraId="42A45294" w14:textId="77777777" w:rsidTr="003241C0">
        <w:trPr>
          <w:trHeight w:val="300"/>
        </w:trPr>
        <w:tc>
          <w:tcPr>
            <w:tcW w:w="3374" w:type="dxa"/>
          </w:tcPr>
          <w:p w14:paraId="2C2F2830" w14:textId="1E3A2E4E"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A96781" w:rsidRPr="00B03DB5" w:rsidRDefault="00A96781" w:rsidP="00A96781">
            <w:pPr>
              <w:rPr>
                <w:kern w:val="2"/>
                <w:sz w:val="22"/>
                <w:szCs w:val="22"/>
              </w:rPr>
            </w:pPr>
            <w:r w:rsidRPr="00B03DB5">
              <w:rPr>
                <w:color w:val="007BB8"/>
                <w:kern w:val="2"/>
                <w:sz w:val="22"/>
                <w:szCs w:val="22"/>
              </w:rPr>
              <w:t>Sutarties vykdymui pasitelkiami subtiekėjai ir (ar) specialistai (jei taikoma)</w:t>
            </w:r>
          </w:p>
        </w:tc>
      </w:tr>
      <w:tr w:rsidR="00A96781" w:rsidRPr="000D629B" w14:paraId="3C64DF6F" w14:textId="77777777" w:rsidTr="003241C0">
        <w:tc>
          <w:tcPr>
            <w:tcW w:w="9761" w:type="dxa"/>
            <w:gridSpan w:val="4"/>
          </w:tcPr>
          <w:p w14:paraId="6891CCA6" w14:textId="290E043C" w:rsidR="00A96781" w:rsidRPr="000019F5" w:rsidRDefault="00A96781" w:rsidP="00A96781">
            <w:pPr>
              <w:jc w:val="center"/>
              <w:rPr>
                <w:b/>
                <w:bCs/>
                <w:kern w:val="2"/>
                <w:szCs w:val="24"/>
              </w:rPr>
            </w:pPr>
            <w:r w:rsidRPr="000019F5">
              <w:rPr>
                <w:b/>
                <w:bCs/>
                <w:kern w:val="2"/>
                <w:szCs w:val="24"/>
              </w:rPr>
              <w:t>15. ŠALIŲ ATSTOVŲ PARAŠAI</w:t>
            </w:r>
          </w:p>
        </w:tc>
      </w:tr>
      <w:tr w:rsidR="00A96781" w:rsidRPr="000D629B" w14:paraId="20E82B78" w14:textId="77777777" w:rsidTr="003241C0">
        <w:tc>
          <w:tcPr>
            <w:tcW w:w="3374" w:type="dxa"/>
          </w:tcPr>
          <w:p w14:paraId="04DC8B15" w14:textId="77777777" w:rsidR="00A96781" w:rsidRPr="000D629B" w:rsidRDefault="00A96781" w:rsidP="00A96781">
            <w:pPr>
              <w:jc w:val="center"/>
              <w:rPr>
                <w:b/>
                <w:bCs/>
                <w:kern w:val="2"/>
                <w:sz w:val="22"/>
                <w:szCs w:val="22"/>
              </w:rPr>
            </w:pPr>
            <w:r w:rsidRPr="000D629B">
              <w:rPr>
                <w:b/>
                <w:bCs/>
                <w:kern w:val="2"/>
                <w:sz w:val="22"/>
                <w:szCs w:val="22"/>
              </w:rPr>
              <w:t>PIRKĖJAS</w:t>
            </w:r>
          </w:p>
        </w:tc>
        <w:tc>
          <w:tcPr>
            <w:tcW w:w="6387" w:type="dxa"/>
            <w:gridSpan w:val="3"/>
          </w:tcPr>
          <w:p w14:paraId="1BD04B5F" w14:textId="77777777" w:rsidR="00A96781" w:rsidRPr="000D629B" w:rsidRDefault="00A96781" w:rsidP="00A96781">
            <w:pPr>
              <w:jc w:val="center"/>
              <w:rPr>
                <w:b/>
                <w:bCs/>
                <w:kern w:val="2"/>
                <w:sz w:val="22"/>
                <w:szCs w:val="22"/>
              </w:rPr>
            </w:pPr>
            <w:r w:rsidRPr="000D629B">
              <w:rPr>
                <w:b/>
                <w:bCs/>
                <w:kern w:val="2"/>
                <w:sz w:val="22"/>
                <w:szCs w:val="22"/>
              </w:rPr>
              <w:t>TIEKĖJAS</w:t>
            </w:r>
          </w:p>
        </w:tc>
      </w:tr>
      <w:tr w:rsidR="00A96781" w:rsidRPr="000D629B" w14:paraId="5AF01503" w14:textId="77777777" w:rsidTr="003241C0">
        <w:tc>
          <w:tcPr>
            <w:tcW w:w="3374" w:type="dxa"/>
          </w:tcPr>
          <w:p w14:paraId="05D857AA" w14:textId="24890D82" w:rsidR="00A96781" w:rsidRPr="000D629B" w:rsidRDefault="00A96781" w:rsidP="00A9678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7FFDDAA7" w:rsidR="00A96781" w:rsidRPr="000D629B" w:rsidRDefault="00A96781" w:rsidP="00A96781">
            <w:pPr>
              <w:jc w:val="center"/>
              <w:rPr>
                <w:b/>
                <w:bCs/>
                <w:kern w:val="2"/>
                <w:sz w:val="22"/>
                <w:szCs w:val="22"/>
              </w:rPr>
            </w:pPr>
          </w:p>
        </w:tc>
      </w:tr>
      <w:tr w:rsidR="00A96781" w:rsidRPr="000D629B" w14:paraId="3D8CAA14" w14:textId="77777777" w:rsidTr="003241C0">
        <w:tc>
          <w:tcPr>
            <w:tcW w:w="3374" w:type="dxa"/>
          </w:tcPr>
          <w:p w14:paraId="398CF590" w14:textId="77777777" w:rsidR="00A96781" w:rsidRPr="000D629B" w:rsidRDefault="00A96781" w:rsidP="00A96781">
            <w:pPr>
              <w:jc w:val="center"/>
              <w:rPr>
                <w:b/>
                <w:bCs/>
                <w:kern w:val="2"/>
                <w:sz w:val="22"/>
                <w:szCs w:val="22"/>
              </w:rPr>
            </w:pPr>
          </w:p>
          <w:p w14:paraId="6F1B5BC5" w14:textId="7E548972" w:rsidR="00A96781" w:rsidRPr="000D629B" w:rsidRDefault="00A96781" w:rsidP="00A96781">
            <w:pPr>
              <w:jc w:val="center"/>
              <w:rPr>
                <w:b/>
                <w:bCs/>
                <w:kern w:val="2"/>
                <w:sz w:val="22"/>
                <w:szCs w:val="22"/>
              </w:rPr>
            </w:pPr>
            <w:r w:rsidRPr="000D629B">
              <w:rPr>
                <w:kern w:val="2"/>
                <w:sz w:val="22"/>
                <w:szCs w:val="22"/>
              </w:rPr>
              <w:t>(parašas)</w:t>
            </w:r>
          </w:p>
        </w:tc>
        <w:tc>
          <w:tcPr>
            <w:tcW w:w="6387" w:type="dxa"/>
            <w:gridSpan w:val="3"/>
          </w:tcPr>
          <w:p w14:paraId="1BCCBB7E" w14:textId="77777777" w:rsidR="00A96781" w:rsidRPr="000D629B" w:rsidRDefault="00A96781" w:rsidP="00A96781">
            <w:pPr>
              <w:jc w:val="center"/>
              <w:rPr>
                <w:b/>
                <w:bCs/>
                <w:color w:val="4472C4"/>
                <w:kern w:val="2"/>
                <w:sz w:val="22"/>
                <w:szCs w:val="22"/>
              </w:rPr>
            </w:pPr>
          </w:p>
          <w:p w14:paraId="1DAAD3D1" w14:textId="77777777" w:rsidR="00A96781" w:rsidRPr="000019F5" w:rsidRDefault="00A96781" w:rsidP="00A96781">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6F50EC"/>
    <w:rsid w:val="00704FFB"/>
    <w:rsid w:val="00710854"/>
    <w:rsid w:val="007151F0"/>
    <w:rsid w:val="00732D5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3182D"/>
    <w:rsid w:val="00B469E1"/>
    <w:rsid w:val="00B53D18"/>
    <w:rsid w:val="00B621C9"/>
    <w:rsid w:val="00B63561"/>
    <w:rsid w:val="00B70411"/>
    <w:rsid w:val="00B86F8E"/>
    <w:rsid w:val="00B87A91"/>
    <w:rsid w:val="00BC0FC0"/>
    <w:rsid w:val="00BC4057"/>
    <w:rsid w:val="00BC625C"/>
    <w:rsid w:val="00BC6EFD"/>
    <w:rsid w:val="00BE601D"/>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A3905"/>
    <w:rsid w:val="00DB526D"/>
    <w:rsid w:val="00DD3893"/>
    <w:rsid w:val="00DE13E4"/>
    <w:rsid w:val="00E04BBA"/>
    <w:rsid w:val="00E04F73"/>
    <w:rsid w:val="00E07B84"/>
    <w:rsid w:val="00E31B0E"/>
    <w:rsid w:val="00E37C90"/>
    <w:rsid w:val="00E41934"/>
    <w:rsid w:val="00E47785"/>
    <w:rsid w:val="00E5073E"/>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hyperlink" Target="mailto:inga.vilke@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66436</Words>
  <Characters>37870</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5</cp:revision>
  <dcterms:created xsi:type="dcterms:W3CDTF">2025-06-12T10:10:00Z</dcterms:created>
  <dcterms:modified xsi:type="dcterms:W3CDTF">2025-06-17T06:52:00Z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