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C0FD" w14:textId="046FE7EC" w:rsidR="009F6FBE" w:rsidRPr="002871FA" w:rsidRDefault="009F6FBE" w:rsidP="009F6FBE">
      <w:pPr>
        <w:jc w:val="right"/>
        <w:rPr>
          <w:szCs w:val="24"/>
        </w:rPr>
      </w:pPr>
      <w:r w:rsidRPr="002871FA">
        <w:rPr>
          <w:szCs w:val="24"/>
        </w:rPr>
        <w:t>Pirkimo sąlygų 1.</w:t>
      </w:r>
      <w:r w:rsidR="00E27C4A" w:rsidRPr="002871FA">
        <w:rPr>
          <w:szCs w:val="24"/>
        </w:rPr>
        <w:t>1</w:t>
      </w:r>
      <w:r w:rsidRPr="002871FA">
        <w:rPr>
          <w:szCs w:val="24"/>
        </w:rPr>
        <w:t xml:space="preserve"> priedas</w:t>
      </w:r>
    </w:p>
    <w:p w14:paraId="5555BE0F" w14:textId="77777777" w:rsidR="00195289" w:rsidRPr="002871FA" w:rsidRDefault="00195289" w:rsidP="009F6FBE">
      <w:pPr>
        <w:jc w:val="right"/>
        <w:rPr>
          <w:szCs w:val="24"/>
        </w:rPr>
      </w:pPr>
    </w:p>
    <w:p w14:paraId="0E043C9C" w14:textId="7F024A52" w:rsidR="00200EF6" w:rsidRPr="00C47E4A" w:rsidRDefault="00200EF6" w:rsidP="00200EF6">
      <w:pPr>
        <w:jc w:val="center"/>
        <w:rPr>
          <w:rFonts w:eastAsiaTheme="minorHAnsi"/>
          <w:b/>
          <w:bCs/>
          <w:kern w:val="2"/>
          <w:szCs w:val="24"/>
          <w14:ligatures w14:val="standardContextual"/>
        </w:rPr>
      </w:pPr>
      <w:r w:rsidRPr="00C47E4A">
        <w:rPr>
          <w:rFonts w:eastAsiaTheme="minorHAnsi"/>
          <w:b/>
          <w:bCs/>
          <w:kern w:val="2"/>
          <w:szCs w:val="24"/>
          <w14:ligatures w14:val="standardContextual"/>
        </w:rPr>
        <w:t>REAGENT</w:t>
      </w:r>
      <w:r w:rsidR="00635497" w:rsidRPr="00C47E4A">
        <w:rPr>
          <w:rFonts w:eastAsiaTheme="minorHAnsi"/>
          <w:b/>
          <w:bCs/>
          <w:kern w:val="2"/>
          <w:szCs w:val="24"/>
          <w14:ligatures w14:val="standardContextual"/>
        </w:rPr>
        <w:t>Ų</w:t>
      </w:r>
      <w:r w:rsidRPr="00C47E4A">
        <w:rPr>
          <w:rFonts w:eastAsiaTheme="minorHAnsi"/>
          <w:b/>
          <w:bCs/>
          <w:kern w:val="2"/>
          <w:szCs w:val="24"/>
          <w14:ligatures w14:val="standardContextual"/>
        </w:rPr>
        <w:t xml:space="preserve"> IR PAPILDOMŲ PRIEMONIŲ </w:t>
      </w:r>
      <w:r w:rsidRPr="00C47E4A">
        <w:rPr>
          <w:b/>
          <w:bCs/>
          <w:color w:val="000000"/>
          <w:szCs w:val="24"/>
        </w:rPr>
        <w:t>KRAUJO KREŠĖJIMO</w:t>
      </w:r>
      <w:r w:rsidRPr="00C47E4A">
        <w:rPr>
          <w:rFonts w:eastAsiaTheme="minorHAnsi"/>
          <w:b/>
          <w:bCs/>
          <w:kern w:val="2"/>
          <w:szCs w:val="24"/>
          <w14:ligatures w14:val="standardContextual"/>
        </w:rPr>
        <w:t xml:space="preserve"> </w:t>
      </w:r>
      <w:r w:rsidR="00B81084" w:rsidRPr="00C47E4A">
        <w:rPr>
          <w:rFonts w:eastAsiaTheme="minorHAnsi"/>
          <w:b/>
          <w:bCs/>
          <w:kern w:val="2"/>
          <w:szCs w:val="24"/>
          <w14:ligatures w14:val="standardContextual"/>
        </w:rPr>
        <w:t>TYRIM</w:t>
      </w:r>
      <w:r w:rsidR="00B81084">
        <w:rPr>
          <w:rFonts w:eastAsiaTheme="minorHAnsi"/>
          <w:b/>
          <w:bCs/>
          <w:kern w:val="2"/>
          <w:szCs w:val="24"/>
          <w14:ligatures w14:val="standardContextual"/>
        </w:rPr>
        <w:t>Ų</w:t>
      </w:r>
      <w:r w:rsidR="00B81084" w:rsidRPr="00C47E4A">
        <w:rPr>
          <w:rFonts w:eastAsiaTheme="minorHAnsi"/>
          <w:b/>
          <w:bCs/>
          <w:kern w:val="2"/>
          <w:szCs w:val="24"/>
          <w14:ligatures w14:val="standardContextual"/>
        </w:rPr>
        <w:t xml:space="preserve"> </w:t>
      </w:r>
      <w:r w:rsidRPr="00C47E4A">
        <w:rPr>
          <w:rFonts w:eastAsiaTheme="minorHAnsi"/>
          <w:b/>
          <w:bCs/>
          <w:kern w:val="2"/>
          <w:szCs w:val="24"/>
          <w14:ligatures w14:val="standardContextual"/>
        </w:rPr>
        <w:t>ATLIK</w:t>
      </w:r>
      <w:r w:rsidR="00B81084">
        <w:rPr>
          <w:rFonts w:eastAsiaTheme="minorHAnsi"/>
          <w:b/>
          <w:bCs/>
          <w:kern w:val="2"/>
          <w:szCs w:val="24"/>
          <w14:ligatures w14:val="standardContextual"/>
        </w:rPr>
        <w:t>IMUI BEI</w:t>
      </w:r>
      <w:r w:rsidRPr="00C47E4A">
        <w:rPr>
          <w:rFonts w:eastAsiaTheme="minorHAnsi"/>
          <w:b/>
          <w:bCs/>
          <w:kern w:val="2"/>
          <w:szCs w:val="24"/>
          <w14:ligatures w14:val="standardContextual"/>
        </w:rPr>
        <w:t xml:space="preserve">SU ĮRANGOS </w:t>
      </w:r>
      <w:r w:rsidR="00C47E4A" w:rsidRPr="00C47E4A">
        <w:rPr>
          <w:rFonts w:eastAsiaTheme="minorHAnsi"/>
          <w:b/>
          <w:bCs/>
          <w:kern w:val="2"/>
          <w:szCs w:val="24"/>
          <w14:ligatures w14:val="standardContextual"/>
        </w:rPr>
        <w:t>ĮSIGIJIM</w:t>
      </w:r>
      <w:r w:rsidR="00C47E4A">
        <w:rPr>
          <w:rFonts w:eastAsiaTheme="minorHAnsi"/>
          <w:b/>
          <w:bCs/>
          <w:kern w:val="2"/>
          <w:szCs w:val="24"/>
          <w14:ligatures w14:val="standardContextual"/>
        </w:rPr>
        <w:t>AS</w:t>
      </w:r>
      <w:r w:rsidR="00C47E4A" w:rsidRPr="00C47E4A">
        <w:rPr>
          <w:rFonts w:eastAsiaTheme="minorHAnsi"/>
          <w:b/>
          <w:bCs/>
          <w:kern w:val="2"/>
          <w:szCs w:val="24"/>
          <w14:ligatures w14:val="standardContextual"/>
        </w:rPr>
        <w:t xml:space="preserve"> </w:t>
      </w:r>
      <w:r w:rsidRPr="00C47E4A">
        <w:rPr>
          <w:rFonts w:eastAsiaTheme="minorHAnsi"/>
          <w:b/>
          <w:bCs/>
          <w:kern w:val="2"/>
          <w:szCs w:val="24"/>
          <w14:ligatures w14:val="standardContextual"/>
        </w:rPr>
        <w:t>PANAUDOS BŪDU</w:t>
      </w:r>
    </w:p>
    <w:p w14:paraId="5A908A1F" w14:textId="77777777" w:rsidR="00195289" w:rsidRPr="00C47E4A" w:rsidRDefault="00195289" w:rsidP="00200EF6">
      <w:pPr>
        <w:jc w:val="center"/>
        <w:rPr>
          <w:b/>
          <w:bCs/>
          <w:szCs w:val="24"/>
        </w:rPr>
      </w:pPr>
    </w:p>
    <w:p w14:paraId="5395D475" w14:textId="22D4D8DE" w:rsidR="00200EF6" w:rsidRPr="00C47E4A" w:rsidRDefault="00D1643B" w:rsidP="00200EF6">
      <w:pPr>
        <w:jc w:val="center"/>
        <w:rPr>
          <w:b/>
          <w:bCs/>
          <w:color w:val="000000"/>
          <w:szCs w:val="24"/>
          <w:u w:val="single"/>
          <w:lang w:eastAsia="lt-LT"/>
        </w:rPr>
      </w:pPr>
      <w:r w:rsidRPr="00C47E4A">
        <w:rPr>
          <w:b/>
          <w:bCs/>
          <w:szCs w:val="24"/>
          <w:u w:val="single"/>
        </w:rPr>
        <w:t xml:space="preserve">ĮRANGOS </w:t>
      </w:r>
      <w:r w:rsidR="00200EF6" w:rsidRPr="00C47E4A">
        <w:rPr>
          <w:b/>
          <w:bCs/>
          <w:szCs w:val="24"/>
          <w:u w:val="single"/>
        </w:rPr>
        <w:t>TECHNINĖ SPECIFIKACIJA</w:t>
      </w:r>
    </w:p>
    <w:p w14:paraId="28BC018D" w14:textId="77777777" w:rsidR="00CB6518" w:rsidRPr="00C47E4A" w:rsidRDefault="00CB6518" w:rsidP="00CB6518">
      <w:pPr>
        <w:ind w:left="-851"/>
        <w:jc w:val="both"/>
        <w:rPr>
          <w:b/>
          <w:szCs w:val="24"/>
        </w:rPr>
      </w:pPr>
    </w:p>
    <w:p w14:paraId="7FE98498" w14:textId="77777777" w:rsidR="00373B7A" w:rsidRPr="00C47E4A" w:rsidRDefault="00373B7A" w:rsidP="00373B7A">
      <w:pPr>
        <w:tabs>
          <w:tab w:val="left" w:pos="1350"/>
          <w:tab w:val="left" w:pos="1440"/>
        </w:tabs>
        <w:suppressAutoHyphens/>
        <w:ind w:left="450" w:hanging="90"/>
        <w:jc w:val="right"/>
        <w:rPr>
          <w:b/>
          <w:bCs/>
          <w:szCs w:val="24"/>
          <w:lang w:eastAsia="ar-SA"/>
        </w:rPr>
      </w:pPr>
    </w:p>
    <w:tbl>
      <w:tblPr>
        <w:tblStyle w:val="Lentelstinklelis"/>
        <w:tblW w:w="15411" w:type="dxa"/>
        <w:tblInd w:w="-815" w:type="dxa"/>
        <w:tblLayout w:type="fixed"/>
        <w:tblLook w:val="04A0" w:firstRow="1" w:lastRow="0" w:firstColumn="1" w:lastColumn="0" w:noHBand="0" w:noVBand="1"/>
      </w:tblPr>
      <w:tblGrid>
        <w:gridCol w:w="668"/>
        <w:gridCol w:w="6238"/>
        <w:gridCol w:w="4536"/>
        <w:gridCol w:w="3969"/>
      </w:tblGrid>
      <w:tr w:rsidR="00373B7A" w:rsidRPr="002871FA" w14:paraId="5E2ECE54" w14:textId="77777777" w:rsidTr="00E42665">
        <w:tc>
          <w:tcPr>
            <w:tcW w:w="668" w:type="dxa"/>
            <w:vAlign w:val="center"/>
          </w:tcPr>
          <w:p w14:paraId="3C90C11E" w14:textId="77777777" w:rsidR="00373B7A" w:rsidRPr="00C47E4A" w:rsidRDefault="00373B7A" w:rsidP="008660D4">
            <w:pPr>
              <w:jc w:val="center"/>
              <w:rPr>
                <w:rFonts w:eastAsia="Calibri"/>
                <w:b/>
                <w:szCs w:val="24"/>
              </w:rPr>
            </w:pPr>
            <w:r w:rsidRPr="00C47E4A">
              <w:rPr>
                <w:rFonts w:eastAsia="Calibri"/>
                <w:b/>
                <w:szCs w:val="24"/>
              </w:rPr>
              <w:t>Eil.</w:t>
            </w:r>
          </w:p>
          <w:p w14:paraId="184D6628" w14:textId="77777777" w:rsidR="00373B7A" w:rsidRPr="00C47E4A" w:rsidRDefault="00373B7A" w:rsidP="008660D4">
            <w:pPr>
              <w:jc w:val="center"/>
              <w:rPr>
                <w:szCs w:val="24"/>
              </w:rPr>
            </w:pPr>
            <w:r w:rsidRPr="00C47E4A">
              <w:rPr>
                <w:rFonts w:eastAsia="Calibri"/>
                <w:b/>
                <w:szCs w:val="24"/>
              </w:rPr>
              <w:t>Nr.</w:t>
            </w:r>
          </w:p>
        </w:tc>
        <w:tc>
          <w:tcPr>
            <w:tcW w:w="6238" w:type="dxa"/>
            <w:vAlign w:val="center"/>
          </w:tcPr>
          <w:p w14:paraId="6C54C03B" w14:textId="2B301AD7" w:rsidR="00373B7A" w:rsidRPr="00C47E4A" w:rsidRDefault="00373B7A" w:rsidP="008660D4">
            <w:pPr>
              <w:jc w:val="center"/>
              <w:rPr>
                <w:b/>
                <w:szCs w:val="24"/>
              </w:rPr>
            </w:pPr>
            <w:r w:rsidRPr="00C47E4A">
              <w:rPr>
                <w:b/>
                <w:szCs w:val="24"/>
              </w:rPr>
              <w:t xml:space="preserve">Reikalaujami techniniai parametrai </w:t>
            </w:r>
          </w:p>
        </w:tc>
        <w:tc>
          <w:tcPr>
            <w:tcW w:w="4536" w:type="dxa"/>
            <w:vAlign w:val="center"/>
          </w:tcPr>
          <w:p w14:paraId="0C720632" w14:textId="3B66E488" w:rsidR="00373B7A" w:rsidRPr="00C47E4A" w:rsidRDefault="00373B7A" w:rsidP="008660D4">
            <w:pPr>
              <w:jc w:val="center"/>
              <w:rPr>
                <w:b/>
                <w:bCs/>
                <w:color w:val="000000"/>
                <w:szCs w:val="24"/>
              </w:rPr>
            </w:pPr>
            <w:r w:rsidRPr="00C47E4A">
              <w:rPr>
                <w:b/>
                <w:bCs/>
                <w:color w:val="000000"/>
                <w:szCs w:val="24"/>
              </w:rPr>
              <w:t xml:space="preserve">Siūloma techninio parametro reikšmė </w:t>
            </w:r>
            <w:r w:rsidRPr="00E56461">
              <w:rPr>
                <w:i/>
                <w:iCs/>
                <w:color w:val="FF0000"/>
                <w:szCs w:val="24"/>
              </w:rPr>
              <w:t xml:space="preserve">(tiekėjas </w:t>
            </w:r>
            <w:r w:rsidRPr="00E56461">
              <w:rPr>
                <w:i/>
                <w:iCs/>
                <w:color w:val="FF0000"/>
                <w:szCs w:val="24"/>
                <w:u w:val="single"/>
              </w:rPr>
              <w:t>privalo</w:t>
            </w:r>
            <w:r w:rsidRPr="00E56461">
              <w:rPr>
                <w:i/>
                <w:iCs/>
                <w:color w:val="FF0000"/>
                <w:szCs w:val="24"/>
              </w:rPr>
              <w:t xml:space="preserve"> aprašyti siūlomos </w:t>
            </w:r>
            <w:r w:rsidR="00B056CC">
              <w:rPr>
                <w:i/>
                <w:iCs/>
                <w:color w:val="FF0000"/>
                <w:szCs w:val="24"/>
              </w:rPr>
              <w:t>įrangos</w:t>
            </w:r>
            <w:r w:rsidR="00B056CC" w:rsidRPr="00E56461">
              <w:rPr>
                <w:i/>
                <w:iCs/>
                <w:color w:val="FF0000"/>
                <w:szCs w:val="24"/>
              </w:rPr>
              <w:t xml:space="preserve"> </w:t>
            </w:r>
            <w:r w:rsidRPr="00E56461">
              <w:rPr>
                <w:i/>
                <w:iCs/>
                <w:color w:val="FF0000"/>
                <w:szCs w:val="24"/>
              </w:rPr>
              <w:t>atitiktį reikalaujamiems parametrams, nurodant konkrečias reikšmes</w:t>
            </w:r>
            <w:r w:rsidR="008660D4" w:rsidRPr="00E56461">
              <w:rPr>
                <w:i/>
                <w:iCs/>
                <w:color w:val="FF0000"/>
                <w:szCs w:val="24"/>
              </w:rPr>
              <w:t xml:space="preserve">, </w:t>
            </w:r>
            <w:r w:rsidRPr="00E56461">
              <w:rPr>
                <w:i/>
                <w:iCs/>
                <w:color w:val="FF0000"/>
                <w:szCs w:val="24"/>
              </w:rPr>
              <w:t>įrašyti „Taip“, „Atitinka“ draudžiama</w:t>
            </w:r>
            <w:r w:rsidR="00E56461" w:rsidRPr="00E56461">
              <w:rPr>
                <w:i/>
                <w:iCs/>
                <w:color w:val="FF0000"/>
                <w:szCs w:val="24"/>
              </w:rPr>
              <w:t>)</w:t>
            </w:r>
          </w:p>
        </w:tc>
        <w:tc>
          <w:tcPr>
            <w:tcW w:w="3969" w:type="dxa"/>
            <w:vAlign w:val="center"/>
          </w:tcPr>
          <w:p w14:paraId="265513EF" w14:textId="77777777" w:rsidR="00E56461" w:rsidRDefault="002871FA" w:rsidP="00022F7B">
            <w:pPr>
              <w:jc w:val="center"/>
              <w:rPr>
                <w:b/>
                <w:bCs/>
                <w:szCs w:val="24"/>
                <w:bdr w:val="nil"/>
              </w:rPr>
            </w:pPr>
            <w:r w:rsidRPr="00C47E4A">
              <w:rPr>
                <w:b/>
                <w:bCs/>
                <w:iCs/>
                <w:szCs w:val="24"/>
              </w:rPr>
              <w:t>Nuoroda į nurodytą parametrą, patvirtinantį gamintojo dokumento (</w:t>
            </w:r>
            <w:r w:rsidRPr="00C47E4A">
              <w:rPr>
                <w:b/>
                <w:bCs/>
                <w:i/>
                <w:iCs/>
                <w:szCs w:val="24"/>
                <w:bdr w:val="nil"/>
              </w:rPr>
              <w:t>katalogo/ bukleto/brošiūros/instrukcijos</w:t>
            </w:r>
            <w:r w:rsidRPr="00C47E4A">
              <w:rPr>
                <w:b/>
                <w:bCs/>
                <w:szCs w:val="24"/>
                <w:bdr w:val="nil"/>
              </w:rPr>
              <w:t xml:space="preserve">) puslapį, kuriame yra atžyma apie siūlomos įrangos atitikimą reikalavimui </w:t>
            </w:r>
          </w:p>
          <w:p w14:paraId="0D645C1F" w14:textId="68948F94" w:rsidR="00373B7A" w:rsidRPr="00C47E4A" w:rsidRDefault="002871FA" w:rsidP="00022F7B">
            <w:pPr>
              <w:jc w:val="center"/>
              <w:rPr>
                <w:b/>
                <w:bCs/>
                <w:color w:val="000000"/>
                <w:szCs w:val="24"/>
              </w:rPr>
            </w:pPr>
            <w:r w:rsidRPr="00C47E4A">
              <w:rPr>
                <w:bCs/>
                <w:i/>
                <w:iCs/>
                <w:color w:val="FF0000"/>
                <w:szCs w:val="24"/>
              </w:rPr>
              <w:t>(privaloma užpildyti)</w:t>
            </w:r>
          </w:p>
        </w:tc>
      </w:tr>
      <w:tr w:rsidR="00CB6518" w:rsidRPr="002871FA" w14:paraId="2ED57753" w14:textId="77777777" w:rsidTr="00E42665">
        <w:tc>
          <w:tcPr>
            <w:tcW w:w="668" w:type="dxa"/>
            <w:vAlign w:val="center"/>
          </w:tcPr>
          <w:p w14:paraId="3932B5F2" w14:textId="4E4F807F" w:rsidR="00CB6518" w:rsidRPr="00E56461" w:rsidRDefault="00CB6518" w:rsidP="008660D4">
            <w:pPr>
              <w:jc w:val="center"/>
              <w:rPr>
                <w:rFonts w:eastAsia="Calibri"/>
                <w:b/>
                <w:szCs w:val="24"/>
              </w:rPr>
            </w:pPr>
            <w:r w:rsidRPr="00E56461">
              <w:rPr>
                <w:rFonts w:eastAsia="Calibri"/>
                <w:b/>
                <w:szCs w:val="24"/>
              </w:rPr>
              <w:t>1</w:t>
            </w:r>
          </w:p>
        </w:tc>
        <w:tc>
          <w:tcPr>
            <w:tcW w:w="6238" w:type="dxa"/>
            <w:vAlign w:val="center"/>
          </w:tcPr>
          <w:p w14:paraId="697AE857" w14:textId="5B015DB4" w:rsidR="00CB6518" w:rsidRPr="00E56461" w:rsidRDefault="00CB6518" w:rsidP="008660D4">
            <w:pPr>
              <w:jc w:val="center"/>
              <w:rPr>
                <w:b/>
                <w:szCs w:val="24"/>
              </w:rPr>
            </w:pPr>
            <w:r w:rsidRPr="00E56461">
              <w:rPr>
                <w:b/>
                <w:szCs w:val="24"/>
              </w:rPr>
              <w:t>2</w:t>
            </w:r>
          </w:p>
        </w:tc>
        <w:tc>
          <w:tcPr>
            <w:tcW w:w="4536" w:type="dxa"/>
            <w:vAlign w:val="center"/>
          </w:tcPr>
          <w:p w14:paraId="2B30533C" w14:textId="5E74ACDD" w:rsidR="00CB6518" w:rsidRPr="00E56461" w:rsidRDefault="00CB6518" w:rsidP="008660D4">
            <w:pPr>
              <w:jc w:val="center"/>
              <w:rPr>
                <w:b/>
                <w:bCs/>
                <w:color w:val="000000"/>
                <w:szCs w:val="24"/>
              </w:rPr>
            </w:pPr>
            <w:r w:rsidRPr="00E56461">
              <w:rPr>
                <w:b/>
                <w:bCs/>
                <w:color w:val="000000"/>
                <w:szCs w:val="24"/>
              </w:rPr>
              <w:t>3</w:t>
            </w:r>
          </w:p>
        </w:tc>
        <w:tc>
          <w:tcPr>
            <w:tcW w:w="3969" w:type="dxa"/>
          </w:tcPr>
          <w:p w14:paraId="77F5E169" w14:textId="3D187865" w:rsidR="00CB6518" w:rsidRPr="00E56461" w:rsidRDefault="00CB6518" w:rsidP="0049487A">
            <w:pPr>
              <w:jc w:val="center"/>
              <w:rPr>
                <w:b/>
                <w:bCs/>
                <w:color w:val="000000"/>
                <w:szCs w:val="24"/>
              </w:rPr>
            </w:pPr>
            <w:r w:rsidRPr="00E56461">
              <w:rPr>
                <w:b/>
                <w:bCs/>
                <w:color w:val="000000"/>
                <w:szCs w:val="24"/>
              </w:rPr>
              <w:t>4</w:t>
            </w:r>
          </w:p>
        </w:tc>
      </w:tr>
      <w:tr w:rsidR="00373B7A" w:rsidRPr="002871FA" w14:paraId="4FBA5800" w14:textId="77777777" w:rsidTr="00E42665">
        <w:tc>
          <w:tcPr>
            <w:tcW w:w="668" w:type="dxa"/>
          </w:tcPr>
          <w:p w14:paraId="44AE47C7" w14:textId="77777777" w:rsidR="00373B7A" w:rsidRPr="00E56461" w:rsidRDefault="00373B7A" w:rsidP="0049487A">
            <w:pPr>
              <w:ind w:hanging="4"/>
              <w:jc w:val="center"/>
              <w:rPr>
                <w:szCs w:val="24"/>
              </w:rPr>
            </w:pPr>
            <w:r w:rsidRPr="00E56461">
              <w:rPr>
                <w:szCs w:val="24"/>
              </w:rPr>
              <w:t>1.</w:t>
            </w:r>
          </w:p>
        </w:tc>
        <w:tc>
          <w:tcPr>
            <w:tcW w:w="6238" w:type="dxa"/>
          </w:tcPr>
          <w:p w14:paraId="6D048045" w14:textId="29BD7724" w:rsidR="00373B7A" w:rsidRPr="00E56461" w:rsidRDefault="00370D13" w:rsidP="0049487A">
            <w:pPr>
              <w:jc w:val="both"/>
              <w:rPr>
                <w:rFonts w:eastAsia="Calibri"/>
                <w:szCs w:val="24"/>
              </w:rPr>
            </w:pPr>
            <w:r>
              <w:rPr>
                <w:rFonts w:eastAsia="Calibri"/>
                <w:szCs w:val="24"/>
              </w:rPr>
              <w:t>Įranga: a</w:t>
            </w:r>
            <w:r w:rsidR="00373B7A" w:rsidRPr="00E56461">
              <w:rPr>
                <w:rFonts w:eastAsia="Calibri"/>
                <w:szCs w:val="24"/>
              </w:rPr>
              <w:t>nalizatorius kraujo krešėjimo tyrimams atlikti</w:t>
            </w:r>
            <w:r w:rsidR="002C10B0">
              <w:rPr>
                <w:rFonts w:eastAsia="Calibri"/>
                <w:szCs w:val="24"/>
              </w:rPr>
              <w:t xml:space="preserve"> – 1 vnt.</w:t>
            </w:r>
            <w:r w:rsidR="007A77B6">
              <w:rPr>
                <w:rFonts w:eastAsia="Calibri"/>
                <w:szCs w:val="24"/>
              </w:rPr>
              <w:t xml:space="preserve"> </w:t>
            </w:r>
          </w:p>
        </w:tc>
        <w:tc>
          <w:tcPr>
            <w:tcW w:w="4536" w:type="dxa"/>
          </w:tcPr>
          <w:p w14:paraId="60B9D53E" w14:textId="7BA31DBF" w:rsidR="00373B7A" w:rsidRPr="00E56461" w:rsidRDefault="00A63BF9" w:rsidP="0049487A">
            <w:pPr>
              <w:rPr>
                <w:i/>
                <w:iCs/>
                <w:szCs w:val="24"/>
              </w:rPr>
            </w:pPr>
            <w:r>
              <w:rPr>
                <w:noProof/>
              </w:rPr>
              <w:t xml:space="preserve">Įrašomas </w:t>
            </w:r>
            <w:r w:rsidRPr="00121C55">
              <w:t>siūlo</w:t>
            </w:r>
            <w:r>
              <w:t>mo</w:t>
            </w:r>
            <w:r w:rsidRPr="00121C55">
              <w:t xml:space="preserve"> analizatori</w:t>
            </w:r>
            <w:r>
              <w:t xml:space="preserve">aus </w:t>
            </w:r>
            <w:r w:rsidR="001328B6">
              <w:t xml:space="preserve">modelis, </w:t>
            </w:r>
            <w:r w:rsidRPr="00121C55">
              <w:t>gamintoj</w:t>
            </w:r>
            <w:r>
              <w:t>as</w:t>
            </w:r>
            <w:r w:rsidRPr="00121C55">
              <w:t xml:space="preserve">, </w:t>
            </w:r>
            <w:r w:rsidR="001328B6">
              <w:t>kilmės šalis</w:t>
            </w:r>
            <w:r w:rsidRPr="00121C55">
              <w:t>.</w:t>
            </w:r>
            <w:r>
              <w:rPr>
                <w:rFonts w:eastAsia="Calibri"/>
                <w:szCs w:val="24"/>
              </w:rPr>
              <w:t xml:space="preserve">  </w:t>
            </w:r>
            <w:r w:rsidRPr="00E56461">
              <w:rPr>
                <w:rFonts w:eastAsia="Calibri"/>
                <w:szCs w:val="24"/>
              </w:rPr>
              <w:t xml:space="preserve"> </w:t>
            </w:r>
          </w:p>
        </w:tc>
        <w:tc>
          <w:tcPr>
            <w:tcW w:w="3969" w:type="dxa"/>
          </w:tcPr>
          <w:p w14:paraId="5436A73B" w14:textId="4E9BE082" w:rsidR="00373B7A" w:rsidRPr="00E56461" w:rsidRDefault="00373B7A" w:rsidP="0049487A">
            <w:pPr>
              <w:rPr>
                <w:szCs w:val="24"/>
              </w:rPr>
            </w:pPr>
          </w:p>
        </w:tc>
      </w:tr>
      <w:tr w:rsidR="00373B7A" w:rsidRPr="002871FA" w14:paraId="60071BDC" w14:textId="77777777" w:rsidTr="00E42665">
        <w:tc>
          <w:tcPr>
            <w:tcW w:w="668" w:type="dxa"/>
          </w:tcPr>
          <w:p w14:paraId="3ACEE279" w14:textId="77777777" w:rsidR="00373B7A" w:rsidRPr="00E56461" w:rsidRDefault="00373B7A" w:rsidP="0049487A">
            <w:pPr>
              <w:ind w:hanging="4"/>
              <w:jc w:val="center"/>
              <w:rPr>
                <w:szCs w:val="24"/>
              </w:rPr>
            </w:pPr>
            <w:r w:rsidRPr="00E56461">
              <w:rPr>
                <w:szCs w:val="24"/>
              </w:rPr>
              <w:t>2.</w:t>
            </w:r>
          </w:p>
        </w:tc>
        <w:tc>
          <w:tcPr>
            <w:tcW w:w="6238" w:type="dxa"/>
          </w:tcPr>
          <w:p w14:paraId="2DD31A12" w14:textId="77777777" w:rsidR="00373B7A" w:rsidRPr="00E56461" w:rsidRDefault="00373B7A" w:rsidP="0049487A">
            <w:pPr>
              <w:jc w:val="both"/>
              <w:rPr>
                <w:szCs w:val="24"/>
              </w:rPr>
            </w:pPr>
            <w:r w:rsidRPr="00E56461">
              <w:rPr>
                <w:szCs w:val="24"/>
              </w:rPr>
              <w:t xml:space="preserve">Matavimo metodai: </w:t>
            </w:r>
          </w:p>
          <w:p w14:paraId="169BDD6A" w14:textId="77777777" w:rsidR="00373B7A" w:rsidRPr="00E56461" w:rsidRDefault="00373B7A" w:rsidP="0049487A">
            <w:pPr>
              <w:jc w:val="both"/>
              <w:rPr>
                <w:szCs w:val="24"/>
              </w:rPr>
            </w:pPr>
            <w:r w:rsidRPr="00E56461">
              <w:rPr>
                <w:szCs w:val="24"/>
              </w:rPr>
              <w:t xml:space="preserve">a) chronometrinis elektromagnetinis mechaninis arba  lygiavertis metodas, leidžiantis išmatuoti normalias, bet kokio lygio lipemiškas, hemolizuotas, ikterines plazmas be įtakos analizei; </w:t>
            </w:r>
          </w:p>
          <w:p w14:paraId="7489D9D0" w14:textId="77777777" w:rsidR="00373B7A" w:rsidRPr="00E56461" w:rsidRDefault="00373B7A" w:rsidP="0049487A">
            <w:pPr>
              <w:jc w:val="both"/>
              <w:rPr>
                <w:szCs w:val="24"/>
              </w:rPr>
            </w:pPr>
            <w:r w:rsidRPr="00E56461">
              <w:rPr>
                <w:szCs w:val="24"/>
              </w:rPr>
              <w:t xml:space="preserve">b) imunoturbidimetrinis, </w:t>
            </w:r>
          </w:p>
          <w:p w14:paraId="6775E424" w14:textId="77777777" w:rsidR="00373B7A" w:rsidRPr="00E56461" w:rsidRDefault="00373B7A" w:rsidP="0049487A">
            <w:pPr>
              <w:jc w:val="both"/>
              <w:rPr>
                <w:rFonts w:eastAsia="Calibri"/>
                <w:szCs w:val="24"/>
              </w:rPr>
            </w:pPr>
            <w:r w:rsidRPr="00E56461">
              <w:rPr>
                <w:szCs w:val="24"/>
              </w:rPr>
              <w:t>c) kolorimetrinis.</w:t>
            </w:r>
          </w:p>
        </w:tc>
        <w:tc>
          <w:tcPr>
            <w:tcW w:w="4536" w:type="dxa"/>
          </w:tcPr>
          <w:p w14:paraId="30BE225B" w14:textId="374FE964" w:rsidR="00373B7A" w:rsidRPr="00E56461" w:rsidRDefault="00373B7A" w:rsidP="00E42665">
            <w:pPr>
              <w:rPr>
                <w:szCs w:val="24"/>
              </w:rPr>
            </w:pPr>
          </w:p>
        </w:tc>
        <w:tc>
          <w:tcPr>
            <w:tcW w:w="3969" w:type="dxa"/>
          </w:tcPr>
          <w:p w14:paraId="0938B868" w14:textId="3259BA61" w:rsidR="00E42665" w:rsidRPr="00E56461" w:rsidRDefault="00E42665" w:rsidP="0049487A">
            <w:pPr>
              <w:rPr>
                <w:szCs w:val="24"/>
              </w:rPr>
            </w:pPr>
          </w:p>
        </w:tc>
      </w:tr>
      <w:tr w:rsidR="00373B7A" w:rsidRPr="002871FA" w14:paraId="007B65D9" w14:textId="77777777" w:rsidTr="00E42665">
        <w:tc>
          <w:tcPr>
            <w:tcW w:w="668" w:type="dxa"/>
          </w:tcPr>
          <w:p w14:paraId="0BC4BBF7" w14:textId="77777777" w:rsidR="00373B7A" w:rsidRPr="002F5870" w:rsidRDefault="00373B7A" w:rsidP="0049487A">
            <w:pPr>
              <w:ind w:hanging="4"/>
              <w:jc w:val="center"/>
              <w:rPr>
                <w:szCs w:val="24"/>
              </w:rPr>
            </w:pPr>
            <w:r w:rsidRPr="002F5870">
              <w:rPr>
                <w:szCs w:val="24"/>
              </w:rPr>
              <w:t>3.</w:t>
            </w:r>
          </w:p>
        </w:tc>
        <w:tc>
          <w:tcPr>
            <w:tcW w:w="6238" w:type="dxa"/>
          </w:tcPr>
          <w:p w14:paraId="156B9B92" w14:textId="0AC2F42F" w:rsidR="00373B7A" w:rsidRPr="002F5870" w:rsidRDefault="00373B7A" w:rsidP="0049487A">
            <w:pPr>
              <w:jc w:val="both"/>
              <w:rPr>
                <w:rFonts w:eastAsia="Calibri"/>
                <w:szCs w:val="24"/>
              </w:rPr>
            </w:pPr>
            <w:r w:rsidRPr="002F5870">
              <w:rPr>
                <w:szCs w:val="24"/>
              </w:rPr>
              <w:t>Našumas: PT, ADTL ir FIB ne mažiau kaip 100 tyrimų per valandą. Mėginio savybės neturi įtakoti našumo</w:t>
            </w:r>
            <w:r w:rsidR="008660D4" w:rsidRPr="002F5870">
              <w:rPr>
                <w:szCs w:val="24"/>
              </w:rPr>
              <w:t>, tai reiškia, kad bet koks mėginys privalo būti analizuojamas, o pateikiant jo rezultatą turi būti išlaikomas reikalavime nurodytas našumas.</w:t>
            </w:r>
          </w:p>
        </w:tc>
        <w:tc>
          <w:tcPr>
            <w:tcW w:w="4536" w:type="dxa"/>
          </w:tcPr>
          <w:p w14:paraId="5C3BE34A" w14:textId="568F36A2" w:rsidR="00373B7A" w:rsidRPr="002F5870" w:rsidRDefault="00373B7A" w:rsidP="0049487A">
            <w:pPr>
              <w:rPr>
                <w:szCs w:val="24"/>
              </w:rPr>
            </w:pPr>
          </w:p>
        </w:tc>
        <w:tc>
          <w:tcPr>
            <w:tcW w:w="3969" w:type="dxa"/>
          </w:tcPr>
          <w:p w14:paraId="008B7104" w14:textId="0FB9661E" w:rsidR="00373B7A" w:rsidRPr="002F5870" w:rsidRDefault="00373B7A" w:rsidP="0049487A">
            <w:pPr>
              <w:rPr>
                <w:szCs w:val="24"/>
              </w:rPr>
            </w:pPr>
          </w:p>
        </w:tc>
      </w:tr>
      <w:tr w:rsidR="00373B7A" w:rsidRPr="002871FA" w14:paraId="48667DE6" w14:textId="77777777" w:rsidTr="00E42665">
        <w:tc>
          <w:tcPr>
            <w:tcW w:w="668" w:type="dxa"/>
          </w:tcPr>
          <w:p w14:paraId="18FEDC93" w14:textId="77777777" w:rsidR="00373B7A" w:rsidRPr="00505C55" w:rsidRDefault="00373B7A" w:rsidP="0049487A">
            <w:pPr>
              <w:ind w:hanging="4"/>
              <w:jc w:val="center"/>
              <w:rPr>
                <w:szCs w:val="24"/>
              </w:rPr>
            </w:pPr>
            <w:r w:rsidRPr="00505C55">
              <w:rPr>
                <w:szCs w:val="24"/>
              </w:rPr>
              <w:t>4.</w:t>
            </w:r>
          </w:p>
        </w:tc>
        <w:tc>
          <w:tcPr>
            <w:tcW w:w="6238" w:type="dxa"/>
          </w:tcPr>
          <w:p w14:paraId="0C20E2A3" w14:textId="25748FDB" w:rsidR="00373B7A" w:rsidRPr="00505C55" w:rsidRDefault="00373B7A" w:rsidP="0049487A">
            <w:pPr>
              <w:jc w:val="both"/>
              <w:rPr>
                <w:rFonts w:eastAsia="Calibri"/>
                <w:szCs w:val="24"/>
              </w:rPr>
            </w:pPr>
            <w:r w:rsidRPr="00505C55">
              <w:rPr>
                <w:szCs w:val="24"/>
              </w:rPr>
              <w:t>Galimybė pakartoti tyrimus iš tos pačios tiriamos plazmos, neišimant mėgintuvėlio iš analizatoriaus</w:t>
            </w:r>
            <w:r w:rsidR="00FF3735">
              <w:rPr>
                <w:szCs w:val="24"/>
              </w:rPr>
              <w:t>.</w:t>
            </w:r>
          </w:p>
        </w:tc>
        <w:tc>
          <w:tcPr>
            <w:tcW w:w="4536" w:type="dxa"/>
          </w:tcPr>
          <w:p w14:paraId="64A34597" w14:textId="76B33276" w:rsidR="00373B7A" w:rsidRPr="00505C55" w:rsidRDefault="00373B7A" w:rsidP="008B3BCA">
            <w:pPr>
              <w:rPr>
                <w:szCs w:val="24"/>
              </w:rPr>
            </w:pPr>
          </w:p>
        </w:tc>
        <w:tc>
          <w:tcPr>
            <w:tcW w:w="3969" w:type="dxa"/>
          </w:tcPr>
          <w:p w14:paraId="66B1A727" w14:textId="4F2FC55C" w:rsidR="005224C0" w:rsidRPr="00505C55" w:rsidRDefault="005224C0" w:rsidP="0049487A">
            <w:pPr>
              <w:rPr>
                <w:szCs w:val="24"/>
              </w:rPr>
            </w:pPr>
          </w:p>
        </w:tc>
      </w:tr>
      <w:tr w:rsidR="00FF3735" w:rsidRPr="002871FA" w14:paraId="3BD2DA70" w14:textId="77777777" w:rsidTr="00E42665">
        <w:tc>
          <w:tcPr>
            <w:tcW w:w="668" w:type="dxa"/>
          </w:tcPr>
          <w:p w14:paraId="1E17FFB3" w14:textId="33C1D5C8" w:rsidR="00FF3735" w:rsidRPr="00FF3735" w:rsidRDefault="00505C55" w:rsidP="0049487A">
            <w:pPr>
              <w:ind w:hanging="4"/>
              <w:jc w:val="center"/>
              <w:rPr>
                <w:szCs w:val="24"/>
              </w:rPr>
            </w:pPr>
            <w:r>
              <w:rPr>
                <w:szCs w:val="24"/>
              </w:rPr>
              <w:lastRenderedPageBreak/>
              <w:t>5.</w:t>
            </w:r>
          </w:p>
        </w:tc>
        <w:tc>
          <w:tcPr>
            <w:tcW w:w="6238" w:type="dxa"/>
          </w:tcPr>
          <w:p w14:paraId="19B9321F" w14:textId="6E88076C" w:rsidR="00FF3735" w:rsidRPr="00FF3735" w:rsidRDefault="00FF3735" w:rsidP="0049487A">
            <w:pPr>
              <w:jc w:val="both"/>
              <w:rPr>
                <w:szCs w:val="24"/>
              </w:rPr>
            </w:pPr>
            <w:r w:rsidRPr="00E53BCE">
              <w:rPr>
                <w:szCs w:val="24"/>
              </w:rPr>
              <w:t>Galimybė nuskaityti brūkšninius kodus (mėginiai, matavimo laikmenos, t.t).</w:t>
            </w:r>
          </w:p>
        </w:tc>
        <w:tc>
          <w:tcPr>
            <w:tcW w:w="4536" w:type="dxa"/>
          </w:tcPr>
          <w:p w14:paraId="70C49CA9" w14:textId="77777777" w:rsidR="00FF3735" w:rsidRPr="00FF3735" w:rsidRDefault="00FF3735" w:rsidP="008B3BCA">
            <w:pPr>
              <w:rPr>
                <w:szCs w:val="24"/>
              </w:rPr>
            </w:pPr>
          </w:p>
        </w:tc>
        <w:tc>
          <w:tcPr>
            <w:tcW w:w="3969" w:type="dxa"/>
          </w:tcPr>
          <w:p w14:paraId="41BAF196" w14:textId="77777777" w:rsidR="00FF3735" w:rsidRPr="00FF3735" w:rsidRDefault="00FF3735" w:rsidP="0049487A">
            <w:pPr>
              <w:rPr>
                <w:szCs w:val="24"/>
              </w:rPr>
            </w:pPr>
          </w:p>
        </w:tc>
      </w:tr>
      <w:tr w:rsidR="00373B7A" w:rsidRPr="002871FA" w14:paraId="712643C8" w14:textId="77777777" w:rsidTr="00E42665">
        <w:tc>
          <w:tcPr>
            <w:tcW w:w="668" w:type="dxa"/>
          </w:tcPr>
          <w:p w14:paraId="1EF8CEA0" w14:textId="201549E8" w:rsidR="00373B7A" w:rsidRPr="00702F8E" w:rsidRDefault="000D7B23" w:rsidP="0049487A">
            <w:pPr>
              <w:ind w:hanging="4"/>
              <w:jc w:val="center"/>
              <w:rPr>
                <w:szCs w:val="24"/>
              </w:rPr>
            </w:pPr>
            <w:r>
              <w:rPr>
                <w:szCs w:val="24"/>
              </w:rPr>
              <w:t>6</w:t>
            </w:r>
            <w:r w:rsidR="00373B7A" w:rsidRPr="00702F8E">
              <w:rPr>
                <w:szCs w:val="24"/>
              </w:rPr>
              <w:t xml:space="preserve">. </w:t>
            </w:r>
          </w:p>
        </w:tc>
        <w:tc>
          <w:tcPr>
            <w:tcW w:w="6238" w:type="dxa"/>
          </w:tcPr>
          <w:p w14:paraId="4A1BA372" w14:textId="0779AE35" w:rsidR="00373B7A" w:rsidRPr="00702F8E" w:rsidRDefault="00373B7A" w:rsidP="0049487A">
            <w:pPr>
              <w:jc w:val="both"/>
              <w:rPr>
                <w:rFonts w:eastAsia="Calibri"/>
                <w:szCs w:val="24"/>
              </w:rPr>
            </w:pPr>
            <w:r w:rsidRPr="00702F8E">
              <w:rPr>
                <w:szCs w:val="24"/>
              </w:rPr>
              <w:t xml:space="preserve">Ne mažiau </w:t>
            </w:r>
            <w:r w:rsidR="00543343">
              <w:rPr>
                <w:szCs w:val="24"/>
              </w:rPr>
              <w:t>28</w:t>
            </w:r>
            <w:r w:rsidR="00786F7B" w:rsidRPr="00702F8E">
              <w:rPr>
                <w:szCs w:val="24"/>
              </w:rPr>
              <w:t xml:space="preserve"> </w:t>
            </w:r>
            <w:r w:rsidRPr="00702F8E">
              <w:rPr>
                <w:szCs w:val="24"/>
              </w:rPr>
              <w:t>vietų reagentams.</w:t>
            </w:r>
          </w:p>
        </w:tc>
        <w:tc>
          <w:tcPr>
            <w:tcW w:w="4536" w:type="dxa"/>
          </w:tcPr>
          <w:p w14:paraId="215A25A8" w14:textId="4C811F41" w:rsidR="00373B7A" w:rsidRPr="00702F8E" w:rsidRDefault="00373B7A" w:rsidP="0049487A">
            <w:pPr>
              <w:rPr>
                <w:szCs w:val="24"/>
              </w:rPr>
            </w:pPr>
          </w:p>
        </w:tc>
        <w:tc>
          <w:tcPr>
            <w:tcW w:w="3969" w:type="dxa"/>
          </w:tcPr>
          <w:p w14:paraId="1A635E53" w14:textId="53A3C31D" w:rsidR="00373B7A" w:rsidRPr="00702F8E" w:rsidRDefault="00373B7A" w:rsidP="0051760B">
            <w:pPr>
              <w:rPr>
                <w:szCs w:val="24"/>
              </w:rPr>
            </w:pPr>
          </w:p>
        </w:tc>
      </w:tr>
      <w:tr w:rsidR="00373B7A" w:rsidRPr="002871FA" w14:paraId="192BB819" w14:textId="77777777" w:rsidTr="00E42665">
        <w:tc>
          <w:tcPr>
            <w:tcW w:w="668" w:type="dxa"/>
          </w:tcPr>
          <w:p w14:paraId="6403413F" w14:textId="382FF9D7" w:rsidR="00373B7A" w:rsidRPr="00702F8E" w:rsidRDefault="000D7B23" w:rsidP="0049487A">
            <w:pPr>
              <w:ind w:hanging="4"/>
              <w:jc w:val="center"/>
              <w:rPr>
                <w:szCs w:val="24"/>
              </w:rPr>
            </w:pPr>
            <w:r>
              <w:rPr>
                <w:szCs w:val="24"/>
              </w:rPr>
              <w:t>7</w:t>
            </w:r>
            <w:r w:rsidR="00373B7A" w:rsidRPr="00702F8E">
              <w:rPr>
                <w:szCs w:val="24"/>
              </w:rPr>
              <w:t xml:space="preserve">. </w:t>
            </w:r>
          </w:p>
        </w:tc>
        <w:tc>
          <w:tcPr>
            <w:tcW w:w="6238" w:type="dxa"/>
          </w:tcPr>
          <w:p w14:paraId="6BEAF5CF" w14:textId="7EEA277F" w:rsidR="00373B7A" w:rsidRPr="00702F8E" w:rsidRDefault="00373B7A" w:rsidP="0049487A">
            <w:pPr>
              <w:jc w:val="both"/>
              <w:rPr>
                <w:rFonts w:eastAsia="Calibri"/>
                <w:szCs w:val="24"/>
              </w:rPr>
            </w:pPr>
            <w:r w:rsidRPr="00702F8E">
              <w:rPr>
                <w:szCs w:val="24"/>
              </w:rPr>
              <w:t>Ne</w:t>
            </w:r>
            <w:r w:rsidR="009C106B">
              <w:rPr>
                <w:szCs w:val="24"/>
              </w:rPr>
              <w:t xml:space="preserve"> </w:t>
            </w:r>
            <w:r w:rsidRPr="00702F8E">
              <w:rPr>
                <w:szCs w:val="24"/>
              </w:rPr>
              <w:t xml:space="preserve">mažiau kaip </w:t>
            </w:r>
            <w:r w:rsidR="00E33397">
              <w:rPr>
                <w:szCs w:val="24"/>
              </w:rPr>
              <w:t>60</w:t>
            </w:r>
            <w:r w:rsidR="00E33397" w:rsidRPr="00702F8E">
              <w:rPr>
                <w:szCs w:val="24"/>
              </w:rPr>
              <w:t xml:space="preserve"> </w:t>
            </w:r>
            <w:r w:rsidRPr="00702F8E">
              <w:rPr>
                <w:szCs w:val="24"/>
              </w:rPr>
              <w:t>vietų mėginiams pirminiuose kraujo ėmimo mėgintuvėliuose.</w:t>
            </w:r>
          </w:p>
        </w:tc>
        <w:tc>
          <w:tcPr>
            <w:tcW w:w="4536" w:type="dxa"/>
          </w:tcPr>
          <w:p w14:paraId="2FE503EE" w14:textId="2E4977BF" w:rsidR="00373B7A" w:rsidRPr="00702F8E" w:rsidRDefault="00373B7A" w:rsidP="0049487A">
            <w:pPr>
              <w:rPr>
                <w:szCs w:val="24"/>
              </w:rPr>
            </w:pPr>
          </w:p>
        </w:tc>
        <w:tc>
          <w:tcPr>
            <w:tcW w:w="3969" w:type="dxa"/>
          </w:tcPr>
          <w:p w14:paraId="7FD49381" w14:textId="631EC3C6" w:rsidR="00373B7A" w:rsidRPr="00702F8E" w:rsidRDefault="00373B7A" w:rsidP="0051760B">
            <w:pPr>
              <w:rPr>
                <w:szCs w:val="24"/>
              </w:rPr>
            </w:pPr>
          </w:p>
        </w:tc>
      </w:tr>
      <w:tr w:rsidR="00373B7A" w:rsidRPr="002871FA" w14:paraId="003BF389" w14:textId="77777777" w:rsidTr="00E42665">
        <w:tc>
          <w:tcPr>
            <w:tcW w:w="668" w:type="dxa"/>
          </w:tcPr>
          <w:p w14:paraId="3D4250DA" w14:textId="27C5231E" w:rsidR="00373B7A" w:rsidRPr="00702F8E" w:rsidRDefault="00702F8E" w:rsidP="0049487A">
            <w:pPr>
              <w:ind w:hanging="4"/>
              <w:jc w:val="center"/>
              <w:rPr>
                <w:szCs w:val="24"/>
              </w:rPr>
            </w:pPr>
            <w:r>
              <w:rPr>
                <w:szCs w:val="24"/>
              </w:rPr>
              <w:t>8</w:t>
            </w:r>
            <w:r w:rsidR="00373B7A" w:rsidRPr="00702F8E">
              <w:rPr>
                <w:szCs w:val="24"/>
              </w:rPr>
              <w:t>.</w:t>
            </w:r>
          </w:p>
        </w:tc>
        <w:tc>
          <w:tcPr>
            <w:tcW w:w="6238" w:type="dxa"/>
          </w:tcPr>
          <w:p w14:paraId="342496C2" w14:textId="77777777" w:rsidR="00373B7A" w:rsidRPr="00702F8E" w:rsidRDefault="00373B7A" w:rsidP="0049487A">
            <w:pPr>
              <w:jc w:val="both"/>
              <w:rPr>
                <w:szCs w:val="24"/>
              </w:rPr>
            </w:pPr>
            <w:r w:rsidRPr="00702F8E">
              <w:rPr>
                <w:szCs w:val="24"/>
              </w:rPr>
              <w:t>Funkcionalumas:</w:t>
            </w:r>
          </w:p>
          <w:p w14:paraId="7AB868F7" w14:textId="77777777" w:rsidR="00373B7A" w:rsidRPr="00702F8E" w:rsidRDefault="00373B7A" w:rsidP="0049487A">
            <w:pPr>
              <w:jc w:val="both"/>
              <w:rPr>
                <w:szCs w:val="24"/>
              </w:rPr>
            </w:pPr>
            <w:r w:rsidRPr="00702F8E">
              <w:rPr>
                <w:szCs w:val="24"/>
              </w:rPr>
              <w:t>Sistema turi leisti atlikti krešėjimo sistemos tyrimus bet kokia tvarka ir laisvai pasirinkti bei keisti pacientų mėginių  atlikimo eiliškumą.</w:t>
            </w:r>
          </w:p>
        </w:tc>
        <w:tc>
          <w:tcPr>
            <w:tcW w:w="4536" w:type="dxa"/>
          </w:tcPr>
          <w:p w14:paraId="0F9FB96E" w14:textId="79EBBD2F" w:rsidR="00373B7A" w:rsidRPr="00702F8E" w:rsidRDefault="00373B7A" w:rsidP="0049487A">
            <w:pPr>
              <w:rPr>
                <w:szCs w:val="24"/>
              </w:rPr>
            </w:pPr>
          </w:p>
        </w:tc>
        <w:tc>
          <w:tcPr>
            <w:tcW w:w="3969" w:type="dxa"/>
          </w:tcPr>
          <w:p w14:paraId="7D996170" w14:textId="538394AE" w:rsidR="00B47A35" w:rsidRPr="00702F8E" w:rsidRDefault="00B47A35" w:rsidP="0049487A">
            <w:pPr>
              <w:rPr>
                <w:szCs w:val="24"/>
              </w:rPr>
            </w:pPr>
          </w:p>
        </w:tc>
      </w:tr>
      <w:tr w:rsidR="00373B7A" w:rsidRPr="002871FA" w14:paraId="6FDB08B4" w14:textId="77777777" w:rsidTr="00E42665">
        <w:tc>
          <w:tcPr>
            <w:tcW w:w="668" w:type="dxa"/>
          </w:tcPr>
          <w:p w14:paraId="16FA8D56" w14:textId="0D542F28" w:rsidR="00373B7A" w:rsidRPr="00702F8E" w:rsidRDefault="00702F8E" w:rsidP="0049487A">
            <w:pPr>
              <w:ind w:hanging="4"/>
              <w:jc w:val="center"/>
              <w:rPr>
                <w:szCs w:val="24"/>
              </w:rPr>
            </w:pPr>
            <w:r>
              <w:rPr>
                <w:szCs w:val="24"/>
              </w:rPr>
              <w:t>9</w:t>
            </w:r>
            <w:r w:rsidR="00373B7A" w:rsidRPr="00702F8E">
              <w:rPr>
                <w:szCs w:val="24"/>
              </w:rPr>
              <w:t xml:space="preserve">. </w:t>
            </w:r>
          </w:p>
        </w:tc>
        <w:tc>
          <w:tcPr>
            <w:tcW w:w="6238" w:type="dxa"/>
          </w:tcPr>
          <w:p w14:paraId="250CE96C" w14:textId="77777777" w:rsidR="00373B7A" w:rsidRPr="00702F8E" w:rsidRDefault="00373B7A" w:rsidP="0049487A">
            <w:pPr>
              <w:jc w:val="both"/>
              <w:rPr>
                <w:szCs w:val="24"/>
              </w:rPr>
            </w:pPr>
            <w:r w:rsidRPr="00702F8E">
              <w:rPr>
                <w:szCs w:val="24"/>
              </w:rPr>
              <w:t>Reikalavimai ADTL:</w:t>
            </w:r>
          </w:p>
          <w:p w14:paraId="7B639985" w14:textId="12F72E1B" w:rsidR="00373B7A" w:rsidRPr="00702F8E" w:rsidRDefault="00373B7A" w:rsidP="0049487A">
            <w:pPr>
              <w:jc w:val="both"/>
              <w:rPr>
                <w:szCs w:val="24"/>
              </w:rPr>
            </w:pPr>
            <w:r w:rsidRPr="00702F8E">
              <w:rPr>
                <w:szCs w:val="24"/>
              </w:rPr>
              <w:t>Analizatoriuje būtų paruošta programa ADTL nustatymui.</w:t>
            </w:r>
          </w:p>
        </w:tc>
        <w:tc>
          <w:tcPr>
            <w:tcW w:w="4536" w:type="dxa"/>
          </w:tcPr>
          <w:p w14:paraId="37058C10" w14:textId="52019152" w:rsidR="00373B7A" w:rsidRPr="00702F8E" w:rsidRDefault="00373B7A" w:rsidP="0049487A">
            <w:pPr>
              <w:rPr>
                <w:szCs w:val="24"/>
              </w:rPr>
            </w:pPr>
          </w:p>
        </w:tc>
        <w:tc>
          <w:tcPr>
            <w:tcW w:w="3969" w:type="dxa"/>
          </w:tcPr>
          <w:p w14:paraId="6ADB0851" w14:textId="1098D3C9" w:rsidR="00373B7A" w:rsidRPr="00702F8E" w:rsidRDefault="00373B7A" w:rsidP="0049487A">
            <w:pPr>
              <w:rPr>
                <w:szCs w:val="24"/>
              </w:rPr>
            </w:pPr>
          </w:p>
        </w:tc>
      </w:tr>
      <w:tr w:rsidR="00373B7A" w:rsidRPr="002871FA" w14:paraId="1201BB85" w14:textId="77777777" w:rsidTr="00E42665">
        <w:tc>
          <w:tcPr>
            <w:tcW w:w="668" w:type="dxa"/>
          </w:tcPr>
          <w:p w14:paraId="40E9D634" w14:textId="3BF99D6D" w:rsidR="00373B7A" w:rsidRPr="00702F8E" w:rsidRDefault="00702F8E" w:rsidP="0049487A">
            <w:pPr>
              <w:ind w:hanging="4"/>
              <w:jc w:val="center"/>
              <w:rPr>
                <w:szCs w:val="24"/>
              </w:rPr>
            </w:pPr>
            <w:r>
              <w:rPr>
                <w:szCs w:val="24"/>
              </w:rPr>
              <w:t>10</w:t>
            </w:r>
            <w:r w:rsidR="00373B7A" w:rsidRPr="00702F8E">
              <w:rPr>
                <w:szCs w:val="24"/>
              </w:rPr>
              <w:t>.</w:t>
            </w:r>
          </w:p>
        </w:tc>
        <w:tc>
          <w:tcPr>
            <w:tcW w:w="6238" w:type="dxa"/>
          </w:tcPr>
          <w:p w14:paraId="65CB699F" w14:textId="77777777" w:rsidR="00373B7A" w:rsidRPr="00702F8E" w:rsidRDefault="00373B7A" w:rsidP="0049487A">
            <w:pPr>
              <w:jc w:val="both"/>
              <w:rPr>
                <w:szCs w:val="24"/>
              </w:rPr>
            </w:pPr>
            <w:r w:rsidRPr="00702F8E">
              <w:rPr>
                <w:szCs w:val="24"/>
              </w:rPr>
              <w:t>Reikalavimai PL:</w:t>
            </w:r>
          </w:p>
          <w:p w14:paraId="5C3C2EA3" w14:textId="113304D7" w:rsidR="00373B7A" w:rsidRPr="00702F8E" w:rsidRDefault="00373B7A" w:rsidP="0049487A">
            <w:pPr>
              <w:jc w:val="both"/>
              <w:rPr>
                <w:szCs w:val="24"/>
              </w:rPr>
            </w:pPr>
            <w:r w:rsidRPr="00702F8E">
              <w:rPr>
                <w:szCs w:val="24"/>
              </w:rPr>
              <w:t>Analizatoriuje paruošta programa</w:t>
            </w:r>
            <w:r w:rsidR="00964D3A">
              <w:rPr>
                <w:szCs w:val="24"/>
              </w:rPr>
              <w:t xml:space="preserve"> p</w:t>
            </w:r>
            <w:r w:rsidRPr="00702F8E">
              <w:rPr>
                <w:szCs w:val="24"/>
              </w:rPr>
              <w:t>rotrombino laiko (II-VII-X faktorių aktyvumo) nustatymui.</w:t>
            </w:r>
          </w:p>
        </w:tc>
        <w:tc>
          <w:tcPr>
            <w:tcW w:w="4536" w:type="dxa"/>
          </w:tcPr>
          <w:p w14:paraId="0BD613E9" w14:textId="6BE83DD1" w:rsidR="00373B7A" w:rsidRPr="00702F8E" w:rsidRDefault="00373B7A" w:rsidP="00052204">
            <w:pPr>
              <w:rPr>
                <w:szCs w:val="24"/>
              </w:rPr>
            </w:pPr>
          </w:p>
        </w:tc>
        <w:tc>
          <w:tcPr>
            <w:tcW w:w="3969" w:type="dxa"/>
          </w:tcPr>
          <w:p w14:paraId="2EC68C51" w14:textId="2130E5AF" w:rsidR="00373B7A" w:rsidRPr="00702F8E" w:rsidRDefault="00373B7A" w:rsidP="0049487A">
            <w:pPr>
              <w:rPr>
                <w:szCs w:val="24"/>
              </w:rPr>
            </w:pPr>
          </w:p>
        </w:tc>
      </w:tr>
      <w:tr w:rsidR="00373B7A" w:rsidRPr="002871FA" w14:paraId="04D6B163" w14:textId="77777777" w:rsidTr="00E42665">
        <w:tc>
          <w:tcPr>
            <w:tcW w:w="668" w:type="dxa"/>
          </w:tcPr>
          <w:p w14:paraId="6783AAB7" w14:textId="4535D2C0" w:rsidR="00373B7A" w:rsidRPr="00702F8E" w:rsidRDefault="00702F8E" w:rsidP="0049487A">
            <w:pPr>
              <w:ind w:hanging="4"/>
              <w:jc w:val="center"/>
              <w:rPr>
                <w:szCs w:val="24"/>
              </w:rPr>
            </w:pPr>
            <w:r w:rsidRPr="00702F8E">
              <w:rPr>
                <w:szCs w:val="24"/>
              </w:rPr>
              <w:t>1</w:t>
            </w:r>
            <w:r>
              <w:rPr>
                <w:szCs w:val="24"/>
              </w:rPr>
              <w:t>1</w:t>
            </w:r>
            <w:r w:rsidR="00373B7A" w:rsidRPr="00702F8E">
              <w:rPr>
                <w:szCs w:val="24"/>
              </w:rPr>
              <w:t>.</w:t>
            </w:r>
          </w:p>
        </w:tc>
        <w:tc>
          <w:tcPr>
            <w:tcW w:w="6238" w:type="dxa"/>
          </w:tcPr>
          <w:p w14:paraId="413920AC" w14:textId="77777777" w:rsidR="00373B7A" w:rsidRPr="00702F8E" w:rsidRDefault="00373B7A" w:rsidP="0049487A">
            <w:pPr>
              <w:jc w:val="both"/>
              <w:rPr>
                <w:szCs w:val="24"/>
              </w:rPr>
            </w:pPr>
            <w:r w:rsidRPr="00702F8E">
              <w:rPr>
                <w:szCs w:val="24"/>
              </w:rPr>
              <w:t>Reikalavimai FIB koncentracijos nustatymui:</w:t>
            </w:r>
          </w:p>
          <w:p w14:paraId="75530DB8" w14:textId="3E2ED24B" w:rsidR="00373B7A" w:rsidRPr="00702F8E" w:rsidRDefault="00373B7A" w:rsidP="006F2052">
            <w:pPr>
              <w:jc w:val="both"/>
              <w:rPr>
                <w:szCs w:val="24"/>
              </w:rPr>
            </w:pPr>
            <w:r w:rsidRPr="00702F8E">
              <w:rPr>
                <w:szCs w:val="24"/>
              </w:rPr>
              <w:t>Analizatoriuje paruošta programa</w:t>
            </w:r>
            <w:r w:rsidR="006F2052" w:rsidRPr="00702F8E">
              <w:rPr>
                <w:szCs w:val="24"/>
              </w:rPr>
              <w:t xml:space="preserve"> </w:t>
            </w:r>
            <w:r w:rsidRPr="00702F8E">
              <w:rPr>
                <w:szCs w:val="24"/>
              </w:rPr>
              <w:t>fibrinogeno koncentracijos nustatymui Klauso metodu.</w:t>
            </w:r>
          </w:p>
        </w:tc>
        <w:tc>
          <w:tcPr>
            <w:tcW w:w="4536" w:type="dxa"/>
          </w:tcPr>
          <w:p w14:paraId="0E42471B" w14:textId="3E961FDF" w:rsidR="00373B7A" w:rsidRPr="00702F8E" w:rsidRDefault="00373B7A" w:rsidP="0049487A">
            <w:pPr>
              <w:rPr>
                <w:szCs w:val="24"/>
              </w:rPr>
            </w:pPr>
          </w:p>
        </w:tc>
        <w:tc>
          <w:tcPr>
            <w:tcW w:w="3969" w:type="dxa"/>
          </w:tcPr>
          <w:p w14:paraId="1FAE82A5" w14:textId="4798738F" w:rsidR="00373B7A" w:rsidRPr="00702F8E" w:rsidRDefault="00373B7A" w:rsidP="0049487A">
            <w:pPr>
              <w:rPr>
                <w:szCs w:val="24"/>
              </w:rPr>
            </w:pPr>
          </w:p>
        </w:tc>
      </w:tr>
      <w:tr w:rsidR="00373B7A" w:rsidRPr="002871FA" w14:paraId="0DE249A0" w14:textId="77777777" w:rsidTr="009561C1">
        <w:trPr>
          <w:trHeight w:val="1092"/>
        </w:trPr>
        <w:tc>
          <w:tcPr>
            <w:tcW w:w="668" w:type="dxa"/>
          </w:tcPr>
          <w:p w14:paraId="3B5FD458" w14:textId="25B76D30" w:rsidR="00373B7A" w:rsidRPr="00702F8E" w:rsidRDefault="00702F8E" w:rsidP="0049487A">
            <w:pPr>
              <w:ind w:hanging="4"/>
              <w:jc w:val="center"/>
              <w:rPr>
                <w:szCs w:val="24"/>
              </w:rPr>
            </w:pPr>
            <w:r w:rsidRPr="00702F8E">
              <w:rPr>
                <w:szCs w:val="24"/>
              </w:rPr>
              <w:t>1</w:t>
            </w:r>
            <w:r>
              <w:rPr>
                <w:szCs w:val="24"/>
              </w:rPr>
              <w:t>2</w:t>
            </w:r>
            <w:r w:rsidR="00373B7A" w:rsidRPr="00702F8E">
              <w:rPr>
                <w:szCs w:val="24"/>
              </w:rPr>
              <w:t>.</w:t>
            </w:r>
          </w:p>
        </w:tc>
        <w:tc>
          <w:tcPr>
            <w:tcW w:w="6238" w:type="dxa"/>
          </w:tcPr>
          <w:p w14:paraId="66620257" w14:textId="77777777" w:rsidR="00373B7A" w:rsidRPr="00702F8E" w:rsidRDefault="00373B7A" w:rsidP="0049487A">
            <w:pPr>
              <w:jc w:val="both"/>
              <w:rPr>
                <w:szCs w:val="24"/>
              </w:rPr>
            </w:pPr>
            <w:r w:rsidRPr="00702F8E">
              <w:rPr>
                <w:szCs w:val="24"/>
              </w:rPr>
              <w:t>Tiriami mėginiai – citruota plazma (normali, bet kokio lygio hemolizuota, ikterinė, lipeminė) turi būti ištiriama be papildomų procedūrų rutinos tyrimams.</w:t>
            </w:r>
          </w:p>
        </w:tc>
        <w:tc>
          <w:tcPr>
            <w:tcW w:w="4536" w:type="dxa"/>
          </w:tcPr>
          <w:p w14:paraId="5900C3A8" w14:textId="73FD9A8B" w:rsidR="00373B7A" w:rsidRPr="00702F8E" w:rsidRDefault="00373B7A" w:rsidP="0049487A">
            <w:pPr>
              <w:rPr>
                <w:szCs w:val="24"/>
              </w:rPr>
            </w:pPr>
          </w:p>
        </w:tc>
        <w:tc>
          <w:tcPr>
            <w:tcW w:w="3969" w:type="dxa"/>
          </w:tcPr>
          <w:p w14:paraId="0D5EEE22" w14:textId="20518F92" w:rsidR="00373B7A" w:rsidRPr="00702F8E" w:rsidRDefault="00373B7A" w:rsidP="0049487A">
            <w:pPr>
              <w:rPr>
                <w:szCs w:val="24"/>
              </w:rPr>
            </w:pPr>
          </w:p>
        </w:tc>
      </w:tr>
      <w:tr w:rsidR="00A744B0" w:rsidRPr="002871FA" w14:paraId="5BCDC48A" w14:textId="77777777" w:rsidTr="00E42665">
        <w:tc>
          <w:tcPr>
            <w:tcW w:w="668" w:type="dxa"/>
          </w:tcPr>
          <w:p w14:paraId="3D2F263D" w14:textId="43AAAEC2" w:rsidR="00A744B0" w:rsidRPr="00702F8E" w:rsidRDefault="00702F8E" w:rsidP="00A744B0">
            <w:pPr>
              <w:ind w:hanging="4"/>
              <w:jc w:val="center"/>
              <w:rPr>
                <w:szCs w:val="24"/>
              </w:rPr>
            </w:pPr>
            <w:r w:rsidRPr="00702F8E">
              <w:rPr>
                <w:szCs w:val="24"/>
              </w:rPr>
              <w:t>1</w:t>
            </w:r>
            <w:r>
              <w:rPr>
                <w:szCs w:val="24"/>
              </w:rPr>
              <w:t>3</w:t>
            </w:r>
            <w:r w:rsidR="00A744B0" w:rsidRPr="00702F8E">
              <w:rPr>
                <w:szCs w:val="24"/>
              </w:rPr>
              <w:t>.</w:t>
            </w:r>
          </w:p>
        </w:tc>
        <w:tc>
          <w:tcPr>
            <w:tcW w:w="6238" w:type="dxa"/>
          </w:tcPr>
          <w:p w14:paraId="54DAC4F4" w14:textId="189DA933" w:rsidR="00A744B0" w:rsidRPr="00702F8E" w:rsidRDefault="00395816" w:rsidP="00A744B0">
            <w:pPr>
              <w:jc w:val="both"/>
              <w:rPr>
                <w:szCs w:val="24"/>
              </w:rPr>
            </w:pPr>
            <w:r w:rsidRPr="008B30C2">
              <w:rPr>
                <w:lang w:val="es-ES_tradnl"/>
              </w:rPr>
              <w:t xml:space="preserve">Suderinamumas su </w:t>
            </w:r>
            <w:r w:rsidR="00662E1C">
              <w:rPr>
                <w:lang w:val="es-ES_tradnl"/>
              </w:rPr>
              <w:t>P</w:t>
            </w:r>
            <w:r w:rsidR="00662E1C" w:rsidRPr="008B30C2">
              <w:rPr>
                <w:lang w:val="es-ES_tradnl"/>
              </w:rPr>
              <w:t xml:space="preserve">irkėjo </w:t>
            </w:r>
            <w:r w:rsidRPr="008B30C2">
              <w:rPr>
                <w:lang w:val="es-ES_tradnl"/>
              </w:rPr>
              <w:t>naudojama laboratorine informacine sistema</w:t>
            </w:r>
            <w:r>
              <w:rPr>
                <w:lang w:val="es-ES_tradnl"/>
              </w:rPr>
              <w:t xml:space="preserve">. </w:t>
            </w:r>
            <w:r w:rsidR="00A744B0" w:rsidRPr="00702F8E">
              <w:rPr>
                <w:szCs w:val="24"/>
              </w:rPr>
              <w:t xml:space="preserve">Analizatorius privalo turėti dvikryptę komunikaciją standartiniu protokolu (ASTM arba HL7) su laboratorijoje įdiegta informacine sistema </w:t>
            </w:r>
            <w:r w:rsidR="00A744B0" w:rsidRPr="00702F8E">
              <w:rPr>
                <w:rFonts w:eastAsia="Calibri"/>
                <w:szCs w:val="24"/>
              </w:rPr>
              <w:t>OpenLims, Stapro s. r. o., Čekija.</w:t>
            </w:r>
            <w:r w:rsidR="00392B4E">
              <w:rPr>
                <w:rFonts w:eastAsia="Calibri"/>
                <w:szCs w:val="24"/>
              </w:rPr>
              <w:t xml:space="preserve"> </w:t>
            </w:r>
            <w:r w:rsidR="00392B4E" w:rsidRPr="00392B4E">
              <w:rPr>
                <w:rFonts w:eastAsia="Calibri"/>
                <w:szCs w:val="24"/>
              </w:rPr>
              <w:t>Tiekėjas patvirtina, kad jo siūloma</w:t>
            </w:r>
            <w:r w:rsidR="00392B4E">
              <w:rPr>
                <w:rFonts w:eastAsia="Calibri"/>
                <w:szCs w:val="24"/>
              </w:rPr>
              <w:t xml:space="preserve"> įranga</w:t>
            </w:r>
            <w:r w:rsidR="00392B4E" w:rsidRPr="00392B4E">
              <w:rPr>
                <w:rFonts w:eastAsia="Calibri"/>
                <w:szCs w:val="24"/>
              </w:rPr>
              <w:t xml:space="preserve"> visiškai suderinama su Pirkėjo naudojama </w:t>
            </w:r>
            <w:r w:rsidR="00392B4E">
              <w:rPr>
                <w:rFonts w:eastAsia="Calibri"/>
                <w:szCs w:val="24"/>
              </w:rPr>
              <w:t>informacine sistema</w:t>
            </w:r>
            <w:r w:rsidR="00392B4E" w:rsidRPr="00392B4E">
              <w:rPr>
                <w:rFonts w:eastAsia="Calibri"/>
                <w:szCs w:val="24"/>
              </w:rPr>
              <w:t xml:space="preserve">, bei užtikrina, jog, jungiant siūlomą </w:t>
            </w:r>
            <w:r w:rsidR="00392B4E">
              <w:rPr>
                <w:rFonts w:eastAsia="Calibri"/>
                <w:szCs w:val="24"/>
              </w:rPr>
              <w:t>įrangą</w:t>
            </w:r>
            <w:r w:rsidR="00392B4E" w:rsidRPr="00392B4E">
              <w:rPr>
                <w:rFonts w:eastAsia="Calibri"/>
                <w:szCs w:val="24"/>
              </w:rPr>
              <w:t xml:space="preserve"> prie </w:t>
            </w:r>
            <w:r w:rsidR="00392B4E">
              <w:rPr>
                <w:rFonts w:eastAsia="Calibri"/>
                <w:szCs w:val="24"/>
              </w:rPr>
              <w:t>OpenLims</w:t>
            </w:r>
            <w:r w:rsidR="00392B4E" w:rsidRPr="00392B4E">
              <w:rPr>
                <w:rFonts w:eastAsia="Calibri"/>
                <w:szCs w:val="24"/>
              </w:rPr>
              <w:t>, tarpininkaus siekiant, kad nekiltų techninių kliūčių pajungimui.</w:t>
            </w:r>
          </w:p>
        </w:tc>
        <w:tc>
          <w:tcPr>
            <w:tcW w:w="4536" w:type="dxa"/>
          </w:tcPr>
          <w:p w14:paraId="67C2B9D4" w14:textId="33DB2B5F" w:rsidR="00A744B0" w:rsidRPr="00702F8E" w:rsidRDefault="00A744B0" w:rsidP="00A744B0">
            <w:pPr>
              <w:rPr>
                <w:szCs w:val="24"/>
              </w:rPr>
            </w:pPr>
          </w:p>
        </w:tc>
        <w:tc>
          <w:tcPr>
            <w:tcW w:w="3969" w:type="dxa"/>
          </w:tcPr>
          <w:p w14:paraId="345FD727" w14:textId="72C4F72A" w:rsidR="00A744B0" w:rsidRPr="00702F8E" w:rsidRDefault="00B93211" w:rsidP="009561C1">
            <w:pPr>
              <w:jc w:val="both"/>
              <w:rPr>
                <w:szCs w:val="24"/>
              </w:rPr>
            </w:pPr>
            <w:r w:rsidRPr="00D568D4">
              <w:rPr>
                <w:szCs w:val="24"/>
              </w:rPr>
              <w:t xml:space="preserve">Kartu su pasiūlymu turi būti pateiktas gamintojo parengtas techninis aprašas, kuriame aiškiai nurodyta įrangos sąsajos su </w:t>
            </w:r>
            <w:r w:rsidR="008D4EA8">
              <w:rPr>
                <w:szCs w:val="24"/>
              </w:rPr>
              <w:t>laboratorine informacine sistema</w:t>
            </w:r>
            <w:r w:rsidRPr="00D568D4">
              <w:rPr>
                <w:szCs w:val="24"/>
              </w:rPr>
              <w:t xml:space="preserve"> galimybė.  </w:t>
            </w:r>
          </w:p>
        </w:tc>
      </w:tr>
      <w:tr w:rsidR="00A744B0" w:rsidRPr="002871FA" w14:paraId="61A8AF6D" w14:textId="77777777" w:rsidTr="00E42665">
        <w:tc>
          <w:tcPr>
            <w:tcW w:w="668" w:type="dxa"/>
          </w:tcPr>
          <w:p w14:paraId="7FF9C602" w14:textId="377908D0" w:rsidR="00A744B0" w:rsidRPr="00702F8E" w:rsidRDefault="00702F8E" w:rsidP="00A744B0">
            <w:pPr>
              <w:ind w:hanging="4"/>
              <w:jc w:val="center"/>
              <w:rPr>
                <w:szCs w:val="24"/>
              </w:rPr>
            </w:pPr>
            <w:r w:rsidRPr="00702F8E">
              <w:rPr>
                <w:szCs w:val="24"/>
              </w:rPr>
              <w:t>1</w:t>
            </w:r>
            <w:r>
              <w:rPr>
                <w:szCs w:val="24"/>
              </w:rPr>
              <w:t>4</w:t>
            </w:r>
            <w:r w:rsidR="00A744B0" w:rsidRPr="00702F8E">
              <w:rPr>
                <w:szCs w:val="24"/>
              </w:rPr>
              <w:t>.</w:t>
            </w:r>
          </w:p>
        </w:tc>
        <w:tc>
          <w:tcPr>
            <w:tcW w:w="6238" w:type="dxa"/>
          </w:tcPr>
          <w:p w14:paraId="2C2E3FCD" w14:textId="652DCBF7" w:rsidR="00A744B0" w:rsidRPr="00702F8E" w:rsidRDefault="00A744B0" w:rsidP="00A744B0">
            <w:pPr>
              <w:jc w:val="both"/>
              <w:rPr>
                <w:rFonts w:eastAsia="Calibri"/>
                <w:szCs w:val="24"/>
              </w:rPr>
            </w:pPr>
            <w:r w:rsidRPr="00702F8E">
              <w:rPr>
                <w:rFonts w:eastAsia="Calibri"/>
                <w:szCs w:val="24"/>
              </w:rPr>
              <w:t xml:space="preserve">Analizatorius turi būti </w:t>
            </w:r>
            <w:r w:rsidR="005E290A" w:rsidRPr="00CD7898">
              <w:t>techniškai tvarkingas,</w:t>
            </w:r>
            <w:r w:rsidR="005E290A">
              <w:t xml:space="preserve"> </w:t>
            </w:r>
            <w:r w:rsidRPr="00702F8E">
              <w:rPr>
                <w:rFonts w:eastAsia="Calibri"/>
                <w:szCs w:val="24"/>
              </w:rPr>
              <w:t>pagamintas ne anksčiau kaip 2021 metais</w:t>
            </w:r>
            <w:r w:rsidR="006E2BF2">
              <w:rPr>
                <w:rFonts w:eastAsia="Calibri"/>
                <w:szCs w:val="24"/>
              </w:rPr>
              <w:t>.</w:t>
            </w:r>
            <w:r w:rsidRPr="00702F8E">
              <w:rPr>
                <w:rFonts w:eastAsia="Calibri"/>
                <w:szCs w:val="24"/>
              </w:rPr>
              <w:t xml:space="preserve"> </w:t>
            </w:r>
          </w:p>
        </w:tc>
        <w:tc>
          <w:tcPr>
            <w:tcW w:w="4536" w:type="dxa"/>
          </w:tcPr>
          <w:p w14:paraId="055265BB" w14:textId="0FE45F17" w:rsidR="00A744B0" w:rsidRPr="00702F8E" w:rsidRDefault="00A744B0" w:rsidP="00A744B0">
            <w:pPr>
              <w:rPr>
                <w:szCs w:val="24"/>
              </w:rPr>
            </w:pPr>
          </w:p>
        </w:tc>
        <w:tc>
          <w:tcPr>
            <w:tcW w:w="3969" w:type="dxa"/>
          </w:tcPr>
          <w:p w14:paraId="388EFF9A" w14:textId="77777777" w:rsidR="00596551" w:rsidRPr="00CD7898" w:rsidRDefault="00596551" w:rsidP="009561C1">
            <w:pPr>
              <w:ind w:right="32"/>
              <w:jc w:val="both"/>
            </w:pPr>
            <w:r w:rsidRPr="00CD7898">
              <w:t xml:space="preserve">Jei siūlomas </w:t>
            </w:r>
            <w:r w:rsidRPr="00CD7898">
              <w:rPr>
                <w:b/>
                <w:bCs/>
              </w:rPr>
              <w:t>naujas</w:t>
            </w:r>
            <w:r w:rsidRPr="00CD7898">
              <w:t xml:space="preserve"> analizatoriaus pagaminimo metus pagrindžiančios nuorodos nebūtina pateikti. Atitiktis tikrinama įrangos pristatymo metu.</w:t>
            </w:r>
          </w:p>
          <w:p w14:paraId="60F09A60" w14:textId="77777777" w:rsidR="00596551" w:rsidRPr="00CD7898" w:rsidRDefault="00596551" w:rsidP="00596551">
            <w:pPr>
              <w:ind w:left="179" w:right="168"/>
              <w:jc w:val="both"/>
            </w:pPr>
          </w:p>
          <w:p w14:paraId="45156AA2" w14:textId="095F3024" w:rsidR="00A744B0" w:rsidRPr="00702F8E" w:rsidRDefault="00596551" w:rsidP="00596551">
            <w:pPr>
              <w:jc w:val="both"/>
              <w:rPr>
                <w:szCs w:val="24"/>
              </w:rPr>
            </w:pPr>
            <w:r w:rsidRPr="00CD7898">
              <w:t xml:space="preserve">Jei siūlomas </w:t>
            </w:r>
            <w:r w:rsidRPr="00CD7898">
              <w:rPr>
                <w:b/>
                <w:bCs/>
              </w:rPr>
              <w:t xml:space="preserve">naudotas </w:t>
            </w:r>
            <w:r w:rsidRPr="00CD7898">
              <w:t>analizatorius, kartu su pasiūlymu pateikiama tiekėjo laisvos formos pažyma (aktas), kad analizatorius yra techniškai tvarkingas, tinkamas naudoti, nurodyti pagaminimo metai. Atitiktis pakartotinai bus tikrinama įrangos pristatymo metu.</w:t>
            </w:r>
          </w:p>
        </w:tc>
      </w:tr>
      <w:tr w:rsidR="002D6652" w:rsidRPr="002871FA" w14:paraId="5D4842A9" w14:textId="77777777" w:rsidTr="00E42665">
        <w:tc>
          <w:tcPr>
            <w:tcW w:w="668" w:type="dxa"/>
          </w:tcPr>
          <w:p w14:paraId="19932CCA" w14:textId="1294E3B5" w:rsidR="002D6652" w:rsidRPr="00702F8E" w:rsidRDefault="002D6652" w:rsidP="007D4B68">
            <w:pPr>
              <w:jc w:val="center"/>
              <w:rPr>
                <w:szCs w:val="24"/>
              </w:rPr>
            </w:pPr>
            <w:r w:rsidRPr="00702F8E">
              <w:rPr>
                <w:szCs w:val="24"/>
              </w:rPr>
              <w:lastRenderedPageBreak/>
              <w:t>15.</w:t>
            </w:r>
          </w:p>
        </w:tc>
        <w:tc>
          <w:tcPr>
            <w:tcW w:w="6238" w:type="dxa"/>
          </w:tcPr>
          <w:p w14:paraId="1C542A87" w14:textId="4A686F33" w:rsidR="00330510" w:rsidRPr="00702F8E" w:rsidRDefault="00B018C1" w:rsidP="00BE0EF2">
            <w:pPr>
              <w:jc w:val="both"/>
              <w:rPr>
                <w:rFonts w:eastAsia="Calibri"/>
                <w:szCs w:val="24"/>
              </w:rPr>
            </w:pPr>
            <w:r w:rsidRPr="00702F8E">
              <w:rPr>
                <w:rFonts w:eastAsia="Calibri"/>
                <w:szCs w:val="24"/>
              </w:rPr>
              <w:t>Programinės įrangos funkcionalum</w:t>
            </w:r>
            <w:r w:rsidR="00BE0EF2" w:rsidRPr="00702F8E">
              <w:rPr>
                <w:rFonts w:eastAsia="Calibri"/>
                <w:szCs w:val="24"/>
              </w:rPr>
              <w:t>ai:</w:t>
            </w:r>
          </w:p>
          <w:p w14:paraId="500185D3" w14:textId="37966208" w:rsidR="004A547F" w:rsidRPr="00F32C90" w:rsidRDefault="00BE0EF2" w:rsidP="00BE0EF2">
            <w:pPr>
              <w:jc w:val="both"/>
              <w:rPr>
                <w:rFonts w:eastAsia="Calibri"/>
                <w:szCs w:val="24"/>
                <w:lang w:val="fi-FI"/>
              </w:rPr>
            </w:pPr>
            <w:r w:rsidRPr="00702F8E">
              <w:rPr>
                <w:szCs w:val="24"/>
              </w:rPr>
              <w:t xml:space="preserve">a) </w:t>
            </w:r>
            <w:r w:rsidRPr="00702F8E">
              <w:rPr>
                <w:rFonts w:eastAsia="Calibri"/>
                <w:szCs w:val="24"/>
                <w:lang w:val="pt-BR"/>
              </w:rPr>
              <w:t xml:space="preserve">programinė įranga </w:t>
            </w:r>
            <w:r w:rsidR="003739A7">
              <w:rPr>
                <w:rFonts w:eastAsia="Calibri"/>
                <w:szCs w:val="24"/>
                <w:lang w:val="pt-BR"/>
              </w:rPr>
              <w:t>privalo</w:t>
            </w:r>
            <w:r w:rsidR="003739A7" w:rsidRPr="00702F8E">
              <w:rPr>
                <w:rFonts w:eastAsia="Calibri"/>
                <w:szCs w:val="24"/>
                <w:lang w:val="pt-BR"/>
              </w:rPr>
              <w:t xml:space="preserve"> </w:t>
            </w:r>
            <w:r w:rsidRPr="00702F8E">
              <w:rPr>
                <w:rFonts w:eastAsia="Calibri"/>
                <w:szCs w:val="24"/>
                <w:lang w:val="pt-BR"/>
              </w:rPr>
              <w:t>turėti automatinę tyrimo atlikimo laiko skaičiavimo funkcij</w:t>
            </w:r>
            <w:r w:rsidR="006B7679" w:rsidRPr="00702F8E">
              <w:rPr>
                <w:rFonts w:eastAsia="Calibri"/>
                <w:szCs w:val="24"/>
                <w:lang w:val="pt-BR"/>
              </w:rPr>
              <w:t>ą</w:t>
            </w:r>
            <w:r w:rsidRPr="00702F8E">
              <w:rPr>
                <w:rFonts w:eastAsia="Calibri"/>
                <w:szCs w:val="24"/>
                <w:lang w:val="pt-BR"/>
              </w:rPr>
              <w:t xml:space="preserve"> (angl. </w:t>
            </w:r>
            <w:r w:rsidRPr="00F32C90">
              <w:rPr>
                <w:rFonts w:eastAsia="Calibri"/>
                <w:szCs w:val="24"/>
                <w:lang w:val="fi-FI"/>
              </w:rPr>
              <w:t>TAT)</w:t>
            </w:r>
            <w:r w:rsidR="006B7679" w:rsidRPr="00F32C90">
              <w:rPr>
                <w:rFonts w:eastAsia="Calibri"/>
                <w:szCs w:val="24"/>
                <w:lang w:val="fi-FI"/>
              </w:rPr>
              <w:t>,</w:t>
            </w:r>
            <w:r w:rsidRPr="00F32C90">
              <w:rPr>
                <w:rFonts w:eastAsia="Calibri"/>
                <w:szCs w:val="24"/>
                <w:lang w:val="fi-FI"/>
              </w:rPr>
              <w:t xml:space="preserve"> teikti įspėjimus, kai tyrimo laikas viršija nustatytą maksimalų laiką.</w:t>
            </w:r>
          </w:p>
          <w:p w14:paraId="3E29EE7D" w14:textId="58767DDD" w:rsidR="002D6652" w:rsidRPr="00F32C90" w:rsidRDefault="00BE0EF2" w:rsidP="00BE0EF2">
            <w:pPr>
              <w:jc w:val="both"/>
              <w:rPr>
                <w:rFonts w:eastAsia="Calibri"/>
                <w:szCs w:val="24"/>
                <w:highlight w:val="yellow"/>
                <w:lang w:val="fi-FI"/>
              </w:rPr>
            </w:pPr>
            <w:r w:rsidRPr="00702F8E">
              <w:rPr>
                <w:szCs w:val="24"/>
              </w:rPr>
              <w:t xml:space="preserve">b)  </w:t>
            </w:r>
            <w:r w:rsidRPr="00F32C90">
              <w:rPr>
                <w:rFonts w:eastAsia="Calibri"/>
                <w:szCs w:val="24"/>
                <w:lang w:val="fi-FI"/>
              </w:rPr>
              <w:t xml:space="preserve">programinė įranga </w:t>
            </w:r>
            <w:r w:rsidR="003739A7" w:rsidRPr="00F32C90">
              <w:rPr>
                <w:rFonts w:eastAsia="Calibri"/>
                <w:szCs w:val="24"/>
                <w:lang w:val="fi-FI"/>
              </w:rPr>
              <w:t xml:space="preserve">privalo </w:t>
            </w:r>
            <w:r w:rsidRPr="00F32C90">
              <w:rPr>
                <w:rFonts w:eastAsia="Calibri"/>
                <w:szCs w:val="24"/>
                <w:lang w:val="fi-FI"/>
              </w:rPr>
              <w:t xml:space="preserve">turėti </w:t>
            </w:r>
            <w:r w:rsidRPr="00702F8E">
              <w:rPr>
                <w:rFonts w:eastAsia="Calibri"/>
                <w:szCs w:val="24"/>
              </w:rPr>
              <w:t>v</w:t>
            </w:r>
            <w:r w:rsidR="00845DBC" w:rsidRPr="00702F8E">
              <w:rPr>
                <w:rFonts w:eastAsia="Calibri"/>
                <w:szCs w:val="24"/>
              </w:rPr>
              <w:t>idinės kokybės kontrolės rezultatų palyginim</w:t>
            </w:r>
            <w:r w:rsidRPr="00702F8E">
              <w:rPr>
                <w:rFonts w:eastAsia="Calibri"/>
                <w:szCs w:val="24"/>
              </w:rPr>
              <w:t>ą</w:t>
            </w:r>
            <w:r w:rsidR="00845DBC" w:rsidRPr="00702F8E">
              <w:rPr>
                <w:rFonts w:eastAsia="Calibri"/>
                <w:szCs w:val="24"/>
              </w:rPr>
              <w:t xml:space="preserve"> su kitų laboratorijų kokybės kontrolės rezultatais</w:t>
            </w:r>
            <w:r w:rsidR="004A547F" w:rsidRPr="00702F8E">
              <w:rPr>
                <w:rFonts w:eastAsia="Calibri"/>
                <w:szCs w:val="24"/>
              </w:rPr>
              <w:t xml:space="preserve"> realiu laiku</w:t>
            </w:r>
            <w:r w:rsidRPr="00702F8E">
              <w:rPr>
                <w:rFonts w:eastAsia="Calibri"/>
                <w:szCs w:val="24"/>
              </w:rPr>
              <w:t>.</w:t>
            </w:r>
          </w:p>
        </w:tc>
        <w:tc>
          <w:tcPr>
            <w:tcW w:w="4536" w:type="dxa"/>
          </w:tcPr>
          <w:p w14:paraId="69AF1896" w14:textId="77777777" w:rsidR="002D6652" w:rsidRPr="00702F8E" w:rsidRDefault="002D6652" w:rsidP="00A744B0">
            <w:pPr>
              <w:rPr>
                <w:szCs w:val="24"/>
              </w:rPr>
            </w:pPr>
          </w:p>
        </w:tc>
        <w:tc>
          <w:tcPr>
            <w:tcW w:w="3969" w:type="dxa"/>
          </w:tcPr>
          <w:p w14:paraId="7D4F10E6" w14:textId="77777777" w:rsidR="002D6652" w:rsidRPr="00702F8E" w:rsidRDefault="002D6652" w:rsidP="00A744B0">
            <w:pPr>
              <w:rPr>
                <w:szCs w:val="24"/>
              </w:rPr>
            </w:pPr>
          </w:p>
        </w:tc>
      </w:tr>
    </w:tbl>
    <w:p w14:paraId="073755CB" w14:textId="77777777" w:rsidR="00373B7A" w:rsidRPr="00702F8E" w:rsidRDefault="00373B7A" w:rsidP="00373B7A">
      <w:pPr>
        <w:tabs>
          <w:tab w:val="left" w:pos="1350"/>
          <w:tab w:val="left" w:pos="1440"/>
        </w:tabs>
        <w:suppressAutoHyphens/>
        <w:ind w:left="450" w:hanging="90"/>
        <w:jc w:val="right"/>
        <w:rPr>
          <w:b/>
          <w:bCs/>
          <w:szCs w:val="24"/>
          <w:lang w:eastAsia="ar-SA"/>
        </w:rPr>
      </w:pPr>
    </w:p>
    <w:p w14:paraId="0742D10E" w14:textId="77777777" w:rsidR="00EA7343" w:rsidRPr="00702F8E" w:rsidRDefault="00EA7343" w:rsidP="00373B7A">
      <w:pPr>
        <w:tabs>
          <w:tab w:val="left" w:pos="1350"/>
          <w:tab w:val="left" w:pos="1440"/>
        </w:tabs>
        <w:suppressAutoHyphens/>
        <w:ind w:left="450" w:hanging="90"/>
        <w:jc w:val="right"/>
        <w:rPr>
          <w:b/>
          <w:bCs/>
          <w:szCs w:val="24"/>
          <w:lang w:eastAsia="ar-SA"/>
        </w:rPr>
      </w:pPr>
    </w:p>
    <w:p w14:paraId="18FAD613" w14:textId="77777777" w:rsidR="00EA7343" w:rsidRPr="00702F8E" w:rsidRDefault="00EA7343" w:rsidP="00412DF0">
      <w:pPr>
        <w:tabs>
          <w:tab w:val="left" w:pos="1350"/>
          <w:tab w:val="left" w:pos="1440"/>
        </w:tabs>
        <w:suppressAutoHyphens/>
        <w:ind w:firstLine="567"/>
        <w:jc w:val="right"/>
        <w:rPr>
          <w:b/>
          <w:bCs/>
          <w:szCs w:val="24"/>
          <w:lang w:eastAsia="ar-SA"/>
        </w:rPr>
      </w:pPr>
    </w:p>
    <w:p w14:paraId="0E7B1A4D" w14:textId="77777777" w:rsidR="00281355" w:rsidRPr="00292756" w:rsidRDefault="00281355" w:rsidP="00F32C90">
      <w:pPr>
        <w:tabs>
          <w:tab w:val="left" w:pos="993"/>
        </w:tabs>
        <w:ind w:firstLine="567"/>
        <w:jc w:val="both"/>
        <w:rPr>
          <w:b/>
          <w:szCs w:val="24"/>
        </w:rPr>
      </w:pPr>
      <w:r w:rsidRPr="00292756">
        <w:rPr>
          <w:b/>
          <w:szCs w:val="24"/>
        </w:rPr>
        <w:t>Bendrieji reikalavimai:</w:t>
      </w:r>
    </w:p>
    <w:p w14:paraId="50463F70" w14:textId="3FA3AB88" w:rsidR="00D1314F" w:rsidRPr="00F32C90" w:rsidRDefault="003251E5" w:rsidP="003251E5">
      <w:pPr>
        <w:pStyle w:val="Sraopastraipa"/>
        <w:numPr>
          <w:ilvl w:val="0"/>
          <w:numId w:val="4"/>
        </w:numPr>
        <w:tabs>
          <w:tab w:val="left" w:pos="993"/>
        </w:tabs>
        <w:ind w:left="0" w:firstLine="567"/>
        <w:jc w:val="both"/>
        <w:rPr>
          <w:rFonts w:ascii="Times New Roman" w:hAnsi="Times New Roman" w:cs="Times New Roman"/>
          <w:sz w:val="24"/>
          <w:szCs w:val="24"/>
        </w:rPr>
      </w:pPr>
      <w:r w:rsidRPr="00F32C90">
        <w:rPr>
          <w:rFonts w:ascii="Times New Roman" w:hAnsi="Times New Roman" w:cs="Times New Roman"/>
          <w:color w:val="000000"/>
          <w:sz w:val="24"/>
          <w:szCs w:val="24"/>
        </w:rPr>
        <w:t xml:space="preserve">Tiekėjas įsipareigoja </w:t>
      </w:r>
      <w:r w:rsidRPr="00F32C90">
        <w:rPr>
          <w:rFonts w:ascii="Times New Roman" w:hAnsi="Times New Roman" w:cs="Times New Roman"/>
          <w:sz w:val="24"/>
          <w:szCs w:val="24"/>
        </w:rPr>
        <w:t xml:space="preserve">reagentų ir papildomų priemonių kraujo krešėjimo tyrimų atlikimo laikotarpiui Pirkėjui </w:t>
      </w:r>
      <w:r w:rsidRPr="00F32C90">
        <w:rPr>
          <w:rFonts w:ascii="Times New Roman" w:hAnsi="Times New Roman" w:cs="Times New Roman"/>
          <w:color w:val="000000"/>
          <w:sz w:val="24"/>
          <w:szCs w:val="24"/>
        </w:rPr>
        <w:t>neatlygintinai perduoti valdyti ir naudotis Tiekėjui nuosavybės teise priklausančiu analizatoriumi, atitinkančiu šioje techninėje specifikacijoje nustatytus reikalavimus.</w:t>
      </w:r>
    </w:p>
    <w:p w14:paraId="45FA7C1D" w14:textId="2235C6DD" w:rsidR="00412DF0" w:rsidRPr="00F32C90" w:rsidRDefault="00E85F9C" w:rsidP="00412DF0">
      <w:pPr>
        <w:pStyle w:val="Sraopastraipa"/>
        <w:numPr>
          <w:ilvl w:val="0"/>
          <w:numId w:val="4"/>
        </w:numPr>
        <w:tabs>
          <w:tab w:val="left" w:pos="284"/>
          <w:tab w:val="left" w:pos="993"/>
        </w:tabs>
        <w:ind w:left="0" w:firstLine="567"/>
        <w:jc w:val="both"/>
        <w:rPr>
          <w:rFonts w:ascii="Times New Roman" w:hAnsi="Times New Roman" w:cs="Times New Roman"/>
          <w:color w:val="000000"/>
          <w:sz w:val="24"/>
          <w:szCs w:val="24"/>
        </w:rPr>
      </w:pPr>
      <w:r w:rsidRPr="003251E5">
        <w:rPr>
          <w:rFonts w:ascii="Times New Roman" w:hAnsi="Times New Roman" w:cs="Times New Roman"/>
          <w:sz w:val="24"/>
          <w:szCs w:val="24"/>
        </w:rPr>
        <w:t>Siūlomas analizatorius pristatomas</w:t>
      </w:r>
      <w:r w:rsidRPr="00292756">
        <w:rPr>
          <w:rFonts w:ascii="Times New Roman" w:hAnsi="Times New Roman" w:cs="Times New Roman"/>
          <w:sz w:val="24"/>
          <w:szCs w:val="24"/>
        </w:rPr>
        <w:t xml:space="preserve"> kartu su visa reikalinga papildoma įranga: brūkšninių kodų skaitytuvu, nepertraukiamo maitinimo šaltiniu, spausdintuvu, reikalinga programine įranga ir pan. Jeigu analizatorius valdomas išorinio kompiuterio pagalba, komplektuojamas su kompiuteriu.</w:t>
      </w:r>
    </w:p>
    <w:p w14:paraId="14D83F4F" w14:textId="63FCD382" w:rsidR="00412DF0" w:rsidRPr="00F32C90" w:rsidRDefault="005D3F1C" w:rsidP="00412DF0">
      <w:pPr>
        <w:pStyle w:val="Sraopastraipa"/>
        <w:numPr>
          <w:ilvl w:val="0"/>
          <w:numId w:val="4"/>
        </w:numPr>
        <w:tabs>
          <w:tab w:val="left" w:pos="284"/>
          <w:tab w:val="left" w:pos="993"/>
        </w:tabs>
        <w:ind w:left="0" w:firstLine="567"/>
        <w:jc w:val="both"/>
        <w:rPr>
          <w:rFonts w:ascii="Times New Roman" w:hAnsi="Times New Roman" w:cs="Times New Roman"/>
          <w:color w:val="000000"/>
          <w:sz w:val="24"/>
          <w:szCs w:val="24"/>
        </w:rPr>
      </w:pPr>
      <w:r w:rsidRPr="00F32C90">
        <w:rPr>
          <w:rFonts w:ascii="Times New Roman" w:hAnsi="Times New Roman" w:cs="Times New Roman"/>
          <w:sz w:val="24"/>
          <w:szCs w:val="24"/>
        </w:rPr>
        <w:t xml:space="preserve">Siūloma įranga turi būti ženklinta CE </w:t>
      </w:r>
      <w:r w:rsidR="0012018F">
        <w:rPr>
          <w:rFonts w:ascii="Times New Roman" w:hAnsi="Times New Roman" w:cs="Times New Roman"/>
          <w:sz w:val="24"/>
          <w:szCs w:val="24"/>
        </w:rPr>
        <w:t xml:space="preserve">arba lygiaverčiu </w:t>
      </w:r>
      <w:r w:rsidRPr="00F32C90">
        <w:rPr>
          <w:rFonts w:ascii="Times New Roman" w:hAnsi="Times New Roman" w:cs="Times New Roman"/>
          <w:sz w:val="24"/>
          <w:szCs w:val="24"/>
        </w:rPr>
        <w:t>ženklu</w:t>
      </w:r>
      <w:r w:rsidR="0012018F">
        <w:rPr>
          <w:rFonts w:ascii="Times New Roman" w:hAnsi="Times New Roman" w:cs="Times New Roman"/>
          <w:sz w:val="24"/>
          <w:szCs w:val="24"/>
        </w:rPr>
        <w:t>.</w:t>
      </w:r>
      <w:r w:rsidRPr="00F32C90">
        <w:rPr>
          <w:rFonts w:ascii="Times New Roman" w:hAnsi="Times New Roman" w:cs="Times New Roman"/>
          <w:sz w:val="24"/>
          <w:szCs w:val="24"/>
        </w:rPr>
        <w:t xml:space="preserve"> </w:t>
      </w:r>
      <w:r w:rsidRPr="00F32C90">
        <w:rPr>
          <w:rFonts w:ascii="Times New Roman" w:hAnsi="Times New Roman" w:cs="Times New Roman"/>
          <w:sz w:val="24"/>
          <w:szCs w:val="24"/>
          <w:u w:val="single"/>
        </w:rPr>
        <w:t xml:space="preserve">Kartu su pasiūlymu būtina pateikti įrangos CE </w:t>
      </w:r>
      <w:r w:rsidR="00FD3456">
        <w:rPr>
          <w:rFonts w:ascii="Times New Roman" w:hAnsi="Times New Roman" w:cs="Times New Roman"/>
          <w:sz w:val="24"/>
          <w:szCs w:val="24"/>
          <w:u w:val="single"/>
        </w:rPr>
        <w:t xml:space="preserve">ar </w:t>
      </w:r>
      <w:r w:rsidR="00FD3456" w:rsidRPr="002D2B38">
        <w:rPr>
          <w:rFonts w:ascii="Times New Roman" w:hAnsi="Times New Roman" w:cs="Times New Roman"/>
          <w:sz w:val="24"/>
          <w:szCs w:val="24"/>
          <w:u w:val="single"/>
        </w:rPr>
        <w:t>lygiaver</w:t>
      </w:r>
      <w:r w:rsidR="00FD3456">
        <w:rPr>
          <w:rFonts w:ascii="Times New Roman" w:hAnsi="Times New Roman" w:cs="Times New Roman"/>
          <w:sz w:val="24"/>
          <w:szCs w:val="24"/>
          <w:u w:val="single"/>
        </w:rPr>
        <w:t xml:space="preserve">čio </w:t>
      </w:r>
      <w:r w:rsidRPr="00F32C90">
        <w:rPr>
          <w:rFonts w:ascii="Times New Roman" w:hAnsi="Times New Roman" w:cs="Times New Roman"/>
          <w:sz w:val="24"/>
          <w:szCs w:val="24"/>
          <w:u w:val="single"/>
        </w:rPr>
        <w:t xml:space="preserve">ženklinimo </w:t>
      </w:r>
      <w:r w:rsidR="00FD3456">
        <w:rPr>
          <w:rFonts w:ascii="Times New Roman" w:hAnsi="Times New Roman" w:cs="Times New Roman"/>
          <w:sz w:val="24"/>
          <w:szCs w:val="24"/>
          <w:u w:val="single"/>
        </w:rPr>
        <w:t xml:space="preserve">galiojantį </w:t>
      </w:r>
      <w:r w:rsidR="00D25802" w:rsidRPr="002D2B38">
        <w:rPr>
          <w:rFonts w:ascii="Times New Roman" w:hAnsi="Times New Roman" w:cs="Times New Roman"/>
          <w:sz w:val="24"/>
          <w:szCs w:val="24"/>
          <w:u w:val="single"/>
        </w:rPr>
        <w:t>sertifikatą</w:t>
      </w:r>
      <w:r w:rsidRPr="00F32C90">
        <w:rPr>
          <w:rFonts w:ascii="Times New Roman" w:hAnsi="Times New Roman" w:cs="Times New Roman"/>
          <w:sz w:val="24"/>
          <w:szCs w:val="24"/>
        </w:rPr>
        <w:t xml:space="preserve"> originalo ir lietuvių kalbomis.</w:t>
      </w:r>
    </w:p>
    <w:p w14:paraId="17748136" w14:textId="7268841E" w:rsidR="00412DF0" w:rsidRPr="00F32C90" w:rsidRDefault="005D3F1C" w:rsidP="00412DF0">
      <w:pPr>
        <w:pStyle w:val="Sraopastraipa"/>
        <w:numPr>
          <w:ilvl w:val="0"/>
          <w:numId w:val="4"/>
        </w:numPr>
        <w:tabs>
          <w:tab w:val="left" w:pos="284"/>
          <w:tab w:val="left" w:pos="993"/>
        </w:tabs>
        <w:ind w:left="0" w:firstLine="567"/>
        <w:jc w:val="both"/>
        <w:rPr>
          <w:rFonts w:ascii="Times New Roman" w:hAnsi="Times New Roman" w:cs="Times New Roman"/>
          <w:sz w:val="24"/>
          <w:szCs w:val="24"/>
          <w:u w:val="single"/>
        </w:rPr>
      </w:pPr>
      <w:r w:rsidRPr="00F32C90">
        <w:rPr>
          <w:rFonts w:ascii="Times New Roman" w:eastAsia="Times New Roman" w:hAnsi="Times New Roman" w:cs="Times New Roman"/>
          <w:sz w:val="24"/>
          <w:szCs w:val="24"/>
          <w:lang w:eastAsia="lt-LT"/>
        </w:rPr>
        <w:t xml:space="preserve">Reikalaujamų techninių parametrų įrodymui kartu su pasiūlymu būtina pateikti analizatoriaus naudojimo instrukciją </w:t>
      </w:r>
      <w:r w:rsidRPr="00F32C90">
        <w:rPr>
          <w:rFonts w:ascii="Times New Roman" w:hAnsi="Times New Roman" w:cs="Times New Roman"/>
          <w:sz w:val="24"/>
          <w:szCs w:val="24"/>
        </w:rPr>
        <w:t>ar kitus dokumentus, patvirtinančius atitiktį techniniams reikalavimams. Techninių reikalavimų įrangai lentelėje turi būti pateiktos aiškios nuorodos į dokumentus, techninės specifikacijos atitiktį pagrindžiančiuose dokumentuose turi būti paženklintas konkretų techninės specifikacijos punktą atitinkantis tekst</w:t>
      </w:r>
      <w:r w:rsidR="00A317BB" w:rsidRPr="00292756">
        <w:rPr>
          <w:rFonts w:ascii="Times New Roman" w:hAnsi="Times New Roman" w:cs="Times New Roman"/>
          <w:sz w:val="24"/>
          <w:szCs w:val="24"/>
        </w:rPr>
        <w:t>as</w:t>
      </w:r>
      <w:r w:rsidRPr="00F32C90">
        <w:rPr>
          <w:rFonts w:ascii="Times New Roman" w:hAnsi="Times New Roman" w:cs="Times New Roman"/>
          <w:sz w:val="24"/>
          <w:szCs w:val="24"/>
        </w:rPr>
        <w:t>.</w:t>
      </w:r>
      <w:bookmarkStart w:id="0" w:name="_Hlk114648879"/>
      <w:r w:rsidRPr="00F32C90">
        <w:rPr>
          <w:rFonts w:ascii="Times New Roman" w:hAnsi="Times New Roman" w:cs="Times New Roman"/>
          <w:sz w:val="24"/>
          <w:szCs w:val="24"/>
        </w:rPr>
        <w:t xml:space="preserve"> </w:t>
      </w:r>
      <w:r w:rsidRPr="00F32C90">
        <w:rPr>
          <w:rFonts w:ascii="Times New Roman" w:hAnsi="Times New Roman" w:cs="Times New Roman"/>
          <w:b/>
          <w:sz w:val="24"/>
          <w:szCs w:val="24"/>
        </w:rPr>
        <w:t>Gamintojo deklaracijos dėl atitikties techniniams reikalavimams, kurių negalima objektyviai patikrinti, nebus vertinamos</w:t>
      </w:r>
      <w:bookmarkEnd w:id="0"/>
      <w:r w:rsidRPr="00F32C90">
        <w:rPr>
          <w:rFonts w:ascii="Times New Roman" w:hAnsi="Times New Roman" w:cs="Times New Roman"/>
          <w:b/>
          <w:sz w:val="24"/>
          <w:szCs w:val="24"/>
        </w:rPr>
        <w:t>.</w:t>
      </w:r>
      <w:r w:rsidR="00412DF0" w:rsidRPr="00F32C90" w:rsidDel="005D3F1C">
        <w:rPr>
          <w:rFonts w:ascii="Times New Roman" w:hAnsi="Times New Roman" w:cs="Times New Roman"/>
          <w:color w:val="000000"/>
          <w:sz w:val="24"/>
          <w:szCs w:val="24"/>
        </w:rPr>
        <w:t xml:space="preserve"> </w:t>
      </w:r>
    </w:p>
    <w:p w14:paraId="6BAB1F1F" w14:textId="3E95833E" w:rsidR="00FB51DA" w:rsidRPr="00F32C90" w:rsidRDefault="00FB51DA" w:rsidP="00EE6583">
      <w:pPr>
        <w:pStyle w:val="Sraopastraipa"/>
        <w:numPr>
          <w:ilvl w:val="0"/>
          <w:numId w:val="4"/>
        </w:numPr>
        <w:tabs>
          <w:tab w:val="left" w:pos="284"/>
          <w:tab w:val="left" w:pos="993"/>
        </w:tabs>
        <w:ind w:left="0" w:firstLine="567"/>
        <w:jc w:val="both"/>
        <w:rPr>
          <w:rFonts w:ascii="Times New Roman" w:hAnsi="Times New Roman" w:cs="Times New Roman"/>
          <w:sz w:val="24"/>
          <w:szCs w:val="24"/>
        </w:rPr>
      </w:pPr>
      <w:r w:rsidRPr="00F32C90">
        <w:rPr>
          <w:rFonts w:ascii="Times New Roman" w:hAnsi="Times New Roman" w:cs="Times New Roman"/>
          <w:sz w:val="24"/>
          <w:szCs w:val="24"/>
        </w:rPr>
        <w:t>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444E64BA" w14:textId="77777777" w:rsidR="00281355" w:rsidRPr="00412DF0" w:rsidRDefault="00281355" w:rsidP="00EE6583">
      <w:pPr>
        <w:ind w:firstLine="567"/>
        <w:jc w:val="both"/>
        <w:rPr>
          <w:position w:val="6"/>
          <w:szCs w:val="24"/>
        </w:rPr>
      </w:pPr>
    </w:p>
    <w:p w14:paraId="24EC7561" w14:textId="77777777" w:rsidR="00281355" w:rsidRPr="00702F8E" w:rsidRDefault="00281355" w:rsidP="00EE6583">
      <w:pPr>
        <w:ind w:firstLine="567"/>
        <w:jc w:val="both"/>
        <w:rPr>
          <w:position w:val="6"/>
          <w:szCs w:val="24"/>
        </w:rPr>
      </w:pPr>
    </w:p>
    <w:p w14:paraId="140EDA82" w14:textId="5B5346E7" w:rsidR="00C63E99" w:rsidRPr="008414EA" w:rsidRDefault="00C63E99" w:rsidP="00BD262A">
      <w:pPr>
        <w:ind w:firstLine="567"/>
        <w:jc w:val="both"/>
      </w:pPr>
      <w:r w:rsidRPr="008414EA">
        <w:t>Reikalavimai reagentams ir papildomoms priemonėms pateikti atskirame dokumente Excel formatu „Techninė specifikacija reagentams ir papildomoms priemonėms“</w:t>
      </w:r>
      <w:r>
        <w:t xml:space="preserve"> (pirkimo sąlygų 1.2 priede).</w:t>
      </w:r>
    </w:p>
    <w:p w14:paraId="3AFE980C" w14:textId="77777777" w:rsidR="00281355" w:rsidRPr="00702F8E" w:rsidRDefault="00281355" w:rsidP="00EE6583">
      <w:pPr>
        <w:ind w:firstLine="567"/>
        <w:jc w:val="both"/>
        <w:rPr>
          <w:position w:val="6"/>
          <w:szCs w:val="24"/>
        </w:rPr>
      </w:pPr>
    </w:p>
    <w:p w14:paraId="5D875E6A" w14:textId="77777777" w:rsidR="00281355" w:rsidRPr="00702F8E" w:rsidRDefault="00281355" w:rsidP="00373B7A">
      <w:pPr>
        <w:jc w:val="both"/>
        <w:rPr>
          <w:position w:val="6"/>
          <w:szCs w:val="24"/>
        </w:rPr>
      </w:pPr>
    </w:p>
    <w:p w14:paraId="569AA8D7" w14:textId="77777777" w:rsidR="00C23C14" w:rsidRPr="00A744B0" w:rsidRDefault="00C23C14">
      <w:pPr>
        <w:rPr>
          <w:sz w:val="20"/>
        </w:rPr>
      </w:pPr>
    </w:p>
    <w:sectPr w:rsidR="00C23C14" w:rsidRPr="00A744B0" w:rsidSect="00C33F9A">
      <w:pgSz w:w="16838" w:h="11906" w:orient="landscape"/>
      <w:pgMar w:top="145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9F7"/>
    <w:multiLevelType w:val="hybridMultilevel"/>
    <w:tmpl w:val="0A2A491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3B2346"/>
    <w:multiLevelType w:val="hybridMultilevel"/>
    <w:tmpl w:val="C83AF0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9C1EC6"/>
    <w:multiLevelType w:val="hybridMultilevel"/>
    <w:tmpl w:val="C1A6AF62"/>
    <w:lvl w:ilvl="0" w:tplc="72F82632">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num w:numId="1" w16cid:durableId="251552158">
    <w:abstractNumId w:val="2"/>
  </w:num>
  <w:num w:numId="2" w16cid:durableId="596593782">
    <w:abstractNumId w:val="1"/>
  </w:num>
  <w:num w:numId="3" w16cid:durableId="1777676388">
    <w:abstractNumId w:val="3"/>
  </w:num>
  <w:num w:numId="4" w16cid:durableId="68544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9F"/>
    <w:rsid w:val="00022F7B"/>
    <w:rsid w:val="00052204"/>
    <w:rsid w:val="000B0634"/>
    <w:rsid w:val="000D6358"/>
    <w:rsid w:val="000D7B23"/>
    <w:rsid w:val="000F7111"/>
    <w:rsid w:val="0012018F"/>
    <w:rsid w:val="001328B6"/>
    <w:rsid w:val="00145D67"/>
    <w:rsid w:val="00153E9E"/>
    <w:rsid w:val="00195289"/>
    <w:rsid w:val="001D4AD4"/>
    <w:rsid w:val="00200EF6"/>
    <w:rsid w:val="00245BC0"/>
    <w:rsid w:val="00261689"/>
    <w:rsid w:val="002806D5"/>
    <w:rsid w:val="00281355"/>
    <w:rsid w:val="002871FA"/>
    <w:rsid w:val="00292756"/>
    <w:rsid w:val="002B4D9A"/>
    <w:rsid w:val="002B7B4C"/>
    <w:rsid w:val="002C10B0"/>
    <w:rsid w:val="002D2B38"/>
    <w:rsid w:val="002D6652"/>
    <w:rsid w:val="002F00E4"/>
    <w:rsid w:val="002F5870"/>
    <w:rsid w:val="0031168C"/>
    <w:rsid w:val="003247C9"/>
    <w:rsid w:val="003251E5"/>
    <w:rsid w:val="00330510"/>
    <w:rsid w:val="00342BC9"/>
    <w:rsid w:val="00370D13"/>
    <w:rsid w:val="003739A7"/>
    <w:rsid w:val="00373B7A"/>
    <w:rsid w:val="0037515B"/>
    <w:rsid w:val="00392B4E"/>
    <w:rsid w:val="00395816"/>
    <w:rsid w:val="003A49D0"/>
    <w:rsid w:val="003B6709"/>
    <w:rsid w:val="003D2673"/>
    <w:rsid w:val="00412DF0"/>
    <w:rsid w:val="00422BF0"/>
    <w:rsid w:val="00440D03"/>
    <w:rsid w:val="00464DE6"/>
    <w:rsid w:val="004806B2"/>
    <w:rsid w:val="004A3C04"/>
    <w:rsid w:val="004A547F"/>
    <w:rsid w:val="004C309F"/>
    <w:rsid w:val="004F638E"/>
    <w:rsid w:val="00504BEC"/>
    <w:rsid w:val="00505C55"/>
    <w:rsid w:val="0051760B"/>
    <w:rsid w:val="005224C0"/>
    <w:rsid w:val="005269E8"/>
    <w:rsid w:val="00543343"/>
    <w:rsid w:val="005508AA"/>
    <w:rsid w:val="00563B36"/>
    <w:rsid w:val="0057170B"/>
    <w:rsid w:val="005904BF"/>
    <w:rsid w:val="00592402"/>
    <w:rsid w:val="00594AF4"/>
    <w:rsid w:val="00596551"/>
    <w:rsid w:val="005B69EC"/>
    <w:rsid w:val="005C0BA2"/>
    <w:rsid w:val="005D3F1C"/>
    <w:rsid w:val="005E290A"/>
    <w:rsid w:val="005E389C"/>
    <w:rsid w:val="006159B4"/>
    <w:rsid w:val="00635497"/>
    <w:rsid w:val="006608C4"/>
    <w:rsid w:val="00662E1C"/>
    <w:rsid w:val="00672B7E"/>
    <w:rsid w:val="006744F3"/>
    <w:rsid w:val="00676337"/>
    <w:rsid w:val="0069227F"/>
    <w:rsid w:val="006B1E35"/>
    <w:rsid w:val="006B35B2"/>
    <w:rsid w:val="006B51C0"/>
    <w:rsid w:val="006B64F4"/>
    <w:rsid w:val="006B7679"/>
    <w:rsid w:val="006E2BF2"/>
    <w:rsid w:val="006E6E0D"/>
    <w:rsid w:val="006F2052"/>
    <w:rsid w:val="006F3405"/>
    <w:rsid w:val="00702F8E"/>
    <w:rsid w:val="00721189"/>
    <w:rsid w:val="007231AE"/>
    <w:rsid w:val="007356D9"/>
    <w:rsid w:val="00764AE2"/>
    <w:rsid w:val="007834B9"/>
    <w:rsid w:val="00786F7B"/>
    <w:rsid w:val="00791D69"/>
    <w:rsid w:val="00793099"/>
    <w:rsid w:val="007A77B6"/>
    <w:rsid w:val="007B7E07"/>
    <w:rsid w:val="007C7079"/>
    <w:rsid w:val="007D4B68"/>
    <w:rsid w:val="007E2CDB"/>
    <w:rsid w:val="00845DBC"/>
    <w:rsid w:val="008660D4"/>
    <w:rsid w:val="008A2475"/>
    <w:rsid w:val="008A7B7E"/>
    <w:rsid w:val="008B3BCA"/>
    <w:rsid w:val="008C0BD7"/>
    <w:rsid w:val="008D4EA8"/>
    <w:rsid w:val="00902975"/>
    <w:rsid w:val="009546F9"/>
    <w:rsid w:val="009561C1"/>
    <w:rsid w:val="00964D3A"/>
    <w:rsid w:val="00996A03"/>
    <w:rsid w:val="009A5445"/>
    <w:rsid w:val="009B4B5C"/>
    <w:rsid w:val="009C106B"/>
    <w:rsid w:val="009C1191"/>
    <w:rsid w:val="009D0D3E"/>
    <w:rsid w:val="009D41A7"/>
    <w:rsid w:val="009E296B"/>
    <w:rsid w:val="009E43C4"/>
    <w:rsid w:val="009E618C"/>
    <w:rsid w:val="009F6FBE"/>
    <w:rsid w:val="00A03773"/>
    <w:rsid w:val="00A07FBD"/>
    <w:rsid w:val="00A23367"/>
    <w:rsid w:val="00A317BB"/>
    <w:rsid w:val="00A41F49"/>
    <w:rsid w:val="00A63BF9"/>
    <w:rsid w:val="00A744B0"/>
    <w:rsid w:val="00AC03FC"/>
    <w:rsid w:val="00B018C1"/>
    <w:rsid w:val="00B056CC"/>
    <w:rsid w:val="00B370A9"/>
    <w:rsid w:val="00B47A35"/>
    <w:rsid w:val="00B5075D"/>
    <w:rsid w:val="00B5548F"/>
    <w:rsid w:val="00B67543"/>
    <w:rsid w:val="00B81084"/>
    <w:rsid w:val="00B931C7"/>
    <w:rsid w:val="00B93211"/>
    <w:rsid w:val="00BC1BD5"/>
    <w:rsid w:val="00BD262A"/>
    <w:rsid w:val="00BE0EF2"/>
    <w:rsid w:val="00BF7465"/>
    <w:rsid w:val="00C21E9D"/>
    <w:rsid w:val="00C23C14"/>
    <w:rsid w:val="00C33F9A"/>
    <w:rsid w:val="00C47E4A"/>
    <w:rsid w:val="00C63E99"/>
    <w:rsid w:val="00C773AB"/>
    <w:rsid w:val="00C77C24"/>
    <w:rsid w:val="00CA6049"/>
    <w:rsid w:val="00CB34E1"/>
    <w:rsid w:val="00CB6518"/>
    <w:rsid w:val="00CC3383"/>
    <w:rsid w:val="00D0160C"/>
    <w:rsid w:val="00D1314F"/>
    <w:rsid w:val="00D1643B"/>
    <w:rsid w:val="00D17A6C"/>
    <w:rsid w:val="00D25802"/>
    <w:rsid w:val="00D338AF"/>
    <w:rsid w:val="00D67FAA"/>
    <w:rsid w:val="00D74210"/>
    <w:rsid w:val="00DF6094"/>
    <w:rsid w:val="00E1201E"/>
    <w:rsid w:val="00E27C4A"/>
    <w:rsid w:val="00E33397"/>
    <w:rsid w:val="00E33C4D"/>
    <w:rsid w:val="00E42665"/>
    <w:rsid w:val="00E44B15"/>
    <w:rsid w:val="00E56461"/>
    <w:rsid w:val="00E85F9C"/>
    <w:rsid w:val="00EA7343"/>
    <w:rsid w:val="00EE6583"/>
    <w:rsid w:val="00F11314"/>
    <w:rsid w:val="00F32C90"/>
    <w:rsid w:val="00F6749D"/>
    <w:rsid w:val="00F93FC6"/>
    <w:rsid w:val="00FB51DA"/>
    <w:rsid w:val="00FD3456"/>
    <w:rsid w:val="00FD5ACD"/>
    <w:rsid w:val="00FF3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984"/>
  <w15:chartTrackingRefBased/>
  <w15:docId w15:val="{0F90F4B2-07EA-4525-A3B6-F5401E1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4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C30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C30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C30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C30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C30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C30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C30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C30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C30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30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30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30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30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30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30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30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30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30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30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C30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30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C30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30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C309F"/>
    <w:rPr>
      <w:i/>
      <w:iCs/>
      <w:color w:val="404040" w:themeColor="text1" w:themeTint="BF"/>
    </w:rPr>
  </w:style>
  <w:style w:type="paragraph" w:styleId="Sraopastraipa">
    <w:name w:val="List Paragraph"/>
    <w:basedOn w:val="prastasis"/>
    <w:uiPriority w:val="34"/>
    <w:qFormat/>
    <w:rsid w:val="004C30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C309F"/>
    <w:rPr>
      <w:i/>
      <w:iCs/>
      <w:color w:val="0F4761" w:themeColor="accent1" w:themeShade="BF"/>
    </w:rPr>
  </w:style>
  <w:style w:type="paragraph" w:styleId="Iskirtacitata">
    <w:name w:val="Intense Quote"/>
    <w:basedOn w:val="prastasis"/>
    <w:next w:val="prastasis"/>
    <w:link w:val="IskirtacitataDiagrama"/>
    <w:uiPriority w:val="30"/>
    <w:qFormat/>
    <w:rsid w:val="004C30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C309F"/>
    <w:rPr>
      <w:i/>
      <w:iCs/>
      <w:color w:val="0F4761" w:themeColor="accent1" w:themeShade="BF"/>
    </w:rPr>
  </w:style>
  <w:style w:type="character" w:styleId="Rykinuoroda">
    <w:name w:val="Intense Reference"/>
    <w:basedOn w:val="Numatytasispastraiposriftas"/>
    <w:uiPriority w:val="32"/>
    <w:qFormat/>
    <w:rsid w:val="004C309F"/>
    <w:rPr>
      <w:b/>
      <w:bCs/>
      <w:smallCaps/>
      <w:color w:val="0F4761" w:themeColor="accent1" w:themeShade="BF"/>
      <w:spacing w:val="5"/>
    </w:rPr>
  </w:style>
  <w:style w:type="paragraph" w:customStyle="1" w:styleId="Body">
    <w:name w:val="Body"/>
    <w:qFormat/>
    <w:rsid w:val="00373B7A"/>
    <w:pPr>
      <w:spacing w:after="0" w:line="240" w:lineRule="auto"/>
    </w:pPr>
    <w:rPr>
      <w:rFonts w:ascii="Helvetica" w:eastAsia="ヒラギノ角ゴ Pro W3" w:hAnsi="Helvetica" w:cs="Times New Roman"/>
      <w:color w:val="000000"/>
      <w:kern w:val="0"/>
      <w:sz w:val="24"/>
      <w:szCs w:val="20"/>
      <w14:ligatures w14:val="none"/>
    </w:rPr>
  </w:style>
  <w:style w:type="table" w:styleId="Lentelstinklelis">
    <w:name w:val="Table Grid"/>
    <w:basedOn w:val="prastojilentel"/>
    <w:uiPriority w:val="39"/>
    <w:rsid w:val="00373B7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195289"/>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1201E"/>
    <w:rPr>
      <w:sz w:val="16"/>
      <w:szCs w:val="16"/>
    </w:rPr>
  </w:style>
  <w:style w:type="paragraph" w:styleId="Komentarotekstas">
    <w:name w:val="annotation text"/>
    <w:basedOn w:val="prastasis"/>
    <w:link w:val="KomentarotekstasDiagrama"/>
    <w:uiPriority w:val="99"/>
    <w:unhideWhenUsed/>
    <w:rsid w:val="00E1201E"/>
    <w:rPr>
      <w:sz w:val="20"/>
    </w:rPr>
  </w:style>
  <w:style w:type="character" w:customStyle="1" w:styleId="KomentarotekstasDiagrama">
    <w:name w:val="Komentaro tekstas Diagrama"/>
    <w:basedOn w:val="Numatytasispastraiposriftas"/>
    <w:link w:val="Komentarotekstas"/>
    <w:uiPriority w:val="99"/>
    <w:rsid w:val="00E1201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1201E"/>
    <w:rPr>
      <w:b/>
      <w:bCs/>
    </w:rPr>
  </w:style>
  <w:style w:type="character" w:customStyle="1" w:styleId="KomentarotemaDiagrama">
    <w:name w:val="Komentaro tema Diagrama"/>
    <w:basedOn w:val="KomentarotekstasDiagrama"/>
    <w:link w:val="Komentarotema"/>
    <w:uiPriority w:val="99"/>
    <w:semiHidden/>
    <w:rsid w:val="00E1201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26976">
      <w:bodyDiv w:val="1"/>
      <w:marLeft w:val="0"/>
      <w:marRight w:val="0"/>
      <w:marTop w:val="0"/>
      <w:marBottom w:val="0"/>
      <w:divBdr>
        <w:top w:val="none" w:sz="0" w:space="0" w:color="auto"/>
        <w:left w:val="none" w:sz="0" w:space="0" w:color="auto"/>
        <w:bottom w:val="none" w:sz="0" w:space="0" w:color="auto"/>
        <w:right w:val="none" w:sz="0" w:space="0" w:color="auto"/>
      </w:divBdr>
    </w:div>
    <w:div w:id="13681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D3F5-565A-4A41-8FB8-7E350D8A570E}">
  <ds:schemaRefs>
    <ds:schemaRef ds:uri="http://schemas.microsoft.com/sharepoint/v3/contenttype/forms"/>
  </ds:schemaRefs>
</ds:datastoreItem>
</file>

<file path=customXml/itemProps2.xml><?xml version="1.0" encoding="utf-8"?>
<ds:datastoreItem xmlns:ds="http://schemas.openxmlformats.org/officeDocument/2006/customXml" ds:itemID="{AE3FDE9A-6607-493A-9E24-FE8453E4640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2F1D729-0778-4886-A2A7-7D1DAE2971B7}">
  <ds:schemaRefs>
    <ds:schemaRef ds:uri="http://schemas.openxmlformats.org/officeDocument/2006/bibliography"/>
  </ds:schemaRefs>
</ds:datastoreItem>
</file>

<file path=customXml/itemProps4.xml><?xml version="1.0" encoding="utf-8"?>
<ds:datastoreItem xmlns:ds="http://schemas.openxmlformats.org/officeDocument/2006/customXml" ds:itemID="{428EC3EB-3310-455A-BBBC-A3E85BF6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3509</Words>
  <Characters>2001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20</cp:revision>
  <cp:lastPrinted>2025-02-28T14:06:00Z</cp:lastPrinted>
  <dcterms:created xsi:type="dcterms:W3CDTF">2025-05-15T11:21:00Z</dcterms:created>
  <dcterms:modified xsi:type="dcterms:W3CDTF">2025-05-23T07:07:00Z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