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9E811" w14:textId="77777777" w:rsidR="007171E8" w:rsidRPr="007F5476" w:rsidRDefault="007171E8" w:rsidP="007171E8">
      <w:pPr>
        <w:pStyle w:val="Heading"/>
        <w:rPr>
          <w:lang w:val="lt-LT"/>
        </w:rPr>
      </w:pPr>
      <w:r w:rsidRPr="007F5476">
        <w:rPr>
          <w:lang w:val="lt-LT"/>
        </w:rPr>
        <w:t>PASIŪLYMŲ VERTINIMAS IR PALYGINIMAS</w:t>
      </w:r>
    </w:p>
    <w:p w14:paraId="2CC8A493" w14:textId="77777777" w:rsidR="007171E8" w:rsidRPr="00E9016E" w:rsidRDefault="007171E8" w:rsidP="007171E8">
      <w:pPr>
        <w:pStyle w:val="VMSNR1"/>
        <w:numPr>
          <w:ilvl w:val="0"/>
          <w:numId w:val="0"/>
        </w:numPr>
        <w:rPr>
          <w:b/>
          <w:bCs/>
          <w:sz w:val="22"/>
          <w:szCs w:val="22"/>
        </w:rPr>
      </w:pPr>
      <w:r w:rsidRPr="00E9016E">
        <w:rPr>
          <w:sz w:val="22"/>
          <w:szCs w:val="22"/>
        </w:rPr>
        <w:tab/>
      </w:r>
    </w:p>
    <w:p w14:paraId="285E716C" w14:textId="0306BEA2" w:rsidR="007171E8" w:rsidRPr="00E9016E" w:rsidRDefault="007171E8" w:rsidP="007171E8">
      <w:pPr>
        <w:tabs>
          <w:tab w:val="left" w:pos="1440"/>
        </w:tabs>
        <w:ind w:firstLine="851"/>
        <w:jc w:val="both"/>
        <w:rPr>
          <w:sz w:val="22"/>
          <w:szCs w:val="22"/>
        </w:rPr>
      </w:pPr>
      <w:bookmarkStart w:id="0" w:name="_Toc60525491"/>
      <w:bookmarkStart w:id="1" w:name="_Toc47844937"/>
      <w:r w:rsidRPr="00E9016E">
        <w:rPr>
          <w:color w:val="000000"/>
          <w:sz w:val="22"/>
          <w:szCs w:val="22"/>
          <w:lang w:bidi="hi-IN"/>
        </w:rPr>
        <w:t>1.1. Vertinami ir palyginami tik tie Pasiūlymai, kurie atitinka Konkurso sąlygose nurodytus reikalavimus.</w:t>
      </w:r>
    </w:p>
    <w:p w14:paraId="4A3203CA" w14:textId="34CC0606" w:rsidR="007171E8" w:rsidRPr="00E9016E" w:rsidRDefault="007171E8" w:rsidP="007171E8">
      <w:pPr>
        <w:ind w:firstLine="851"/>
        <w:jc w:val="both"/>
        <w:rPr>
          <w:sz w:val="22"/>
          <w:szCs w:val="22"/>
        </w:rPr>
      </w:pPr>
      <w:r w:rsidRPr="00E9016E">
        <w:rPr>
          <w:color w:val="000000"/>
          <w:sz w:val="22"/>
          <w:szCs w:val="22"/>
          <w:lang w:bidi="hi-IN"/>
        </w:rPr>
        <w:t>1</w:t>
      </w:r>
      <w:r w:rsidRPr="00E9016E">
        <w:rPr>
          <w:sz w:val="22"/>
          <w:szCs w:val="22"/>
        </w:rPr>
        <w:t>.2. Ekonomiškai naudingiausiu pasiūlymu išrenkamas Konkurso</w:t>
      </w:r>
      <w:r w:rsidRPr="00E9016E">
        <w:rPr>
          <w:color w:val="000000"/>
          <w:sz w:val="22"/>
          <w:szCs w:val="22"/>
          <w:lang w:bidi="hi-IN"/>
        </w:rPr>
        <w:t xml:space="preserve"> dokumentuose nustatytus reikalavimus atitinkantis </w:t>
      </w:r>
      <w:r w:rsidRPr="00E9016E">
        <w:rPr>
          <w:sz w:val="22"/>
          <w:szCs w:val="22"/>
        </w:rPr>
        <w:t xml:space="preserve">pasiūlymas, įvertinus ekonominio naudingumo kriterijaus </w:t>
      </w:r>
      <w:r w:rsidRPr="00E9016E">
        <w:rPr>
          <w:color w:val="000000"/>
          <w:sz w:val="22"/>
          <w:szCs w:val="22"/>
          <w:lang w:bidi="hi-IN"/>
        </w:rPr>
        <w:t xml:space="preserve">(S) </w:t>
      </w:r>
      <w:r w:rsidRPr="00E9016E">
        <w:rPr>
          <w:sz w:val="22"/>
          <w:szCs w:val="22"/>
        </w:rPr>
        <w:t xml:space="preserve">balą. </w:t>
      </w:r>
    </w:p>
    <w:p w14:paraId="7BC84820" w14:textId="1E835403" w:rsidR="007171E8" w:rsidRPr="001C6C2D" w:rsidRDefault="000947C9" w:rsidP="000947C9">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851"/>
        <w:rPr>
          <w:sz w:val="22"/>
          <w:szCs w:val="22"/>
        </w:rPr>
      </w:pPr>
      <w:r>
        <w:rPr>
          <w:sz w:val="22"/>
          <w:szCs w:val="22"/>
        </w:rPr>
        <w:t xml:space="preserve">1.3. </w:t>
      </w:r>
      <w:r w:rsidR="007171E8" w:rsidRPr="001C6C2D">
        <w:rPr>
          <w:sz w:val="22"/>
          <w:szCs w:val="22"/>
        </w:rPr>
        <w:t xml:space="preserve"> Pasiūlymuose nurodytos kainos bus vertinamos eurais.</w:t>
      </w:r>
    </w:p>
    <w:p w14:paraId="63A0EAAF" w14:textId="4C15A1FF" w:rsidR="007171E8" w:rsidRPr="00010383" w:rsidRDefault="00010383" w:rsidP="00010383">
      <w:pPr>
        <w:pBdr>
          <w:top w:val="none" w:sz="0" w:space="0" w:color="auto"/>
          <w:left w:val="none" w:sz="0" w:space="0" w:color="auto"/>
          <w:bottom w:val="none" w:sz="0" w:space="0" w:color="auto"/>
          <w:right w:val="none" w:sz="0" w:space="0" w:color="auto"/>
          <w:between w:val="none" w:sz="0" w:space="0" w:color="auto"/>
          <w:bar w:val="none" w:sz="0" w:color="auto"/>
        </w:pBdr>
        <w:ind w:left="710"/>
        <w:jc w:val="both"/>
        <w:rPr>
          <w:sz w:val="22"/>
          <w:szCs w:val="22"/>
        </w:rPr>
      </w:pPr>
      <w:r>
        <w:rPr>
          <w:sz w:val="22"/>
          <w:szCs w:val="22"/>
        </w:rPr>
        <w:t>1.4.</w:t>
      </w:r>
      <w:r w:rsidR="007171E8" w:rsidRPr="00010383">
        <w:rPr>
          <w:sz w:val="22"/>
          <w:szCs w:val="22"/>
        </w:rPr>
        <w:t xml:space="preserve">Jeigu pirkime dalyvaus Europos Sąjungos tiekėjai, neįsiregistravę Lietuvos Respublikoje PVM mokėtojais, kurie taikys 0 proc. PVM, tačiau perkančioji organizacija turės PVM pati sumokėti į valstybės biudžetą, perkančioji organizacija prie Europos Sąjungos tiekėjų pasiūlymų vertinimo metu vertinimo tikslais pridės naudojamą PVM. </w:t>
      </w:r>
    </w:p>
    <w:p w14:paraId="2F58200E" w14:textId="678295BD" w:rsidR="007171E8" w:rsidRPr="00010383" w:rsidRDefault="007171E8" w:rsidP="00010383">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rPr>
      </w:pPr>
      <w:r w:rsidRPr="00010383">
        <w:rPr>
          <w:rFonts w:eastAsia="Times New Roman"/>
          <w:sz w:val="22"/>
          <w:szCs w:val="22"/>
        </w:rPr>
        <w:t>Perkančiosios organizacijos neatmesti pasiūlymai vertinami pagal šiuos kriterijus:</w:t>
      </w:r>
    </w:p>
    <w:p w14:paraId="62D282D0" w14:textId="77777777" w:rsidR="007171E8" w:rsidRPr="00E9016E" w:rsidRDefault="007171E8" w:rsidP="007171E8">
      <w:pPr>
        <w:pStyle w:val="ListParagraph"/>
        <w:suppressAutoHyphens/>
        <w:ind w:left="0" w:firstLine="720"/>
        <w:jc w:val="both"/>
        <w:rPr>
          <w:rFonts w:eastAsia="Times New Roman"/>
          <w:sz w:val="22"/>
          <w:szCs w:val="22"/>
        </w:rPr>
      </w:pPr>
    </w:p>
    <w:tbl>
      <w:tblPr>
        <w:tblStyle w:val="5sraolenteltamsi1parykinimas1"/>
        <w:tblW w:w="97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6086"/>
        <w:gridCol w:w="3656"/>
      </w:tblGrid>
      <w:tr w:rsidR="007171E8" w:rsidRPr="00E9016E" w14:paraId="3752E6A3" w14:textId="77777777" w:rsidTr="009D574B">
        <w:trPr>
          <w:cnfStyle w:val="000000100000" w:firstRow="0" w:lastRow="0" w:firstColumn="0" w:lastColumn="0" w:oddVBand="0" w:evenVBand="0" w:oddHBand="1" w:evenHBand="0" w:firstRowFirstColumn="0" w:firstRowLastColumn="0" w:lastRowFirstColumn="0" w:lastRowLastColumn="0"/>
          <w:trHeight w:val="676"/>
        </w:trPr>
        <w:tc>
          <w:tcPr>
            <w:cnfStyle w:val="000010000000" w:firstRow="0" w:lastRow="0" w:firstColumn="0" w:lastColumn="0" w:oddVBand="1" w:evenVBand="0" w:oddHBand="0" w:evenHBand="0" w:firstRowFirstColumn="0" w:firstRowLastColumn="0" w:lastRowFirstColumn="0" w:lastRowLastColumn="0"/>
            <w:tcW w:w="6086" w:type="dxa"/>
            <w:tcBorders>
              <w:top w:val="single" w:sz="4" w:space="0" w:color="auto"/>
              <w:left w:val="single" w:sz="4" w:space="0" w:color="auto"/>
              <w:bottom w:val="single" w:sz="6" w:space="0" w:color="auto"/>
              <w:right w:val="single" w:sz="6" w:space="0" w:color="auto"/>
            </w:tcBorders>
            <w:shd w:val="clear" w:color="auto" w:fill="auto"/>
            <w:vAlign w:val="center"/>
          </w:tcPr>
          <w:p w14:paraId="40F15B93" w14:textId="77777777" w:rsidR="007171E8" w:rsidRPr="00E9016E" w:rsidRDefault="007171E8" w:rsidP="009D574B">
            <w:pPr>
              <w:tabs>
                <w:tab w:val="left" w:pos="426"/>
              </w:tabs>
              <w:jc w:val="center"/>
              <w:rPr>
                <w:b/>
                <w:bCs/>
                <w:color w:val="auto"/>
              </w:rPr>
            </w:pPr>
            <w:r w:rsidRPr="00E9016E">
              <w:rPr>
                <w:b/>
                <w:bCs/>
                <w:color w:val="auto"/>
              </w:rPr>
              <w:t>Vertinimo kriterijai</w:t>
            </w:r>
          </w:p>
        </w:tc>
        <w:tc>
          <w:tcPr>
            <w:cnfStyle w:val="000001000000" w:firstRow="0" w:lastRow="0" w:firstColumn="0" w:lastColumn="0" w:oddVBand="0" w:evenVBand="1" w:oddHBand="0" w:evenHBand="0" w:firstRowFirstColumn="0" w:firstRowLastColumn="0" w:lastRowFirstColumn="0" w:lastRowLastColumn="0"/>
            <w:tcW w:w="3656" w:type="dxa"/>
            <w:tcBorders>
              <w:top w:val="single" w:sz="4" w:space="0" w:color="auto"/>
              <w:left w:val="single" w:sz="6" w:space="0" w:color="auto"/>
              <w:bottom w:val="single" w:sz="6" w:space="0" w:color="auto"/>
              <w:right w:val="single" w:sz="4" w:space="0" w:color="auto"/>
            </w:tcBorders>
            <w:shd w:val="clear" w:color="auto" w:fill="auto"/>
            <w:vAlign w:val="center"/>
          </w:tcPr>
          <w:p w14:paraId="0652F378" w14:textId="77777777" w:rsidR="007171E8" w:rsidRPr="00E9016E" w:rsidRDefault="007171E8" w:rsidP="009D574B">
            <w:pPr>
              <w:tabs>
                <w:tab w:val="left" w:pos="426"/>
              </w:tabs>
              <w:ind w:right="-108"/>
              <w:jc w:val="center"/>
              <w:rPr>
                <w:b/>
                <w:bCs/>
                <w:color w:val="auto"/>
              </w:rPr>
            </w:pPr>
            <w:r w:rsidRPr="00E9016E">
              <w:rPr>
                <w:b/>
                <w:bCs/>
                <w:color w:val="auto"/>
              </w:rPr>
              <w:t>Lyginamasis svoris, atliekant kainos ir kokybės santykio įvertinimą</w:t>
            </w:r>
          </w:p>
        </w:tc>
      </w:tr>
      <w:tr w:rsidR="007171E8" w:rsidRPr="00E9016E" w14:paraId="3C77902F" w14:textId="77777777" w:rsidTr="009D574B">
        <w:trPr>
          <w:trHeight w:val="210"/>
        </w:trPr>
        <w:tc>
          <w:tcPr>
            <w:cnfStyle w:val="000010000000" w:firstRow="0" w:lastRow="0" w:firstColumn="0" w:lastColumn="0" w:oddVBand="1" w:evenVBand="0" w:oddHBand="0" w:evenHBand="0" w:firstRowFirstColumn="0" w:firstRowLastColumn="0" w:lastRowFirstColumn="0" w:lastRowLastColumn="0"/>
            <w:tcW w:w="6086" w:type="dxa"/>
            <w:tcBorders>
              <w:top w:val="single" w:sz="6" w:space="0" w:color="auto"/>
              <w:left w:val="single" w:sz="4" w:space="0" w:color="auto"/>
              <w:bottom w:val="single" w:sz="6" w:space="0" w:color="auto"/>
              <w:right w:val="single" w:sz="6" w:space="0" w:color="auto"/>
            </w:tcBorders>
            <w:shd w:val="clear" w:color="auto" w:fill="auto"/>
          </w:tcPr>
          <w:p w14:paraId="0266BCDB" w14:textId="77777777" w:rsidR="007171E8" w:rsidRPr="00E9016E" w:rsidRDefault="007171E8" w:rsidP="009D574B">
            <w:pPr>
              <w:tabs>
                <w:tab w:val="left" w:pos="426"/>
              </w:tabs>
              <w:spacing w:line="210" w:lineRule="atLeast"/>
              <w:rPr>
                <w:b/>
                <w:bCs/>
                <w:i/>
                <w:iCs/>
                <w:color w:val="auto"/>
              </w:rPr>
            </w:pPr>
            <w:r w:rsidRPr="00E9016E">
              <w:rPr>
                <w:bCs/>
                <w:i/>
                <w:iCs/>
                <w:color w:val="auto"/>
              </w:rPr>
              <w:t>Pirmas kriterijus</w:t>
            </w:r>
            <w:r w:rsidRPr="00E9016E">
              <w:rPr>
                <w:b/>
                <w:bCs/>
                <w:i/>
                <w:iCs/>
                <w:color w:val="auto"/>
              </w:rPr>
              <w:t xml:space="preserve"> - </w:t>
            </w:r>
            <w:r w:rsidRPr="00E9016E">
              <w:rPr>
                <w:b/>
                <w:bCs/>
                <w:iCs/>
                <w:color w:val="auto"/>
              </w:rPr>
              <w:t>kaina (C)</w:t>
            </w:r>
          </w:p>
        </w:tc>
        <w:tc>
          <w:tcPr>
            <w:cnfStyle w:val="000001000000" w:firstRow="0" w:lastRow="0" w:firstColumn="0" w:lastColumn="0" w:oddVBand="0" w:evenVBand="1" w:oddHBand="0" w:evenHBand="0" w:firstRowFirstColumn="0" w:firstRowLastColumn="0" w:lastRowFirstColumn="0" w:lastRowLastColumn="0"/>
            <w:tcW w:w="3656" w:type="dxa"/>
            <w:tcBorders>
              <w:top w:val="single" w:sz="6" w:space="0" w:color="auto"/>
              <w:left w:val="single" w:sz="6" w:space="0" w:color="auto"/>
              <w:bottom w:val="single" w:sz="6" w:space="0" w:color="auto"/>
              <w:right w:val="single" w:sz="4" w:space="0" w:color="auto"/>
            </w:tcBorders>
            <w:shd w:val="clear" w:color="auto" w:fill="auto"/>
          </w:tcPr>
          <w:p w14:paraId="3A67D588" w14:textId="77777777" w:rsidR="007171E8" w:rsidRPr="00E9016E" w:rsidRDefault="007171E8" w:rsidP="009D574B">
            <w:pPr>
              <w:tabs>
                <w:tab w:val="left" w:pos="426"/>
              </w:tabs>
              <w:spacing w:line="210" w:lineRule="atLeast"/>
              <w:jc w:val="both"/>
              <w:rPr>
                <w:b/>
                <w:bCs/>
                <w:color w:val="auto"/>
              </w:rPr>
            </w:pPr>
            <w:r w:rsidRPr="00E9016E">
              <w:rPr>
                <w:b/>
                <w:bCs/>
              </w:rPr>
              <w:t xml:space="preserve">X = </w:t>
            </w:r>
            <w:r w:rsidRPr="00E9016E">
              <w:rPr>
                <w:b/>
                <w:bCs/>
                <w:color w:val="auto"/>
              </w:rPr>
              <w:t>X=60</w:t>
            </w:r>
          </w:p>
        </w:tc>
      </w:tr>
      <w:tr w:rsidR="007171E8" w:rsidRPr="00E9016E" w14:paraId="5DF40C9E" w14:textId="77777777" w:rsidTr="009D574B">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6086" w:type="dxa"/>
            <w:tcBorders>
              <w:top w:val="single" w:sz="6" w:space="0" w:color="auto"/>
              <w:left w:val="single" w:sz="4" w:space="0" w:color="auto"/>
              <w:bottom w:val="single" w:sz="6" w:space="0" w:color="auto"/>
              <w:right w:val="single" w:sz="6" w:space="0" w:color="auto"/>
            </w:tcBorders>
            <w:shd w:val="clear" w:color="auto" w:fill="auto"/>
            <w:vAlign w:val="center"/>
          </w:tcPr>
          <w:p w14:paraId="51E33A62" w14:textId="77777777" w:rsidR="007171E8" w:rsidRPr="00E9016E" w:rsidRDefault="007171E8" w:rsidP="009D574B">
            <w:pPr>
              <w:tabs>
                <w:tab w:val="left" w:pos="426"/>
              </w:tabs>
              <w:spacing w:line="210" w:lineRule="atLeast"/>
              <w:rPr>
                <w:b/>
                <w:bCs/>
                <w:i/>
                <w:iCs/>
                <w:color w:val="auto"/>
              </w:rPr>
            </w:pPr>
            <w:r w:rsidRPr="00E9016E">
              <w:rPr>
                <w:bCs/>
                <w:i/>
                <w:iCs/>
                <w:color w:val="auto"/>
              </w:rPr>
              <w:t>Antras kriterijus</w:t>
            </w:r>
            <w:r w:rsidRPr="00E9016E">
              <w:rPr>
                <w:b/>
                <w:bCs/>
                <w:i/>
                <w:iCs/>
                <w:color w:val="auto"/>
              </w:rPr>
              <w:t xml:space="preserve"> – Greito reagavimo ekipažų skaičius </w:t>
            </w:r>
            <w:r w:rsidRPr="00E9016E">
              <w:rPr>
                <w:b/>
                <w:color w:val="auto"/>
              </w:rPr>
              <w:t xml:space="preserve"> (D)</w:t>
            </w:r>
          </w:p>
        </w:tc>
        <w:tc>
          <w:tcPr>
            <w:cnfStyle w:val="000001000000" w:firstRow="0" w:lastRow="0" w:firstColumn="0" w:lastColumn="0" w:oddVBand="0" w:evenVBand="1" w:oddHBand="0" w:evenHBand="0" w:firstRowFirstColumn="0" w:firstRowLastColumn="0" w:lastRowFirstColumn="0" w:lastRowLastColumn="0"/>
            <w:tcW w:w="3656" w:type="dxa"/>
            <w:tcBorders>
              <w:top w:val="single" w:sz="6" w:space="0" w:color="auto"/>
              <w:left w:val="single" w:sz="6" w:space="0" w:color="auto"/>
              <w:bottom w:val="single" w:sz="6" w:space="0" w:color="auto"/>
              <w:right w:val="single" w:sz="4" w:space="0" w:color="auto"/>
            </w:tcBorders>
            <w:shd w:val="clear" w:color="auto" w:fill="auto"/>
            <w:vAlign w:val="center"/>
          </w:tcPr>
          <w:p w14:paraId="15439D3E" w14:textId="77777777" w:rsidR="007171E8" w:rsidRPr="00E9016E" w:rsidRDefault="007171E8" w:rsidP="009D574B">
            <w:pPr>
              <w:tabs>
                <w:tab w:val="left" w:pos="426"/>
              </w:tabs>
              <w:spacing w:line="210" w:lineRule="atLeast"/>
              <w:rPr>
                <w:b/>
                <w:bCs/>
                <w:color w:val="auto"/>
              </w:rPr>
            </w:pPr>
            <w:r w:rsidRPr="00E9016E">
              <w:rPr>
                <w:b/>
                <w:bCs/>
              </w:rPr>
              <w:t xml:space="preserve">Y = </w:t>
            </w:r>
            <w:r w:rsidRPr="00E9016E">
              <w:rPr>
                <w:b/>
                <w:bCs/>
                <w:color w:val="auto"/>
              </w:rPr>
              <w:t>D=10</w:t>
            </w:r>
          </w:p>
        </w:tc>
      </w:tr>
      <w:tr w:rsidR="007171E8" w:rsidRPr="00E9016E" w14:paraId="0DC4DDD0" w14:textId="77777777" w:rsidTr="009D574B">
        <w:trPr>
          <w:trHeight w:val="210"/>
        </w:trPr>
        <w:tc>
          <w:tcPr>
            <w:cnfStyle w:val="000010000000" w:firstRow="0" w:lastRow="0" w:firstColumn="0" w:lastColumn="0" w:oddVBand="1" w:evenVBand="0" w:oddHBand="0" w:evenHBand="0" w:firstRowFirstColumn="0" w:firstRowLastColumn="0" w:lastRowFirstColumn="0" w:lastRowLastColumn="0"/>
            <w:tcW w:w="6086" w:type="dxa"/>
            <w:tcBorders>
              <w:top w:val="single" w:sz="6" w:space="0" w:color="auto"/>
              <w:left w:val="single" w:sz="4" w:space="0" w:color="auto"/>
              <w:bottom w:val="single" w:sz="6" w:space="0" w:color="auto"/>
              <w:right w:val="single" w:sz="6" w:space="0" w:color="auto"/>
            </w:tcBorders>
            <w:shd w:val="clear" w:color="auto" w:fill="auto"/>
            <w:vAlign w:val="center"/>
          </w:tcPr>
          <w:p w14:paraId="7694F2F8" w14:textId="77777777" w:rsidR="007171E8" w:rsidRPr="00E9016E" w:rsidRDefault="007171E8" w:rsidP="009D574B">
            <w:pPr>
              <w:tabs>
                <w:tab w:val="left" w:pos="426"/>
              </w:tabs>
              <w:spacing w:line="210" w:lineRule="atLeast"/>
              <w:rPr>
                <w:bCs/>
                <w:i/>
                <w:iCs/>
                <w:color w:val="auto"/>
              </w:rPr>
            </w:pPr>
            <w:r w:rsidRPr="00E9016E">
              <w:rPr>
                <w:bCs/>
                <w:i/>
                <w:iCs/>
                <w:color w:val="auto"/>
              </w:rPr>
              <w:t>Trečias kriterijus</w:t>
            </w:r>
            <w:r w:rsidRPr="00E9016E">
              <w:rPr>
                <w:b/>
                <w:bCs/>
                <w:i/>
                <w:iCs/>
                <w:color w:val="auto"/>
              </w:rPr>
              <w:t xml:space="preserve"> – Paslaugų kokybė </w:t>
            </w:r>
            <w:r w:rsidRPr="00E9016E">
              <w:rPr>
                <w:b/>
                <w:color w:val="auto"/>
              </w:rPr>
              <w:t xml:space="preserve"> (E)</w:t>
            </w:r>
          </w:p>
        </w:tc>
        <w:tc>
          <w:tcPr>
            <w:cnfStyle w:val="000001000000" w:firstRow="0" w:lastRow="0" w:firstColumn="0" w:lastColumn="0" w:oddVBand="0" w:evenVBand="1" w:oddHBand="0" w:evenHBand="0" w:firstRowFirstColumn="0" w:firstRowLastColumn="0" w:lastRowFirstColumn="0" w:lastRowLastColumn="0"/>
            <w:tcW w:w="3656" w:type="dxa"/>
            <w:tcBorders>
              <w:top w:val="single" w:sz="6" w:space="0" w:color="auto"/>
              <w:left w:val="single" w:sz="6" w:space="0" w:color="auto"/>
              <w:bottom w:val="single" w:sz="6" w:space="0" w:color="auto"/>
              <w:right w:val="single" w:sz="4" w:space="0" w:color="auto"/>
            </w:tcBorders>
            <w:shd w:val="clear" w:color="auto" w:fill="auto"/>
            <w:vAlign w:val="center"/>
          </w:tcPr>
          <w:p w14:paraId="4B3A11AC" w14:textId="77777777" w:rsidR="007171E8" w:rsidRPr="00E9016E" w:rsidRDefault="007171E8" w:rsidP="009D574B">
            <w:pPr>
              <w:tabs>
                <w:tab w:val="left" w:pos="426"/>
              </w:tabs>
              <w:spacing w:line="210" w:lineRule="atLeast"/>
              <w:rPr>
                <w:b/>
                <w:bCs/>
                <w:color w:val="auto"/>
              </w:rPr>
            </w:pPr>
            <w:r w:rsidRPr="00E9016E">
              <w:rPr>
                <w:b/>
                <w:bCs/>
              </w:rPr>
              <w:t xml:space="preserve">Z = </w:t>
            </w:r>
            <w:r w:rsidRPr="00E9016E">
              <w:rPr>
                <w:b/>
                <w:bCs/>
                <w:color w:val="auto"/>
              </w:rPr>
              <w:t>E=5</w:t>
            </w:r>
          </w:p>
        </w:tc>
      </w:tr>
      <w:tr w:rsidR="007171E8" w:rsidRPr="00E9016E" w14:paraId="506C02D4" w14:textId="77777777" w:rsidTr="009D574B">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6086" w:type="dxa"/>
            <w:tcBorders>
              <w:top w:val="single" w:sz="6" w:space="0" w:color="auto"/>
              <w:left w:val="single" w:sz="4" w:space="0" w:color="auto"/>
              <w:bottom w:val="single" w:sz="6" w:space="0" w:color="auto"/>
              <w:right w:val="single" w:sz="6" w:space="0" w:color="auto"/>
            </w:tcBorders>
            <w:shd w:val="clear" w:color="auto" w:fill="auto"/>
            <w:vAlign w:val="center"/>
          </w:tcPr>
          <w:p w14:paraId="547E1E5F" w14:textId="77777777" w:rsidR="007171E8" w:rsidRPr="00E9016E" w:rsidRDefault="007171E8" w:rsidP="009D574B">
            <w:pPr>
              <w:tabs>
                <w:tab w:val="left" w:pos="426"/>
              </w:tabs>
              <w:spacing w:line="210" w:lineRule="atLeast"/>
              <w:rPr>
                <w:bCs/>
                <w:i/>
                <w:iCs/>
                <w:color w:val="auto"/>
              </w:rPr>
            </w:pPr>
            <w:r w:rsidRPr="00E9016E">
              <w:rPr>
                <w:bCs/>
                <w:i/>
                <w:iCs/>
                <w:color w:val="auto"/>
              </w:rPr>
              <w:t xml:space="preserve">Ketvirtas kriterijus – </w:t>
            </w:r>
            <w:r w:rsidRPr="00E9016E">
              <w:rPr>
                <w:b/>
                <w:i/>
                <w:iCs/>
                <w:color w:val="auto"/>
              </w:rPr>
              <w:t>Civilinės atsakomybė (F)</w:t>
            </w:r>
          </w:p>
        </w:tc>
        <w:tc>
          <w:tcPr>
            <w:cnfStyle w:val="000001000000" w:firstRow="0" w:lastRow="0" w:firstColumn="0" w:lastColumn="0" w:oddVBand="0" w:evenVBand="1" w:oddHBand="0" w:evenHBand="0" w:firstRowFirstColumn="0" w:firstRowLastColumn="0" w:lastRowFirstColumn="0" w:lastRowLastColumn="0"/>
            <w:tcW w:w="3656" w:type="dxa"/>
            <w:tcBorders>
              <w:top w:val="single" w:sz="6" w:space="0" w:color="auto"/>
              <w:left w:val="single" w:sz="6" w:space="0" w:color="auto"/>
              <w:bottom w:val="single" w:sz="6" w:space="0" w:color="auto"/>
              <w:right w:val="single" w:sz="4" w:space="0" w:color="auto"/>
            </w:tcBorders>
            <w:shd w:val="clear" w:color="auto" w:fill="auto"/>
            <w:vAlign w:val="center"/>
          </w:tcPr>
          <w:p w14:paraId="056009FE" w14:textId="77777777" w:rsidR="007171E8" w:rsidRPr="00E9016E" w:rsidRDefault="007171E8" w:rsidP="009D574B">
            <w:pPr>
              <w:tabs>
                <w:tab w:val="left" w:pos="426"/>
              </w:tabs>
              <w:spacing w:line="210" w:lineRule="atLeast"/>
              <w:rPr>
                <w:b/>
                <w:bCs/>
                <w:color w:val="auto"/>
              </w:rPr>
            </w:pPr>
            <w:r w:rsidRPr="00E9016E">
              <w:rPr>
                <w:b/>
                <w:bCs/>
              </w:rPr>
              <w:t>V =</w:t>
            </w:r>
            <w:r>
              <w:rPr>
                <w:b/>
                <w:bCs/>
              </w:rPr>
              <w:t xml:space="preserve"> </w:t>
            </w:r>
            <w:r w:rsidRPr="00E9016E">
              <w:rPr>
                <w:b/>
                <w:bCs/>
                <w:color w:val="auto"/>
              </w:rPr>
              <w:t>F=</w:t>
            </w:r>
            <w:r w:rsidRPr="00E9016E">
              <w:rPr>
                <w:b/>
                <w:bCs/>
              </w:rPr>
              <w:t xml:space="preserve"> </w:t>
            </w:r>
            <w:r w:rsidRPr="00E9016E">
              <w:rPr>
                <w:b/>
                <w:bCs/>
                <w:color w:val="auto"/>
              </w:rPr>
              <w:t>10</w:t>
            </w:r>
          </w:p>
        </w:tc>
      </w:tr>
      <w:tr w:rsidR="007171E8" w:rsidRPr="00E9016E" w14:paraId="00D2A756" w14:textId="77777777" w:rsidTr="009D574B">
        <w:trPr>
          <w:trHeight w:val="210"/>
        </w:trPr>
        <w:tc>
          <w:tcPr>
            <w:cnfStyle w:val="000010000000" w:firstRow="0" w:lastRow="0" w:firstColumn="0" w:lastColumn="0" w:oddVBand="1" w:evenVBand="0" w:oddHBand="0" w:evenHBand="0" w:firstRowFirstColumn="0" w:firstRowLastColumn="0" w:lastRowFirstColumn="0" w:lastRowLastColumn="0"/>
            <w:tcW w:w="6086" w:type="dxa"/>
            <w:tcBorders>
              <w:top w:val="single" w:sz="6" w:space="0" w:color="auto"/>
              <w:left w:val="single" w:sz="4" w:space="0" w:color="auto"/>
              <w:bottom w:val="single" w:sz="6" w:space="0" w:color="auto"/>
              <w:right w:val="single" w:sz="6" w:space="0" w:color="auto"/>
            </w:tcBorders>
            <w:shd w:val="clear" w:color="auto" w:fill="auto"/>
            <w:vAlign w:val="center"/>
          </w:tcPr>
          <w:p w14:paraId="5AB569A3" w14:textId="77777777" w:rsidR="007171E8" w:rsidRPr="00E9016E" w:rsidRDefault="007171E8" w:rsidP="009D574B">
            <w:pPr>
              <w:tabs>
                <w:tab w:val="left" w:pos="426"/>
              </w:tabs>
              <w:spacing w:line="210" w:lineRule="atLeast"/>
              <w:rPr>
                <w:bCs/>
                <w:i/>
                <w:iCs/>
                <w:color w:val="auto"/>
              </w:rPr>
            </w:pPr>
            <w:r w:rsidRPr="00E9016E">
              <w:rPr>
                <w:bCs/>
                <w:i/>
                <w:iCs/>
                <w:color w:val="auto"/>
              </w:rPr>
              <w:t xml:space="preserve">Penktas kriterijus – </w:t>
            </w:r>
            <w:r w:rsidRPr="00E9016E">
              <w:rPr>
                <w:b/>
                <w:i/>
                <w:iCs/>
                <w:color w:val="auto"/>
              </w:rPr>
              <w:t>Atlyginimas (G)</w:t>
            </w:r>
          </w:p>
        </w:tc>
        <w:tc>
          <w:tcPr>
            <w:cnfStyle w:val="000001000000" w:firstRow="0" w:lastRow="0" w:firstColumn="0" w:lastColumn="0" w:oddVBand="0" w:evenVBand="1" w:oddHBand="0" w:evenHBand="0" w:firstRowFirstColumn="0" w:firstRowLastColumn="0" w:lastRowFirstColumn="0" w:lastRowLastColumn="0"/>
            <w:tcW w:w="3656" w:type="dxa"/>
            <w:tcBorders>
              <w:top w:val="single" w:sz="6" w:space="0" w:color="auto"/>
              <w:left w:val="single" w:sz="6" w:space="0" w:color="auto"/>
              <w:bottom w:val="single" w:sz="6" w:space="0" w:color="auto"/>
              <w:right w:val="single" w:sz="4" w:space="0" w:color="auto"/>
            </w:tcBorders>
            <w:shd w:val="clear" w:color="auto" w:fill="auto"/>
            <w:vAlign w:val="center"/>
          </w:tcPr>
          <w:p w14:paraId="7CA27E42" w14:textId="77777777" w:rsidR="007171E8" w:rsidRPr="00E9016E" w:rsidRDefault="007171E8" w:rsidP="009D574B">
            <w:pPr>
              <w:tabs>
                <w:tab w:val="left" w:pos="426"/>
              </w:tabs>
              <w:spacing w:line="210" w:lineRule="atLeast"/>
              <w:rPr>
                <w:b/>
                <w:bCs/>
                <w:color w:val="auto"/>
              </w:rPr>
            </w:pPr>
            <w:r w:rsidRPr="00E9016E">
              <w:rPr>
                <w:b/>
                <w:bCs/>
              </w:rPr>
              <w:t xml:space="preserve">S = </w:t>
            </w:r>
            <w:r>
              <w:rPr>
                <w:b/>
                <w:bCs/>
              </w:rPr>
              <w:t xml:space="preserve"> </w:t>
            </w:r>
            <w:r w:rsidRPr="00E9016E">
              <w:rPr>
                <w:b/>
                <w:bCs/>
                <w:color w:val="auto"/>
              </w:rPr>
              <w:t>G=15</w:t>
            </w:r>
          </w:p>
        </w:tc>
      </w:tr>
    </w:tbl>
    <w:p w14:paraId="2C6A3D60" w14:textId="77777777" w:rsidR="007171E8" w:rsidRPr="00E9016E" w:rsidRDefault="007171E8" w:rsidP="007171E8">
      <w:pPr>
        <w:pStyle w:val="ListParagraph"/>
        <w:suppressAutoHyphens/>
        <w:ind w:left="0" w:firstLine="720"/>
        <w:jc w:val="both"/>
        <w:rPr>
          <w:rFonts w:eastAsia="Times New Roman"/>
          <w:sz w:val="22"/>
          <w:szCs w:val="22"/>
        </w:rPr>
      </w:pPr>
    </w:p>
    <w:p w14:paraId="02C14906" w14:textId="7A861D59" w:rsidR="007171E8" w:rsidRPr="000B0E0C" w:rsidRDefault="000B0E0C" w:rsidP="000B0E0C">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b/>
          <w:sz w:val="22"/>
          <w:szCs w:val="22"/>
        </w:rPr>
      </w:pPr>
      <w:r>
        <w:rPr>
          <w:b/>
          <w:bCs/>
          <w:sz w:val="22"/>
          <w:szCs w:val="22"/>
        </w:rPr>
        <w:t xml:space="preserve"> </w:t>
      </w:r>
      <w:r w:rsidR="007171E8" w:rsidRPr="000B0E0C">
        <w:rPr>
          <w:b/>
          <w:bCs/>
          <w:sz w:val="22"/>
          <w:szCs w:val="22"/>
        </w:rPr>
        <w:t xml:space="preserve">Greito reagavimo ekipažų skaičiaus vertinimo kriterijaus (D) parametrų paaiškinimai. </w:t>
      </w:r>
      <w:r w:rsidR="007171E8" w:rsidRPr="000B0E0C">
        <w:rPr>
          <w:sz w:val="22"/>
          <w:szCs w:val="22"/>
        </w:rPr>
        <w:t xml:space="preserve">Tiekėjas privalo </w:t>
      </w:r>
      <w:r w:rsidR="007171E8" w:rsidRPr="000B0E0C">
        <w:rPr>
          <w:b/>
          <w:sz w:val="22"/>
          <w:szCs w:val="22"/>
        </w:rPr>
        <w:t xml:space="preserve">su pasiūlymu dėl „Apsaugos paslaugų bendrabučiams pirkimo“ </w:t>
      </w:r>
      <w:r w:rsidR="007171E8" w:rsidRPr="000B0E0C">
        <w:rPr>
          <w:sz w:val="22"/>
          <w:szCs w:val="22"/>
        </w:rPr>
        <w:t xml:space="preserve">pateikti informaciją apie šalia saugomų objektų dirbančius greito reagavimo ekipažus su ginkluotais B kategorijos ginklais darbuotojais bei </w:t>
      </w:r>
      <w:r w:rsidR="007171E8" w:rsidRPr="000B0E0C">
        <w:rPr>
          <w:b/>
          <w:sz w:val="22"/>
          <w:szCs w:val="22"/>
        </w:rPr>
        <w:t>pateikti greito reagavimo ekipažų išdėstymo planus</w:t>
      </w:r>
      <w:r w:rsidR="007171E8" w:rsidRPr="000B0E0C">
        <w:rPr>
          <w:sz w:val="22"/>
          <w:szCs w:val="22"/>
        </w:rPr>
        <w:t xml:space="preserve">, kuri bus vertinama balais nuo 0 iki 10 (maks. 10 balų). Atsižvelgiant į saugomų objektų lokalizacijos koncentraciją, tiekėjai turi pateikti informaciją tik vieno iš saugomų objektų - </w:t>
      </w:r>
      <w:r w:rsidR="007171E8" w:rsidRPr="000B0E0C">
        <w:rPr>
          <w:bCs/>
          <w:sz w:val="22"/>
          <w:szCs w:val="22"/>
        </w:rPr>
        <w:t>Bendrabučio Nr. 3, esančio Studentų g. 69, Kaune (toliau – Objektas Nr. 3), atžvilgiu, kuri bus vertinama taip:</w:t>
      </w:r>
    </w:p>
    <w:p w14:paraId="4C1B0C2F" w14:textId="77777777" w:rsidR="007171E8" w:rsidRPr="00E9016E" w:rsidRDefault="007171E8" w:rsidP="000B0E0C">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r w:rsidRPr="00E9016E">
        <w:rPr>
          <w:sz w:val="22"/>
          <w:szCs w:val="22"/>
        </w:rPr>
        <w:t xml:space="preserve">10 balų - 8 ir daugiau nuolat dirbantys greito reagavimo ekipažai iki 10 km spinduliu nuo Objekto </w:t>
      </w:r>
      <w:r w:rsidRPr="00E9016E">
        <w:rPr>
          <w:bCs/>
          <w:sz w:val="22"/>
          <w:szCs w:val="22"/>
        </w:rPr>
        <w:t xml:space="preserve">Nr. 3, </w:t>
      </w:r>
      <w:r w:rsidRPr="005B56A9">
        <w:rPr>
          <w:b/>
          <w:bCs/>
          <w:sz w:val="22"/>
          <w:szCs w:val="22"/>
        </w:rPr>
        <w:t>iš kurių</w:t>
      </w:r>
      <w:r w:rsidRPr="00E9016E">
        <w:rPr>
          <w:bCs/>
          <w:sz w:val="22"/>
          <w:szCs w:val="22"/>
        </w:rPr>
        <w:t xml:space="preserve"> </w:t>
      </w:r>
      <w:r>
        <w:rPr>
          <w:bCs/>
          <w:sz w:val="22"/>
          <w:szCs w:val="22"/>
        </w:rPr>
        <w:t xml:space="preserve">bent </w:t>
      </w:r>
      <w:r w:rsidRPr="00E9016E">
        <w:rPr>
          <w:bCs/>
          <w:sz w:val="22"/>
          <w:szCs w:val="22"/>
        </w:rPr>
        <w:t xml:space="preserve">3 ir daugiau nuolat dirbantys iki 5 km. ir mažesniu spinduliu </w:t>
      </w:r>
      <w:r w:rsidRPr="00E9016E">
        <w:rPr>
          <w:sz w:val="22"/>
          <w:szCs w:val="22"/>
        </w:rPr>
        <w:t xml:space="preserve">nuo Objekto </w:t>
      </w:r>
      <w:r w:rsidRPr="00E9016E">
        <w:rPr>
          <w:bCs/>
          <w:sz w:val="22"/>
          <w:szCs w:val="22"/>
        </w:rPr>
        <w:t>Nr. 3</w:t>
      </w:r>
      <w:r w:rsidRPr="00E9016E">
        <w:rPr>
          <w:sz w:val="22"/>
          <w:szCs w:val="22"/>
        </w:rPr>
        <w:t xml:space="preserve">; </w:t>
      </w:r>
    </w:p>
    <w:p w14:paraId="44AF5496" w14:textId="77777777" w:rsidR="007171E8" w:rsidRPr="00E9016E" w:rsidRDefault="007171E8" w:rsidP="000B0E0C">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r w:rsidRPr="00E9016E">
        <w:rPr>
          <w:sz w:val="22"/>
          <w:szCs w:val="22"/>
        </w:rPr>
        <w:t>6 balai – 6-7 nuolat dirbantys greito reagavimo ekipažai iki 10 km spinduliu nuo Objekto Nr. 3</w:t>
      </w:r>
      <w:r w:rsidRPr="00E9016E">
        <w:rPr>
          <w:bCs/>
          <w:sz w:val="22"/>
          <w:szCs w:val="22"/>
        </w:rPr>
        <w:t xml:space="preserve">, </w:t>
      </w:r>
      <w:r w:rsidRPr="005B56A9">
        <w:rPr>
          <w:b/>
          <w:bCs/>
          <w:sz w:val="22"/>
          <w:szCs w:val="22"/>
        </w:rPr>
        <w:t>iš kurių</w:t>
      </w:r>
      <w:r w:rsidRPr="00E9016E">
        <w:rPr>
          <w:bCs/>
          <w:sz w:val="22"/>
          <w:szCs w:val="22"/>
        </w:rPr>
        <w:t xml:space="preserve"> </w:t>
      </w:r>
      <w:r>
        <w:rPr>
          <w:bCs/>
          <w:sz w:val="22"/>
          <w:szCs w:val="22"/>
        </w:rPr>
        <w:t xml:space="preserve">bent </w:t>
      </w:r>
      <w:r w:rsidRPr="00E9016E">
        <w:rPr>
          <w:bCs/>
          <w:sz w:val="22"/>
          <w:szCs w:val="22"/>
        </w:rPr>
        <w:t xml:space="preserve">2 nuolat dirbantys </w:t>
      </w:r>
      <w:r w:rsidRPr="00E9016E">
        <w:rPr>
          <w:sz w:val="22"/>
          <w:szCs w:val="22"/>
        </w:rPr>
        <w:t xml:space="preserve">greito reagavimo ekipažai iki </w:t>
      </w:r>
      <w:r w:rsidRPr="00E9016E">
        <w:rPr>
          <w:bCs/>
          <w:sz w:val="22"/>
          <w:szCs w:val="22"/>
        </w:rPr>
        <w:t xml:space="preserve">5 km. ir mažesniu spinduliu </w:t>
      </w:r>
      <w:r w:rsidRPr="00E9016E">
        <w:rPr>
          <w:sz w:val="22"/>
          <w:szCs w:val="22"/>
        </w:rPr>
        <w:t>nuo Objekto Nr. 3;</w:t>
      </w:r>
    </w:p>
    <w:p w14:paraId="154CC7B3" w14:textId="77777777" w:rsidR="007171E8" w:rsidRPr="00E9016E" w:rsidRDefault="007171E8" w:rsidP="000B0E0C">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r w:rsidRPr="00E9016E">
        <w:rPr>
          <w:sz w:val="22"/>
          <w:szCs w:val="22"/>
        </w:rPr>
        <w:t xml:space="preserve">3 balai – 4-5 nuolat dirbantys greito reagavimo ekipažai iki 10 km spinduliu nuo Objekto Nr. 3, </w:t>
      </w:r>
      <w:r w:rsidRPr="005B56A9">
        <w:rPr>
          <w:b/>
          <w:sz w:val="22"/>
          <w:szCs w:val="22"/>
        </w:rPr>
        <w:t>iš kurių</w:t>
      </w:r>
      <w:r w:rsidRPr="00E9016E">
        <w:rPr>
          <w:sz w:val="22"/>
          <w:szCs w:val="22"/>
        </w:rPr>
        <w:t xml:space="preserve"> </w:t>
      </w:r>
      <w:r>
        <w:rPr>
          <w:sz w:val="22"/>
          <w:szCs w:val="22"/>
        </w:rPr>
        <w:t xml:space="preserve">bent </w:t>
      </w:r>
      <w:r w:rsidRPr="00E9016E">
        <w:rPr>
          <w:sz w:val="22"/>
          <w:szCs w:val="22"/>
        </w:rPr>
        <w:t>1 greito reagavimo ekipaža</w:t>
      </w:r>
      <w:r>
        <w:rPr>
          <w:sz w:val="22"/>
          <w:szCs w:val="22"/>
        </w:rPr>
        <w:t>s</w:t>
      </w:r>
      <w:r w:rsidRPr="00E9016E">
        <w:rPr>
          <w:sz w:val="22"/>
          <w:szCs w:val="22"/>
        </w:rPr>
        <w:t xml:space="preserve"> dirba iki </w:t>
      </w:r>
      <w:r w:rsidRPr="00E9016E">
        <w:rPr>
          <w:bCs/>
          <w:sz w:val="22"/>
          <w:szCs w:val="22"/>
        </w:rPr>
        <w:t xml:space="preserve">5 km. ir mažesniu </w:t>
      </w:r>
      <w:r w:rsidRPr="00E9016E">
        <w:rPr>
          <w:sz w:val="22"/>
          <w:szCs w:val="22"/>
        </w:rPr>
        <w:t xml:space="preserve">spinduliu nuo Objekto Nr. 3; </w:t>
      </w:r>
    </w:p>
    <w:p w14:paraId="3D95E343" w14:textId="77777777" w:rsidR="007171E8" w:rsidRPr="00E9016E" w:rsidRDefault="007171E8" w:rsidP="000B0E0C">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r w:rsidRPr="00E9016E">
        <w:rPr>
          <w:sz w:val="22"/>
          <w:szCs w:val="22"/>
        </w:rPr>
        <w:t>0 balų –  3 nuolat dirbantys greito reagavimo ekipažai iki 10 km spinduliu nuo Objekto Nr. 3.</w:t>
      </w:r>
    </w:p>
    <w:p w14:paraId="3A3C54E3" w14:textId="77777777" w:rsidR="007171E8" w:rsidRPr="00E9016E" w:rsidRDefault="007171E8" w:rsidP="000B0E0C">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r w:rsidRPr="00E9016E">
        <w:rPr>
          <w:rFonts w:eastAsia="Times New Roman"/>
          <w:sz w:val="22"/>
          <w:szCs w:val="22"/>
        </w:rPr>
        <w:t>Tuo atveju, jei pasiūlymo vertinimo metu Tiekėjo pasiūlymas už šį vertinimo kriterijų gaus papildomų balų, Pirkimo laimėjimo atveju Tiekėjas įsipareigos visą Pirkimo sutarties laikotarpį užtikrinti, kad būtų ne mažesnis greito reagavimo ekipažų, nuolat dirbančių nurodytu atstumu, skaičius. Sutartyje bus numatyta teisė Perkančiajai organizacijai tikrinti šių įsipareigojimų vykdymą ir yra nustatytos sankcijos už Tiekėjo prisiimtų įsipareigojimų nesilaikymą.</w:t>
      </w:r>
    </w:p>
    <w:p w14:paraId="3791503F" w14:textId="77777777" w:rsidR="007171E8" w:rsidRPr="008B30E5" w:rsidRDefault="007171E8" w:rsidP="000B0E0C">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r w:rsidRPr="00E9016E">
        <w:rPr>
          <w:b/>
          <w:bCs/>
          <w:sz w:val="22"/>
          <w:szCs w:val="22"/>
        </w:rPr>
        <w:t xml:space="preserve">Paslaugų kokybės vertinimo kriterijaus (E) </w:t>
      </w:r>
      <w:r>
        <w:rPr>
          <w:b/>
          <w:bCs/>
          <w:sz w:val="22"/>
          <w:szCs w:val="22"/>
        </w:rPr>
        <w:t xml:space="preserve">parametrų </w:t>
      </w:r>
      <w:r w:rsidRPr="00E9016E">
        <w:rPr>
          <w:b/>
          <w:bCs/>
          <w:sz w:val="22"/>
          <w:szCs w:val="22"/>
        </w:rPr>
        <w:t>paaiškinimai.</w:t>
      </w:r>
      <w:r w:rsidRPr="00E9016E">
        <w:rPr>
          <w:sz w:val="22"/>
          <w:szCs w:val="22"/>
        </w:rPr>
        <w:t xml:space="preserve">  Tiekėjas privalo </w:t>
      </w:r>
      <w:r w:rsidRPr="00E9016E">
        <w:rPr>
          <w:b/>
          <w:sz w:val="22"/>
          <w:szCs w:val="22"/>
        </w:rPr>
        <w:t xml:space="preserve">pasiūlymo dėl „Fizinės apsaugos ir greito reagavimo paslaugų pirkimo“ 1 priede </w:t>
      </w:r>
      <w:r w:rsidRPr="00E9016E">
        <w:rPr>
          <w:sz w:val="22"/>
          <w:szCs w:val="22"/>
        </w:rPr>
        <w:t xml:space="preserve">pateikti informaciją apie aktyvaus patruliavimo kontrolės sistemą saugomose Objektuose, kuri bus vertinama 0 arba 5 balais (maks. 5 balai) </w:t>
      </w:r>
      <w:r w:rsidRPr="008B30E5">
        <w:rPr>
          <w:sz w:val="22"/>
          <w:szCs w:val="22"/>
        </w:rPr>
        <w:t>taip:</w:t>
      </w:r>
    </w:p>
    <w:p w14:paraId="5CC05B2D" w14:textId="77777777" w:rsidR="007171E8" w:rsidRPr="008B30E5" w:rsidRDefault="007171E8" w:rsidP="000B0E0C">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bookmarkStart w:id="2" w:name="_Hlk97728956"/>
      <w:r w:rsidRPr="008B30E5">
        <w:rPr>
          <w:sz w:val="22"/>
          <w:szCs w:val="22"/>
        </w:rPr>
        <w:t xml:space="preserve">Jei Tiekėjas pateiks nurodytą informaciją apie objekte turimą/siūlomą ir sutarties vykdymo metu naudos aktyvaus patruliavimo kontrolės sistemą su GPS imtuvais (ar kita lygiaverte technologija) visuose 12 saugomuose Objektuose (kiekviename objekte įdiegs ne mažiau kaip 3 (tris) apsaugos darbuotojo kontrolės registracijos taškus) – 5 balai; </w:t>
      </w:r>
    </w:p>
    <w:bookmarkEnd w:id="2"/>
    <w:p w14:paraId="5A76A277" w14:textId="77777777" w:rsidR="007171E8" w:rsidRPr="00E9016E" w:rsidRDefault="007171E8" w:rsidP="000B0E0C">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sz w:val="22"/>
          <w:szCs w:val="22"/>
        </w:rPr>
      </w:pPr>
      <w:r w:rsidRPr="00E9016E">
        <w:rPr>
          <w:sz w:val="22"/>
          <w:szCs w:val="22"/>
        </w:rPr>
        <w:lastRenderedPageBreak/>
        <w:t>Jei Tiekėjas sutarties vykdymo metu nenaudos objekte aktyvaus patruliavimo kontrolės sistemos su GPS imtuvais (ar kita lygiaverte technologija) – 0 balų.</w:t>
      </w:r>
    </w:p>
    <w:p w14:paraId="14439643" w14:textId="77777777" w:rsidR="007171E8" w:rsidRPr="00E9016E" w:rsidRDefault="007171E8" w:rsidP="000B0E0C">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bookmarkStart w:id="3" w:name="_Hlk85031509"/>
      <w:r w:rsidRPr="00E9016E">
        <w:rPr>
          <w:rFonts w:eastAsia="Times New Roman"/>
          <w:sz w:val="22"/>
          <w:szCs w:val="22"/>
        </w:rPr>
        <w:t xml:space="preserve">Tuo atveju, jei pasiūlymo vertinimo metu Tiekėjo pasiūlymas už šį vertinimo kriterijų gaus papildomų balų, Pirkimo laimėjimo atveju Tiekėjas įsipareigos visą Pirkimo sutarties laikotarpį užtikrinti, kad </w:t>
      </w:r>
      <w:r w:rsidRPr="00E9016E">
        <w:rPr>
          <w:sz w:val="22"/>
          <w:szCs w:val="22"/>
        </w:rPr>
        <w:t>visuose 12 saugomuose Objektuose būtų įrengta ir naudojama aktyvaus patruliavimo kontrolės sistema su GPS imtuvais (ar kita lygiaverte technologija), taip pat šiuose objektuose būtų įdiegti ne mažiau kaip 3 (trys) apsaugos darbuotojo kontrolės registracijos taškai</w:t>
      </w:r>
      <w:r w:rsidRPr="00E9016E">
        <w:rPr>
          <w:rFonts w:eastAsia="Times New Roman"/>
          <w:sz w:val="22"/>
          <w:szCs w:val="22"/>
        </w:rPr>
        <w:t>. Sutartyje bus numatyta teisė Perkančiajai organizacijai tikrinti šių įsipareigojimų vykdymą ir yra nustatytos sankcijos už Tiekėjo prisiimtų įsipareigojimų nesilaikymą.</w:t>
      </w:r>
    </w:p>
    <w:p w14:paraId="7FE83272" w14:textId="77777777" w:rsidR="007171E8" w:rsidRPr="00E9016E" w:rsidRDefault="007171E8" w:rsidP="000B0E0C">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r w:rsidRPr="00E9016E">
        <w:rPr>
          <w:b/>
          <w:bCs/>
          <w:sz w:val="22"/>
          <w:szCs w:val="22"/>
        </w:rPr>
        <w:t>Civilinės atsakomybės vertinimo kriterijaus</w:t>
      </w:r>
      <w:bookmarkEnd w:id="3"/>
      <w:r w:rsidRPr="00E9016E">
        <w:rPr>
          <w:b/>
          <w:bCs/>
          <w:sz w:val="22"/>
          <w:szCs w:val="22"/>
        </w:rPr>
        <w:t xml:space="preserve"> (F)</w:t>
      </w:r>
      <w:r>
        <w:rPr>
          <w:b/>
          <w:bCs/>
          <w:sz w:val="22"/>
          <w:szCs w:val="22"/>
        </w:rPr>
        <w:t xml:space="preserve"> parametrų</w:t>
      </w:r>
      <w:r w:rsidRPr="00E9016E">
        <w:rPr>
          <w:b/>
          <w:bCs/>
          <w:sz w:val="22"/>
          <w:szCs w:val="22"/>
        </w:rPr>
        <w:t xml:space="preserve"> paaiškinimai.</w:t>
      </w:r>
      <w:r w:rsidRPr="00E9016E">
        <w:rPr>
          <w:sz w:val="22"/>
          <w:szCs w:val="22"/>
        </w:rPr>
        <w:t xml:space="preserve"> Tiekėjas privalo </w:t>
      </w:r>
      <w:r w:rsidRPr="004E0324">
        <w:rPr>
          <w:b/>
          <w:sz w:val="22"/>
          <w:szCs w:val="22"/>
        </w:rPr>
        <w:t xml:space="preserve">su </w:t>
      </w:r>
      <w:r>
        <w:rPr>
          <w:b/>
          <w:sz w:val="22"/>
          <w:szCs w:val="22"/>
        </w:rPr>
        <w:t>pasiūlymu</w:t>
      </w:r>
      <w:r w:rsidRPr="00E9016E">
        <w:rPr>
          <w:b/>
          <w:sz w:val="22"/>
          <w:szCs w:val="22"/>
        </w:rPr>
        <w:t xml:space="preserve"> dėl „</w:t>
      </w:r>
      <w:r>
        <w:rPr>
          <w:b/>
          <w:sz w:val="22"/>
          <w:szCs w:val="22"/>
        </w:rPr>
        <w:t>A</w:t>
      </w:r>
      <w:r w:rsidRPr="00E9016E">
        <w:rPr>
          <w:b/>
          <w:sz w:val="22"/>
          <w:szCs w:val="22"/>
        </w:rPr>
        <w:t xml:space="preserve">psaugos paslaugų </w:t>
      </w:r>
      <w:r>
        <w:rPr>
          <w:b/>
          <w:sz w:val="22"/>
          <w:szCs w:val="22"/>
        </w:rPr>
        <w:t xml:space="preserve">bendrabučiams </w:t>
      </w:r>
      <w:r w:rsidRPr="00E9016E">
        <w:rPr>
          <w:b/>
          <w:sz w:val="22"/>
          <w:szCs w:val="22"/>
        </w:rPr>
        <w:t xml:space="preserve">pirkimo“ </w:t>
      </w:r>
      <w:r w:rsidRPr="00E9016E">
        <w:rPr>
          <w:sz w:val="22"/>
          <w:szCs w:val="22"/>
        </w:rPr>
        <w:t>pateikti</w:t>
      </w:r>
      <w:r>
        <w:rPr>
          <w:sz w:val="22"/>
          <w:szCs w:val="22"/>
        </w:rPr>
        <w:t xml:space="preserve"> civilinės atsakomybės draudimo</w:t>
      </w:r>
      <w:r w:rsidRPr="00E9016E">
        <w:rPr>
          <w:sz w:val="22"/>
          <w:szCs w:val="22"/>
        </w:rPr>
        <w:t xml:space="preserve"> dokumentus, kur</w:t>
      </w:r>
      <w:r>
        <w:rPr>
          <w:sz w:val="22"/>
          <w:szCs w:val="22"/>
        </w:rPr>
        <w:t>ie</w:t>
      </w:r>
      <w:r w:rsidRPr="00E9016E">
        <w:rPr>
          <w:sz w:val="22"/>
          <w:szCs w:val="22"/>
        </w:rPr>
        <w:t xml:space="preserve"> bus vertinama nuo 0 iki 10 balų (maks. 10 balų) taip:</w:t>
      </w:r>
    </w:p>
    <w:p w14:paraId="09E442C4" w14:textId="77777777" w:rsidR="007171E8" w:rsidRPr="00E9016E" w:rsidRDefault="007171E8" w:rsidP="000B0E0C">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r w:rsidRPr="00E9016E">
        <w:rPr>
          <w:rFonts w:eastAsia="Times New Roman"/>
          <w:sz w:val="22"/>
          <w:szCs w:val="22"/>
        </w:rPr>
        <w:t>10 balai - Civilinės atsakomybės draudimo suma vienam įvykiui yra didesnė nei  2.000.001 EUR, o bendra veiklos atsakomybės suma yra didesnė nei  2.000.001 EUR;</w:t>
      </w:r>
    </w:p>
    <w:p w14:paraId="14E21CB7" w14:textId="77777777" w:rsidR="007171E8" w:rsidRPr="00E9016E" w:rsidRDefault="007171E8" w:rsidP="000B0E0C">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r w:rsidRPr="00E9016E">
        <w:rPr>
          <w:sz w:val="22"/>
          <w:szCs w:val="22"/>
        </w:rPr>
        <w:t>6 balai - Civilinės atsakomybės draudimo suma vienam įvykiui ne mažesnė kaip 1.000.001 EUR ir ne didesnė kaip 2.000.000 EUR, o bendra veiklos atsakomybės suma ne mažesnė kaip 1.000.001 EUR ir ne didesnė kaip 2.000.000 EUR;</w:t>
      </w:r>
    </w:p>
    <w:p w14:paraId="41746535" w14:textId="77777777" w:rsidR="007171E8" w:rsidRPr="00E9016E" w:rsidRDefault="007171E8" w:rsidP="000B0E0C">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r w:rsidRPr="00E9016E">
        <w:rPr>
          <w:sz w:val="22"/>
          <w:szCs w:val="22"/>
        </w:rPr>
        <w:t>3 balai - Civilinės atsakomybės draudimo suma vienam įvykiui yra ne mažesnė kaip 500.001 EUR ir ne didesnė kaip 1.000.000 EUR, o bendra veiklos atsakomybės suma ne mažesnė kaip 500.001 EUR ir ne didesnė kaip 1.000.000 EUR;</w:t>
      </w:r>
    </w:p>
    <w:p w14:paraId="295B7C18" w14:textId="77777777" w:rsidR="007171E8" w:rsidRPr="00E9016E" w:rsidRDefault="007171E8" w:rsidP="000B0E0C">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r w:rsidRPr="00E9016E">
        <w:rPr>
          <w:sz w:val="22"/>
          <w:szCs w:val="22"/>
        </w:rPr>
        <w:t xml:space="preserve">0 balų - Civilinės atsakomybės draudimo suma vienam įvykiui yra </w:t>
      </w:r>
      <w:r>
        <w:rPr>
          <w:sz w:val="22"/>
          <w:szCs w:val="22"/>
        </w:rPr>
        <w:t xml:space="preserve">iki </w:t>
      </w:r>
      <w:r w:rsidRPr="00E9016E">
        <w:rPr>
          <w:sz w:val="22"/>
          <w:szCs w:val="22"/>
        </w:rPr>
        <w:t>500.000 EUR, o bendra veiklos atsakomybės suma 500.000 EUR.</w:t>
      </w:r>
    </w:p>
    <w:p w14:paraId="35B47664" w14:textId="77777777" w:rsidR="007171E8" w:rsidRPr="00E9016E" w:rsidRDefault="007171E8" w:rsidP="000B0E0C">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r w:rsidRPr="00E9016E">
        <w:rPr>
          <w:rFonts w:eastAsia="Times New Roman"/>
          <w:sz w:val="22"/>
          <w:szCs w:val="22"/>
        </w:rPr>
        <w:t xml:space="preserve">Tuo atveju, jei pasiūlymo vertinimo metu Tiekėjo pasiūlymas už šį vertinimo kriterijų gaus papildomų balų, Pirkimo laimėjimo atveju Tiekėjas įsipareigos visą Pirkimo sutarties laikotarpį užtikrinti, kad </w:t>
      </w:r>
      <w:r w:rsidRPr="00E9016E">
        <w:rPr>
          <w:sz w:val="22"/>
          <w:szCs w:val="22"/>
        </w:rPr>
        <w:t>civilinės atsakomybės draudimas atitiktų nurodytą draudimo sumą vienam įvykiui ir bendrai veiklos atsakomybei</w:t>
      </w:r>
      <w:r w:rsidRPr="00E9016E">
        <w:rPr>
          <w:rFonts w:eastAsia="Times New Roman"/>
          <w:sz w:val="22"/>
          <w:szCs w:val="22"/>
        </w:rPr>
        <w:t>. Sutartyje bus numatyta teisė Perkančiajai organizacijai tikrinti šių įsipareigojimų vykdymą ir yra nustatytos sankcijos už Tiekėjo prisiimtų įsipareigojimų nesilaikymą.</w:t>
      </w:r>
    </w:p>
    <w:p w14:paraId="672EB3B7" w14:textId="77777777" w:rsidR="007171E8" w:rsidRPr="00E9016E" w:rsidRDefault="007171E8" w:rsidP="000B0E0C">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r w:rsidRPr="00E9016E">
        <w:rPr>
          <w:b/>
          <w:bCs/>
          <w:sz w:val="22"/>
          <w:szCs w:val="22"/>
        </w:rPr>
        <w:t xml:space="preserve">Atlyginimo vertinimo kriterijaus (G) </w:t>
      </w:r>
      <w:r>
        <w:rPr>
          <w:b/>
          <w:bCs/>
          <w:sz w:val="22"/>
          <w:szCs w:val="22"/>
        </w:rPr>
        <w:t xml:space="preserve">parametrų </w:t>
      </w:r>
      <w:r w:rsidRPr="00E9016E">
        <w:rPr>
          <w:b/>
          <w:bCs/>
          <w:sz w:val="22"/>
          <w:szCs w:val="22"/>
        </w:rPr>
        <w:t>paaiškinimai</w:t>
      </w:r>
      <w:r w:rsidRPr="00E9016E">
        <w:rPr>
          <w:sz w:val="22"/>
          <w:szCs w:val="22"/>
        </w:rPr>
        <w:t xml:space="preserve">. </w:t>
      </w:r>
      <w:r w:rsidRPr="00E9016E">
        <w:rPr>
          <w:b/>
          <w:sz w:val="22"/>
          <w:szCs w:val="22"/>
        </w:rPr>
        <w:t>Pasiūlym</w:t>
      </w:r>
      <w:r>
        <w:rPr>
          <w:b/>
          <w:sz w:val="22"/>
          <w:szCs w:val="22"/>
        </w:rPr>
        <w:t>e</w:t>
      </w:r>
      <w:r w:rsidRPr="00E9016E">
        <w:rPr>
          <w:b/>
          <w:sz w:val="22"/>
          <w:szCs w:val="22"/>
        </w:rPr>
        <w:t xml:space="preserve"> dėl „</w:t>
      </w:r>
      <w:r>
        <w:rPr>
          <w:b/>
          <w:sz w:val="22"/>
          <w:szCs w:val="22"/>
        </w:rPr>
        <w:t>A</w:t>
      </w:r>
      <w:r w:rsidRPr="00E9016E">
        <w:rPr>
          <w:b/>
          <w:sz w:val="22"/>
          <w:szCs w:val="22"/>
        </w:rPr>
        <w:t xml:space="preserve">psaugos paslaugų </w:t>
      </w:r>
      <w:r>
        <w:rPr>
          <w:b/>
          <w:sz w:val="22"/>
          <w:szCs w:val="22"/>
        </w:rPr>
        <w:t xml:space="preserve">bendrabučiams </w:t>
      </w:r>
      <w:r w:rsidRPr="00E9016E">
        <w:rPr>
          <w:b/>
          <w:sz w:val="22"/>
          <w:szCs w:val="22"/>
        </w:rPr>
        <w:t xml:space="preserve">pirkimo“ </w:t>
      </w:r>
      <w:r w:rsidRPr="00E9016E">
        <w:rPr>
          <w:sz w:val="22"/>
          <w:szCs w:val="22"/>
        </w:rPr>
        <w:t xml:space="preserve"> </w:t>
      </w:r>
      <w:r>
        <w:rPr>
          <w:sz w:val="22"/>
          <w:szCs w:val="22"/>
        </w:rPr>
        <w:t xml:space="preserve">Tiekėjas pateikia </w:t>
      </w:r>
      <w:r w:rsidRPr="00E9016E">
        <w:rPr>
          <w:sz w:val="22"/>
          <w:szCs w:val="22"/>
        </w:rPr>
        <w:t xml:space="preserve">informaciją </w:t>
      </w:r>
      <w:r w:rsidRPr="00E9016E">
        <w:rPr>
          <w:rFonts w:eastAsia="Times New Roman"/>
          <w:sz w:val="22"/>
          <w:szCs w:val="22"/>
        </w:rPr>
        <w:t xml:space="preserve"> </w:t>
      </w:r>
      <w:r>
        <w:rPr>
          <w:rFonts w:eastAsia="Times New Roman"/>
          <w:sz w:val="22"/>
          <w:szCs w:val="22"/>
        </w:rPr>
        <w:t>apie</w:t>
      </w:r>
      <w:r w:rsidRPr="00E9016E">
        <w:rPr>
          <w:rFonts w:eastAsia="Times New Roman"/>
          <w:sz w:val="22"/>
          <w:szCs w:val="22"/>
        </w:rPr>
        <w:t xml:space="preserve"> mažiausi</w:t>
      </w:r>
      <w:r>
        <w:rPr>
          <w:rFonts w:eastAsia="Times New Roman"/>
          <w:sz w:val="22"/>
          <w:szCs w:val="22"/>
        </w:rPr>
        <w:t>ą</w:t>
      </w:r>
      <w:r w:rsidRPr="00E9016E">
        <w:rPr>
          <w:rFonts w:eastAsia="Times New Roman"/>
          <w:sz w:val="22"/>
          <w:szCs w:val="22"/>
        </w:rPr>
        <w:t xml:space="preserve"> valandin</w:t>
      </w:r>
      <w:r>
        <w:rPr>
          <w:rFonts w:eastAsia="Times New Roman"/>
          <w:sz w:val="22"/>
          <w:szCs w:val="22"/>
        </w:rPr>
        <w:t>į darbo užmokestį,</w:t>
      </w:r>
      <w:r>
        <w:rPr>
          <w:sz w:val="22"/>
          <w:szCs w:val="22"/>
        </w:rPr>
        <w:t xml:space="preserve"> kuris bus mokamas</w:t>
      </w:r>
      <w:r w:rsidRPr="00E9016E">
        <w:rPr>
          <w:sz w:val="22"/>
          <w:szCs w:val="22"/>
        </w:rPr>
        <w:t xml:space="preserve"> pirkimo sutartį vykdysiantiems apsaugos darbuotojams (neįtraukiant vadybos, priežiūros ir kontrolės paslaugas teiksiančių darbuotojų atlyginimų, įtraukiant tik tiesiogiai fizinę apsaugą ir reagavimą vykdysiančius apsaugos darbuotojų valandinį darbo užmokestį) viso sutarties galiojimo termino metu. Bus vertinama kokiu dydžiu, procentais, Tiekėjo siūlomas minimalus valandinis darbo užmokestis pirkimo sutartį vykdysiantiems apsaugos darbuotojams viršija Lietuvos Respublikos Vyriausybės, vadovaujantis Lietuvos Respublikos darbo kodekso 141 straipsnio 3 dalimi, patvirtintą minimalų valandinį darbo užmokestį (toliau – MVDU), kuri bus vertinama nuo 0 iki 15 balų (maks. 15 balų) taip:</w:t>
      </w:r>
    </w:p>
    <w:p w14:paraId="05B16813" w14:textId="77777777" w:rsidR="007171E8" w:rsidRPr="00E9016E" w:rsidRDefault="007171E8" w:rsidP="000B0E0C">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r w:rsidRPr="00E9016E">
        <w:rPr>
          <w:sz w:val="22"/>
          <w:szCs w:val="22"/>
        </w:rPr>
        <w:t xml:space="preserve">15 balų – Pirkimo sutartį vykdysiančių apsaugos darbuotojų minimalus valandinis darbo užmokestis yra 91 proc. ir daugiau didesnis nei MVDU; </w:t>
      </w:r>
    </w:p>
    <w:p w14:paraId="01F2464C" w14:textId="77777777" w:rsidR="007171E8" w:rsidRPr="00E9016E" w:rsidRDefault="007171E8" w:rsidP="000B0E0C">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r w:rsidRPr="00E9016E">
        <w:rPr>
          <w:sz w:val="22"/>
          <w:szCs w:val="22"/>
        </w:rPr>
        <w:t>12 balų – Pirkimo sutartį vykdysiančių apsaugos darbuotojų minimalus valandinis darbo užmokestis yra didesnis iki 61 proc., bet ne didesnis kaip 90 proc. nei MVDU;</w:t>
      </w:r>
    </w:p>
    <w:p w14:paraId="467F7739" w14:textId="77777777" w:rsidR="007171E8" w:rsidRPr="00E9016E" w:rsidRDefault="007171E8" w:rsidP="000B0E0C">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r w:rsidRPr="00E9016E">
        <w:rPr>
          <w:sz w:val="22"/>
          <w:szCs w:val="22"/>
        </w:rPr>
        <w:t xml:space="preserve">9 balai – Pirkimo sutartį vykdysiančių apsaugos darbuotojų minimalus valandinis darbo užmokestis yra didesnis iki 31 proc., bet ne didesnis kaip 60 proc. nei MVDU; </w:t>
      </w:r>
    </w:p>
    <w:p w14:paraId="230DA698" w14:textId="77777777" w:rsidR="007171E8" w:rsidRPr="00E9016E" w:rsidRDefault="007171E8" w:rsidP="000B0E0C">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r w:rsidRPr="00E9016E">
        <w:rPr>
          <w:sz w:val="22"/>
          <w:szCs w:val="22"/>
        </w:rPr>
        <w:t>6 balai – Pirkimo sutartį vykdysiančių apsaugos darbuotojų minimalus valandinis darbo užmokestis yra didesnis iki 11 proc., bet ne didesnis kaip 30 proc. nei MVDU;</w:t>
      </w:r>
    </w:p>
    <w:p w14:paraId="5DBCDA60" w14:textId="77777777" w:rsidR="007171E8" w:rsidRPr="00E9016E" w:rsidRDefault="007171E8" w:rsidP="000B0E0C">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r w:rsidRPr="00E9016E">
        <w:rPr>
          <w:sz w:val="22"/>
          <w:szCs w:val="22"/>
        </w:rPr>
        <w:t>3 balai – Pirkimo sutartį vykdysiančių apsaugos darbuotojų minimalus valandinis darbo užmokestis yra didesnis iki 10 proc. nei MVDU;</w:t>
      </w:r>
    </w:p>
    <w:p w14:paraId="311287D1" w14:textId="77777777" w:rsidR="007171E8" w:rsidRPr="00E9016E" w:rsidRDefault="007171E8" w:rsidP="000B0E0C">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0" w:firstLine="851"/>
        <w:jc w:val="both"/>
        <w:rPr>
          <w:rFonts w:eastAsia="Times New Roman"/>
          <w:sz w:val="22"/>
          <w:szCs w:val="22"/>
        </w:rPr>
      </w:pPr>
      <w:r w:rsidRPr="00E9016E">
        <w:rPr>
          <w:sz w:val="22"/>
          <w:szCs w:val="22"/>
        </w:rPr>
        <w:t>0 balų – Pirkimo sutartį vykdysiančių apsaugos darbuotojų minimalus valandinis darbo užmokestis ne didesnis  nei MVDU.</w:t>
      </w:r>
    </w:p>
    <w:p w14:paraId="2EF128D4" w14:textId="77777777" w:rsidR="007171E8" w:rsidRPr="00E9016E" w:rsidRDefault="007171E8" w:rsidP="000B0E0C">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851"/>
        <w:jc w:val="both"/>
        <w:rPr>
          <w:rFonts w:eastAsia="Times New Roman"/>
          <w:sz w:val="22"/>
          <w:szCs w:val="22"/>
        </w:rPr>
      </w:pPr>
      <w:r w:rsidRPr="00E9016E">
        <w:rPr>
          <w:rFonts w:eastAsia="Times New Roman"/>
          <w:sz w:val="22"/>
          <w:szCs w:val="22"/>
        </w:rPr>
        <w:t xml:space="preserve">Tuo atveju, jei pasiūlymo vertinimo metu Tiekėjo pasiūlymas už šį vertinimo kriterijų gaus papildomų balų, Pirkimo laimėjimo atveju Tiekėjas įsipareigos visą Pirkimo sutarties laikotarpį užtikrinti, kad kiekvieno Pirkimo sutartį vykdysiančio darbuotojo, įskaitant ūkio subjektų, kurių pajėgumais tiekėjas remiasi, darbuotojus, valandinio darbo užmokesčio dydis Pasiūlyme nurodytu dydžiu viršys minimalų valandinį darbo </w:t>
      </w:r>
      <w:r w:rsidRPr="00E9016E">
        <w:rPr>
          <w:rFonts w:eastAsia="Times New Roman"/>
          <w:sz w:val="22"/>
          <w:szCs w:val="22"/>
        </w:rPr>
        <w:lastRenderedPageBreak/>
        <w:t>užmokestį. Sutartyje bus numatyta teisė Perkančiajai organizacijai tikrinti šių įsipareigojimų vykdymą ir yra nustatytos sankcijos už Tiekėjo prisiimtų įsipareigojimų nesilaikymą.</w:t>
      </w:r>
    </w:p>
    <w:p w14:paraId="74B826ED" w14:textId="77777777" w:rsidR="007171E8" w:rsidRPr="00E9016E" w:rsidRDefault="007171E8" w:rsidP="007171E8">
      <w:pPr>
        <w:suppressAutoHyphens/>
        <w:jc w:val="both"/>
        <w:rPr>
          <w:sz w:val="22"/>
          <w:szCs w:val="22"/>
        </w:rPr>
      </w:pPr>
    </w:p>
    <w:p w14:paraId="57BA511A" w14:textId="77777777" w:rsidR="007171E8" w:rsidRPr="005B56A9" w:rsidRDefault="007171E8" w:rsidP="000B0E0C">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eastAsia="Times New Roman"/>
          <w:b/>
          <w:bCs/>
          <w:sz w:val="22"/>
          <w:szCs w:val="22"/>
        </w:rPr>
      </w:pPr>
      <w:r w:rsidRPr="00E9016E">
        <w:rPr>
          <w:rFonts w:eastAsia="Times New Roman"/>
          <w:sz w:val="22"/>
          <w:szCs w:val="22"/>
        </w:rPr>
        <w:t xml:space="preserve"> </w:t>
      </w:r>
      <w:r w:rsidRPr="005B56A9">
        <w:rPr>
          <w:rFonts w:eastAsia="Times New Roman"/>
          <w:b/>
          <w:bCs/>
          <w:sz w:val="22"/>
          <w:szCs w:val="22"/>
        </w:rPr>
        <w:t>Ekonominis naudingumas (S) apskaičiuojamas sudedant Teikėjo pasiūlymo kainos C, D, E, F, G kriterijų balus:</w:t>
      </w:r>
    </w:p>
    <w:p w14:paraId="21C627CA" w14:textId="77777777" w:rsidR="007171E8" w:rsidRPr="005B56A9" w:rsidRDefault="007171E8" w:rsidP="007171E8">
      <w:pPr>
        <w:pStyle w:val="ListParagraph"/>
        <w:suppressAutoHyphens/>
        <w:ind w:left="0" w:firstLine="720"/>
        <w:jc w:val="center"/>
        <w:rPr>
          <w:rFonts w:eastAsia="Times New Roman"/>
          <w:sz w:val="22"/>
          <w:szCs w:val="22"/>
        </w:rPr>
      </w:pPr>
      <w:r w:rsidRPr="005B56A9">
        <w:rPr>
          <w:rFonts w:eastAsia="Times New Roman"/>
          <w:sz w:val="22"/>
          <w:szCs w:val="22"/>
        </w:rPr>
        <w:t xml:space="preserve">S = C + D + E + F +G       </w:t>
      </w:r>
    </w:p>
    <w:p w14:paraId="49F145F3" w14:textId="77777777" w:rsidR="007171E8" w:rsidRPr="005B56A9" w:rsidRDefault="007171E8" w:rsidP="007171E8">
      <w:pPr>
        <w:pStyle w:val="ListParagraph"/>
        <w:suppressAutoHyphens/>
        <w:ind w:left="0" w:firstLine="720"/>
        <w:jc w:val="both"/>
        <w:rPr>
          <w:rFonts w:eastAsia="Times New Roman"/>
          <w:sz w:val="22"/>
          <w:szCs w:val="22"/>
        </w:rPr>
      </w:pPr>
    </w:p>
    <w:p w14:paraId="481565C0" w14:textId="77777777" w:rsidR="007171E8" w:rsidRPr="005B56A9" w:rsidRDefault="007171E8" w:rsidP="000B0E0C">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2"/>
          <w:szCs w:val="22"/>
        </w:rPr>
      </w:pPr>
      <w:r w:rsidRPr="005B56A9">
        <w:rPr>
          <w:sz w:val="22"/>
          <w:szCs w:val="22"/>
        </w:rPr>
        <w:t xml:space="preserve">  Pasiūlymo kainos (C) balai apskaičiuojami mažiausios pasiūlytos kainos (Cmin) ir vertinamo pasiūlymo kainos (Cp) santykį padauginant iš kainos lyginamojo svorio (X):</w:t>
      </w:r>
    </w:p>
    <w:p w14:paraId="77ED54DB" w14:textId="77777777" w:rsidR="007171E8" w:rsidRPr="005B56A9" w:rsidRDefault="007171E8" w:rsidP="007171E8">
      <w:pPr>
        <w:suppressAutoHyphens/>
        <w:rPr>
          <w:sz w:val="22"/>
          <w:szCs w:val="22"/>
        </w:rPr>
      </w:pPr>
      <w:r>
        <w:rPr>
          <w:noProof/>
          <w:sz w:val="22"/>
          <w:szCs w:val="22"/>
        </w:rPr>
        <w:object w:dxaOrig="1440" w:dyaOrig="1440" w14:anchorId="5970FA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239.6pt;margin-top:9.15pt;width:65.65pt;height:36.3pt;z-index:251659264;mso-wrap-edited:f;mso-width-percent:0;mso-height-percent:0;mso-position-horizontal-relative:text;mso-position-vertical-relative:text;mso-width-percent:0;mso-height-percent:0" fillcolor="window">
            <v:imagedata r:id="rId5" o:title=""/>
            <w10:wrap type="square" side="right"/>
          </v:shape>
          <o:OLEObject Type="Embed" ProgID="Equation.3" ShapeID="_x0000_s1026" DrawAspect="Content" ObjectID="_1811675714" r:id="rId6"/>
        </w:object>
      </w:r>
      <w:r w:rsidRPr="005B56A9">
        <w:rPr>
          <w:bCs/>
          <w:color w:val="000000"/>
          <w:sz w:val="22"/>
          <w:szCs w:val="22"/>
        </w:rPr>
        <w:t xml:space="preserve">       </w:t>
      </w:r>
      <w:r w:rsidRPr="005B56A9">
        <w:rPr>
          <w:sz w:val="22"/>
          <w:szCs w:val="22"/>
        </w:rPr>
        <w:br w:type="textWrapping" w:clear="all"/>
      </w:r>
    </w:p>
    <w:p w14:paraId="66DD5B27" w14:textId="77777777" w:rsidR="007171E8" w:rsidRPr="005B56A9" w:rsidRDefault="007171E8" w:rsidP="007171E8">
      <w:pPr>
        <w:pStyle w:val="ListParagraph"/>
        <w:suppressAutoHyphens/>
        <w:ind w:left="0" w:firstLine="720"/>
        <w:jc w:val="both"/>
        <w:rPr>
          <w:rFonts w:eastAsia="Times New Roman"/>
          <w:sz w:val="22"/>
          <w:szCs w:val="22"/>
        </w:rPr>
      </w:pPr>
      <w:r w:rsidRPr="005B56A9">
        <w:rPr>
          <w:rFonts w:eastAsia="Times New Roman"/>
          <w:sz w:val="22"/>
          <w:szCs w:val="22"/>
        </w:rPr>
        <w:t>Kur X = 60 (kainos lyginamasis svoris)</w:t>
      </w:r>
    </w:p>
    <w:p w14:paraId="54FEE246" w14:textId="77777777" w:rsidR="007171E8" w:rsidRPr="005B56A9" w:rsidRDefault="007171E8" w:rsidP="007171E8">
      <w:pPr>
        <w:pStyle w:val="ListParagraph"/>
        <w:suppressAutoHyphens/>
        <w:ind w:left="0" w:firstLine="720"/>
        <w:jc w:val="both"/>
        <w:rPr>
          <w:rFonts w:eastAsia="Times New Roman"/>
          <w:sz w:val="22"/>
          <w:szCs w:val="22"/>
        </w:rPr>
      </w:pPr>
    </w:p>
    <w:p w14:paraId="513B81FA" w14:textId="77777777" w:rsidR="007171E8" w:rsidRPr="005B56A9" w:rsidRDefault="007171E8" w:rsidP="000B0E0C">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eastAsia="Times New Roman"/>
          <w:sz w:val="22"/>
          <w:szCs w:val="22"/>
        </w:rPr>
      </w:pPr>
      <w:r w:rsidRPr="005B56A9">
        <w:rPr>
          <w:rFonts w:eastAsia="Times New Roman"/>
          <w:sz w:val="22"/>
          <w:szCs w:val="22"/>
        </w:rPr>
        <w:t>Greito reagavimo ekipažų skaičiaus</w:t>
      </w:r>
      <w:r w:rsidRPr="005B56A9">
        <w:rPr>
          <w:rFonts w:eastAsia="Times New Roman"/>
          <w:b/>
          <w:bCs/>
          <w:sz w:val="22"/>
          <w:szCs w:val="22"/>
        </w:rPr>
        <w:t xml:space="preserve"> </w:t>
      </w:r>
      <w:r w:rsidRPr="005B56A9">
        <w:rPr>
          <w:rFonts w:eastAsia="Times New Roman"/>
          <w:sz w:val="22"/>
          <w:szCs w:val="22"/>
        </w:rPr>
        <w:t xml:space="preserve">kriterijaus D balas apskaičiuojamas </w:t>
      </w:r>
      <w:r w:rsidRPr="005B56A9">
        <w:rPr>
          <w:sz w:val="22"/>
          <w:szCs w:val="22"/>
        </w:rPr>
        <w:t>parametro reikšmę (Rp) palyginant su maksimalia galima kriterijaus reikšme (Rmax) ir padauginant iš vertinamo kriterijaus lyginamojo svorio (Y) pagal šią formulę:</w:t>
      </w:r>
    </w:p>
    <w:p w14:paraId="72F638E5" w14:textId="77777777" w:rsidR="007171E8" w:rsidRPr="005B56A9" w:rsidRDefault="007171E8" w:rsidP="007171E8">
      <w:pPr>
        <w:pStyle w:val="ListParagraph"/>
        <w:suppressAutoHyphens/>
        <w:ind w:left="0" w:firstLine="567"/>
        <w:jc w:val="both"/>
        <w:rPr>
          <w:rFonts w:eastAsia="Times New Roman"/>
          <w:sz w:val="22"/>
          <w:szCs w:val="22"/>
        </w:rPr>
      </w:pPr>
    </w:p>
    <w:p w14:paraId="6AF1AAAA" w14:textId="77777777" w:rsidR="007171E8" w:rsidRPr="005B56A9" w:rsidRDefault="007171E8" w:rsidP="007171E8">
      <w:pPr>
        <w:pStyle w:val="ListParagraph"/>
        <w:suppressAutoHyphens/>
        <w:ind w:left="1276" w:firstLine="567"/>
        <w:jc w:val="both"/>
        <w:rPr>
          <w:rFonts w:eastAsia="Times New Roman"/>
          <w:bCs/>
          <w:color w:val="000000"/>
          <w:sz w:val="22"/>
          <w:szCs w:val="22"/>
        </w:rPr>
      </w:pPr>
      <w:r w:rsidRPr="005B56A9">
        <w:rPr>
          <w:rFonts w:eastAsia="Times New Roman"/>
          <w:bCs/>
          <w:sz w:val="22"/>
          <w:szCs w:val="22"/>
        </w:rPr>
        <w:t xml:space="preserve">                                                  </w:t>
      </w:r>
      <m:oMath>
        <m:r>
          <m:rPr>
            <m:nor/>
          </m:rPr>
          <w:rPr>
            <w:rFonts w:eastAsia="Times New Roman"/>
            <w:bCs/>
            <w:sz w:val="22"/>
            <w:szCs w:val="22"/>
          </w:rPr>
          <m:t>D</m:t>
        </m:r>
        <m:r>
          <w:rPr>
            <w:rFonts w:ascii="Cambria Math" w:eastAsia="Times New Roman" w:hAnsi="Cambria Math"/>
            <w:sz w:val="22"/>
            <w:szCs w:val="22"/>
          </w:rPr>
          <m:t>=</m:t>
        </m:r>
        <m:f>
          <m:fPr>
            <m:ctrlPr>
              <w:rPr>
                <w:rFonts w:ascii="Cambria Math" w:eastAsia="Times New Roman" w:hAnsi="Cambria Math"/>
                <w:i/>
                <w:sz w:val="22"/>
                <w:szCs w:val="22"/>
              </w:rPr>
            </m:ctrlPr>
          </m:fPr>
          <m:num>
            <m:r>
              <w:rPr>
                <w:rFonts w:ascii="Cambria Math" w:eastAsia="Times New Roman" w:hAnsi="Cambria Math"/>
                <w:sz w:val="22"/>
                <w:szCs w:val="22"/>
              </w:rPr>
              <m:t>Rp</m:t>
            </m:r>
          </m:num>
          <m:den>
            <m:r>
              <w:rPr>
                <w:rFonts w:ascii="Cambria Math" w:eastAsia="Times New Roman" w:hAnsi="Cambria Math"/>
                <w:sz w:val="22"/>
                <w:szCs w:val="22"/>
              </w:rPr>
              <m:t>Rmax</m:t>
            </m:r>
          </m:den>
        </m:f>
        <m:r>
          <m:rPr>
            <m:nor/>
          </m:rPr>
          <w:rPr>
            <w:rFonts w:eastAsia="Times New Roman"/>
            <w:bCs/>
            <w:sz w:val="22"/>
            <w:szCs w:val="22"/>
          </w:rPr>
          <m:t>·Y</m:t>
        </m:r>
      </m:oMath>
      <w:r w:rsidRPr="005B56A9">
        <w:rPr>
          <w:rFonts w:eastAsia="Times New Roman"/>
          <w:bCs/>
          <w:sz w:val="22"/>
          <w:szCs w:val="22"/>
        </w:rPr>
        <w:t xml:space="preserve">          </w:t>
      </w:r>
    </w:p>
    <w:p w14:paraId="542D372A" w14:textId="77777777" w:rsidR="007171E8" w:rsidRPr="005B56A9" w:rsidRDefault="007171E8" w:rsidP="007171E8">
      <w:pPr>
        <w:pStyle w:val="ListParagraph"/>
        <w:suppressAutoHyphens/>
        <w:ind w:left="1276" w:firstLine="567"/>
        <w:jc w:val="both"/>
        <w:rPr>
          <w:rFonts w:eastAsia="Times New Roman"/>
          <w:sz w:val="22"/>
          <w:szCs w:val="22"/>
        </w:rPr>
      </w:pPr>
    </w:p>
    <w:p w14:paraId="65AA2664" w14:textId="77777777" w:rsidR="007171E8" w:rsidRPr="005B56A9" w:rsidRDefault="007171E8" w:rsidP="007171E8">
      <w:pPr>
        <w:pStyle w:val="ListParagraph"/>
        <w:suppressAutoHyphens/>
        <w:ind w:left="709"/>
        <w:jc w:val="both"/>
        <w:rPr>
          <w:rFonts w:eastAsia="Times New Roman"/>
          <w:sz w:val="22"/>
          <w:szCs w:val="22"/>
        </w:rPr>
      </w:pPr>
      <w:r w:rsidRPr="005B56A9">
        <w:rPr>
          <w:rFonts w:eastAsia="Times New Roman"/>
          <w:sz w:val="22"/>
          <w:szCs w:val="22"/>
        </w:rPr>
        <w:t>Kur Y = 10 (efektyvumo kriterijaus lyginamasis svoris);</w:t>
      </w:r>
    </w:p>
    <w:p w14:paraId="4B8FA5E4" w14:textId="77777777" w:rsidR="007171E8" w:rsidRPr="005B56A9" w:rsidRDefault="007171E8" w:rsidP="007171E8">
      <w:pPr>
        <w:suppressAutoHyphens/>
        <w:jc w:val="both"/>
        <w:rPr>
          <w:sz w:val="22"/>
          <w:szCs w:val="22"/>
        </w:rPr>
      </w:pPr>
    </w:p>
    <w:p w14:paraId="60DBF451" w14:textId="77777777" w:rsidR="007171E8" w:rsidRPr="005B56A9" w:rsidRDefault="007171E8" w:rsidP="007171E8">
      <w:pPr>
        <w:pStyle w:val="ListParagraph"/>
        <w:suppressAutoHyphens/>
        <w:ind w:left="0" w:firstLine="567"/>
        <w:jc w:val="both"/>
        <w:rPr>
          <w:rFonts w:eastAsia="Times New Roman"/>
          <w:sz w:val="22"/>
          <w:szCs w:val="22"/>
        </w:rPr>
      </w:pPr>
    </w:p>
    <w:p w14:paraId="7138B51E" w14:textId="77777777" w:rsidR="007171E8" w:rsidRPr="005B56A9" w:rsidRDefault="007171E8" w:rsidP="000B0E0C">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709"/>
        <w:jc w:val="both"/>
        <w:rPr>
          <w:sz w:val="22"/>
          <w:szCs w:val="22"/>
        </w:rPr>
      </w:pPr>
      <w:r w:rsidRPr="005B56A9">
        <w:rPr>
          <w:sz w:val="22"/>
          <w:szCs w:val="22"/>
        </w:rPr>
        <w:t>Paslaugų kokybės kriterijaus E balas apskaičiuojamas parametro reikšmę (Rp) palyginant su geriausia pasiūlymuose nurodyta to paties parametro reikšme (Rmax)  ir padauginant iš vertinamo kriterijaus lyginamojo svorio (F) pagal šią formulę:</w:t>
      </w:r>
    </w:p>
    <w:p w14:paraId="27893D1B" w14:textId="77777777" w:rsidR="007171E8" w:rsidRPr="005B56A9" w:rsidRDefault="007171E8" w:rsidP="007171E8">
      <w:pPr>
        <w:pStyle w:val="ListParagraph"/>
        <w:tabs>
          <w:tab w:val="left" w:pos="851"/>
        </w:tabs>
        <w:ind w:left="709"/>
        <w:jc w:val="both"/>
        <w:rPr>
          <w:rFonts w:eastAsia="Times New Roman"/>
          <w:bCs/>
          <w:sz w:val="22"/>
          <w:szCs w:val="22"/>
        </w:rPr>
      </w:pPr>
      <w:r w:rsidRPr="005B56A9">
        <w:rPr>
          <w:rFonts w:eastAsia="Times New Roman"/>
          <w:bCs/>
          <w:sz w:val="22"/>
          <w:szCs w:val="22"/>
        </w:rPr>
        <w:t xml:space="preserve">                                    </w:t>
      </w:r>
    </w:p>
    <w:p w14:paraId="56F9FC5D" w14:textId="77777777" w:rsidR="007171E8" w:rsidRPr="005B56A9" w:rsidRDefault="007171E8" w:rsidP="007171E8">
      <w:pPr>
        <w:pStyle w:val="ListParagraph"/>
        <w:tabs>
          <w:tab w:val="left" w:pos="851"/>
        </w:tabs>
        <w:ind w:left="709"/>
        <w:jc w:val="both"/>
        <w:rPr>
          <w:sz w:val="22"/>
          <w:szCs w:val="22"/>
        </w:rPr>
      </w:pPr>
      <w:r w:rsidRPr="005B56A9">
        <w:rPr>
          <w:rFonts w:eastAsia="Times New Roman"/>
          <w:bCs/>
          <w:sz w:val="22"/>
          <w:szCs w:val="22"/>
        </w:rPr>
        <w:tab/>
      </w:r>
      <w:r w:rsidRPr="005B56A9">
        <w:rPr>
          <w:rFonts w:eastAsia="Times New Roman"/>
          <w:bCs/>
          <w:sz w:val="22"/>
          <w:szCs w:val="22"/>
        </w:rPr>
        <w:tab/>
      </w:r>
      <w:r w:rsidRPr="005B56A9">
        <w:rPr>
          <w:rFonts w:eastAsia="Times New Roman"/>
          <w:bCs/>
          <w:sz w:val="22"/>
          <w:szCs w:val="22"/>
        </w:rPr>
        <w:tab/>
      </w:r>
      <w:r w:rsidRPr="005B56A9">
        <w:rPr>
          <w:rFonts w:eastAsia="Times New Roman"/>
          <w:bCs/>
          <w:sz w:val="22"/>
          <w:szCs w:val="22"/>
        </w:rPr>
        <w:tab/>
      </w:r>
      <w:r w:rsidRPr="005B56A9">
        <w:rPr>
          <w:rFonts w:eastAsia="Times New Roman"/>
          <w:bCs/>
          <w:sz w:val="22"/>
          <w:szCs w:val="22"/>
        </w:rPr>
        <w:tab/>
      </w:r>
      <w:r w:rsidRPr="005B56A9">
        <w:rPr>
          <w:rFonts w:eastAsia="Times New Roman"/>
          <w:bCs/>
          <w:sz w:val="22"/>
          <w:szCs w:val="22"/>
        </w:rPr>
        <w:tab/>
      </w:r>
      <w:r w:rsidRPr="005B56A9">
        <w:rPr>
          <w:rFonts w:eastAsia="Times New Roman"/>
          <w:bCs/>
          <w:sz w:val="22"/>
          <w:szCs w:val="22"/>
        </w:rPr>
        <w:tab/>
      </w:r>
      <w:r w:rsidRPr="005B56A9">
        <w:rPr>
          <w:rFonts w:eastAsia="Times New Roman"/>
          <w:bCs/>
          <w:sz w:val="22"/>
          <w:szCs w:val="22"/>
        </w:rPr>
        <w:tab/>
      </w:r>
      <w:r w:rsidRPr="005B56A9">
        <w:rPr>
          <w:rFonts w:eastAsia="Times New Roman"/>
          <w:bCs/>
          <w:sz w:val="22"/>
          <w:szCs w:val="22"/>
        </w:rPr>
        <w:tab/>
      </w:r>
      <w:r w:rsidRPr="005B56A9">
        <w:rPr>
          <w:rFonts w:eastAsia="Times New Roman"/>
          <w:bCs/>
          <w:sz w:val="22"/>
          <w:szCs w:val="22"/>
        </w:rPr>
        <w:tab/>
      </w:r>
      <w:r w:rsidRPr="005B56A9">
        <w:rPr>
          <w:rFonts w:eastAsia="Times New Roman"/>
          <w:bCs/>
          <w:sz w:val="22"/>
          <w:szCs w:val="22"/>
        </w:rPr>
        <w:tab/>
      </w:r>
      <w:r w:rsidRPr="005B56A9">
        <w:rPr>
          <w:rFonts w:eastAsia="Times New Roman"/>
          <w:bCs/>
          <w:sz w:val="22"/>
          <w:szCs w:val="22"/>
        </w:rPr>
        <w:tab/>
        <w:t xml:space="preserve">                 </w:t>
      </w:r>
      <w:r w:rsidRPr="005B56A9">
        <w:rPr>
          <w:rFonts w:eastAsia="Times New Roman"/>
          <w:bCs/>
          <w:sz w:val="22"/>
          <w:szCs w:val="22"/>
        </w:rPr>
        <w:tab/>
        <w:t>E</w:t>
      </w:r>
      <m:oMath>
        <m:r>
          <w:rPr>
            <w:rFonts w:ascii="Cambria Math" w:eastAsia="Times New Roman" w:hAnsi="Cambria Math"/>
            <w:sz w:val="22"/>
            <w:szCs w:val="22"/>
          </w:rPr>
          <m:t>=</m:t>
        </m:r>
        <m:f>
          <m:fPr>
            <m:ctrlPr>
              <w:rPr>
                <w:rFonts w:ascii="Cambria Math" w:eastAsia="Times New Roman" w:hAnsi="Cambria Math"/>
                <w:i/>
                <w:sz w:val="22"/>
                <w:szCs w:val="22"/>
              </w:rPr>
            </m:ctrlPr>
          </m:fPr>
          <m:num>
            <m:r>
              <w:rPr>
                <w:rFonts w:ascii="Cambria Math" w:eastAsia="Times New Roman" w:hAnsi="Cambria Math"/>
                <w:sz w:val="22"/>
                <w:szCs w:val="22"/>
              </w:rPr>
              <m:t>Rp</m:t>
            </m:r>
          </m:num>
          <m:den>
            <m:r>
              <w:rPr>
                <w:rFonts w:ascii="Cambria Math" w:eastAsia="Times New Roman" w:hAnsi="Cambria Math"/>
                <w:sz w:val="22"/>
                <w:szCs w:val="22"/>
              </w:rPr>
              <m:t>Rmax</m:t>
            </m:r>
          </m:den>
        </m:f>
        <m:r>
          <m:rPr>
            <m:nor/>
          </m:rPr>
          <w:rPr>
            <w:rFonts w:eastAsia="Times New Roman"/>
            <w:bCs/>
            <w:sz w:val="22"/>
            <w:szCs w:val="22"/>
          </w:rPr>
          <m:t>·Z</m:t>
        </m:r>
      </m:oMath>
      <w:r w:rsidRPr="005B56A9">
        <w:rPr>
          <w:rFonts w:eastAsia="Times New Roman"/>
          <w:bCs/>
          <w:sz w:val="22"/>
          <w:szCs w:val="22"/>
        </w:rPr>
        <w:t xml:space="preserve">         </w:t>
      </w:r>
    </w:p>
    <w:p w14:paraId="4F536788" w14:textId="77777777" w:rsidR="007171E8" w:rsidRPr="005B56A9" w:rsidRDefault="007171E8" w:rsidP="007171E8">
      <w:pPr>
        <w:pStyle w:val="ListParagraph"/>
        <w:tabs>
          <w:tab w:val="left" w:pos="851"/>
        </w:tabs>
        <w:ind w:left="709"/>
        <w:jc w:val="both"/>
        <w:rPr>
          <w:sz w:val="22"/>
          <w:szCs w:val="22"/>
        </w:rPr>
      </w:pPr>
    </w:p>
    <w:p w14:paraId="4DB7ADE3" w14:textId="77777777" w:rsidR="007171E8" w:rsidRPr="005B56A9" w:rsidRDefault="007171E8" w:rsidP="007171E8">
      <w:pPr>
        <w:pStyle w:val="ListParagraph"/>
        <w:suppressAutoHyphens/>
        <w:ind w:left="709"/>
        <w:jc w:val="both"/>
        <w:rPr>
          <w:rFonts w:eastAsia="Times New Roman"/>
          <w:sz w:val="22"/>
          <w:szCs w:val="22"/>
        </w:rPr>
      </w:pPr>
      <w:r w:rsidRPr="005B56A9">
        <w:rPr>
          <w:rFonts w:eastAsia="Times New Roman"/>
          <w:sz w:val="22"/>
          <w:szCs w:val="22"/>
        </w:rPr>
        <w:t>Kur Z = 5 (kokybės kriterijaus lyginamasis svoris);</w:t>
      </w:r>
    </w:p>
    <w:p w14:paraId="1A96C35F" w14:textId="77777777" w:rsidR="007171E8" w:rsidRPr="005B56A9" w:rsidRDefault="007171E8" w:rsidP="007171E8">
      <w:pPr>
        <w:pStyle w:val="ListParagraph"/>
        <w:suppressAutoHyphens/>
        <w:ind w:left="709"/>
        <w:jc w:val="both"/>
        <w:rPr>
          <w:rFonts w:eastAsia="Times New Roman"/>
          <w:sz w:val="22"/>
          <w:szCs w:val="22"/>
        </w:rPr>
      </w:pPr>
    </w:p>
    <w:p w14:paraId="24D1C830" w14:textId="77777777" w:rsidR="007171E8" w:rsidRPr="005B56A9" w:rsidRDefault="007171E8" w:rsidP="007171E8">
      <w:pPr>
        <w:pStyle w:val="ListParagraph"/>
        <w:tabs>
          <w:tab w:val="left" w:pos="851"/>
        </w:tabs>
        <w:ind w:left="709"/>
        <w:jc w:val="both"/>
        <w:rPr>
          <w:sz w:val="22"/>
          <w:szCs w:val="22"/>
        </w:rPr>
      </w:pPr>
    </w:p>
    <w:p w14:paraId="1EF9A784" w14:textId="77777777" w:rsidR="007171E8" w:rsidRPr="005B56A9" w:rsidRDefault="007171E8" w:rsidP="000B0E0C">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709"/>
        <w:jc w:val="both"/>
        <w:rPr>
          <w:sz w:val="22"/>
          <w:szCs w:val="22"/>
        </w:rPr>
      </w:pPr>
      <w:r w:rsidRPr="005B56A9">
        <w:rPr>
          <w:sz w:val="22"/>
          <w:szCs w:val="22"/>
        </w:rPr>
        <w:t>Civilinės atsakomybės vertinimo kriterijaus F balas apskaičiuojamas parametro reikšmę (Rp) palyginant su geriausia pasiūlymuose nurodyta to paties parametro reikšme (Rmax) ir padauginant iš vertinamo kriterijaus lyginamojo svorio (V) pagal šią formulę:</w:t>
      </w:r>
    </w:p>
    <w:p w14:paraId="6A9C30C4" w14:textId="77777777" w:rsidR="007171E8" w:rsidRPr="005B56A9" w:rsidRDefault="007171E8" w:rsidP="007171E8">
      <w:pPr>
        <w:tabs>
          <w:tab w:val="left" w:pos="851"/>
        </w:tabs>
        <w:jc w:val="both"/>
        <w:rPr>
          <w:sz w:val="22"/>
          <w:szCs w:val="22"/>
        </w:rPr>
      </w:pPr>
    </w:p>
    <w:p w14:paraId="0507C9CA" w14:textId="77777777" w:rsidR="007171E8" w:rsidRPr="005B56A9" w:rsidRDefault="007171E8" w:rsidP="007171E8">
      <w:pPr>
        <w:pStyle w:val="ListParagraph"/>
        <w:tabs>
          <w:tab w:val="left" w:pos="851"/>
        </w:tabs>
        <w:ind w:left="709"/>
        <w:jc w:val="center"/>
        <w:rPr>
          <w:rFonts w:eastAsia="Times New Roman"/>
          <w:bCs/>
          <w:sz w:val="22"/>
          <w:szCs w:val="22"/>
        </w:rPr>
      </w:pPr>
      <w:r w:rsidRPr="005B56A9">
        <w:rPr>
          <w:sz w:val="22"/>
          <w:szCs w:val="22"/>
        </w:rPr>
        <w:t>F =</w:t>
      </w:r>
      <m:oMath>
        <m:f>
          <m:fPr>
            <m:ctrlPr>
              <w:rPr>
                <w:rFonts w:ascii="Cambria Math" w:eastAsia="Times New Roman" w:hAnsi="Cambria Math"/>
                <w:i/>
                <w:sz w:val="22"/>
                <w:szCs w:val="22"/>
              </w:rPr>
            </m:ctrlPr>
          </m:fPr>
          <m:num>
            <m:r>
              <w:rPr>
                <w:rFonts w:ascii="Cambria Math" w:eastAsia="Times New Roman" w:hAnsi="Cambria Math"/>
                <w:sz w:val="22"/>
                <w:szCs w:val="22"/>
              </w:rPr>
              <m:t>Rp</m:t>
            </m:r>
          </m:num>
          <m:den>
            <m:r>
              <w:rPr>
                <w:rFonts w:ascii="Cambria Math" w:eastAsia="Times New Roman" w:hAnsi="Cambria Math"/>
                <w:sz w:val="22"/>
                <w:szCs w:val="22"/>
              </w:rPr>
              <m:t>Rmax</m:t>
            </m:r>
          </m:den>
        </m:f>
        <m:r>
          <m:rPr>
            <m:nor/>
          </m:rPr>
          <w:rPr>
            <w:rFonts w:eastAsia="Times New Roman"/>
            <w:bCs/>
            <w:sz w:val="22"/>
            <w:szCs w:val="22"/>
          </w:rPr>
          <m:t>·V</m:t>
        </m:r>
      </m:oMath>
      <w:r w:rsidRPr="005B56A9">
        <w:rPr>
          <w:rFonts w:eastAsia="Times New Roman"/>
          <w:bCs/>
          <w:sz w:val="22"/>
          <w:szCs w:val="22"/>
        </w:rPr>
        <w:t xml:space="preserve">      </w:t>
      </w:r>
    </w:p>
    <w:p w14:paraId="16D50428" w14:textId="77777777" w:rsidR="007171E8" w:rsidRPr="005B56A9" w:rsidRDefault="007171E8" w:rsidP="007171E8">
      <w:pPr>
        <w:pStyle w:val="ListParagraph"/>
        <w:tabs>
          <w:tab w:val="left" w:pos="851"/>
        </w:tabs>
        <w:ind w:left="709"/>
        <w:jc w:val="center"/>
        <w:rPr>
          <w:rFonts w:eastAsia="Times New Roman"/>
          <w:bCs/>
          <w:sz w:val="22"/>
          <w:szCs w:val="22"/>
        </w:rPr>
      </w:pPr>
    </w:p>
    <w:p w14:paraId="050D27BC" w14:textId="77777777" w:rsidR="007171E8" w:rsidRPr="005B56A9" w:rsidRDefault="007171E8" w:rsidP="007171E8">
      <w:pPr>
        <w:pStyle w:val="ListParagraph"/>
        <w:suppressAutoHyphens/>
        <w:ind w:left="709"/>
        <w:jc w:val="both"/>
        <w:rPr>
          <w:rFonts w:eastAsia="Times New Roman"/>
          <w:sz w:val="22"/>
          <w:szCs w:val="22"/>
        </w:rPr>
      </w:pPr>
      <w:r w:rsidRPr="005B56A9">
        <w:rPr>
          <w:rFonts w:eastAsia="Times New Roman"/>
          <w:sz w:val="22"/>
          <w:szCs w:val="22"/>
        </w:rPr>
        <w:t>Kur V = 10 (civilinės atsakomybės lyginamasis svoris);</w:t>
      </w:r>
    </w:p>
    <w:p w14:paraId="64BA096C" w14:textId="77777777" w:rsidR="007171E8" w:rsidRPr="005B56A9" w:rsidRDefault="007171E8" w:rsidP="007171E8">
      <w:pPr>
        <w:tabs>
          <w:tab w:val="left" w:pos="851"/>
        </w:tabs>
        <w:rPr>
          <w:sz w:val="22"/>
          <w:szCs w:val="22"/>
        </w:rPr>
      </w:pPr>
      <w:r w:rsidRPr="005B56A9">
        <w:rPr>
          <w:bCs/>
          <w:sz w:val="22"/>
          <w:szCs w:val="22"/>
        </w:rPr>
        <w:t xml:space="preserve">    </w:t>
      </w:r>
    </w:p>
    <w:p w14:paraId="500861EE" w14:textId="77777777" w:rsidR="007171E8" w:rsidRPr="005B56A9" w:rsidRDefault="007171E8" w:rsidP="007171E8">
      <w:pPr>
        <w:pStyle w:val="ListParagraph"/>
        <w:suppressAutoHyphens/>
        <w:ind w:left="709"/>
        <w:jc w:val="both"/>
        <w:rPr>
          <w:rFonts w:eastAsia="Times New Roman"/>
          <w:sz w:val="22"/>
          <w:szCs w:val="22"/>
        </w:rPr>
      </w:pPr>
    </w:p>
    <w:p w14:paraId="6CA1BE4D" w14:textId="77777777" w:rsidR="007171E8" w:rsidRPr="005B56A9" w:rsidRDefault="007171E8" w:rsidP="000B0E0C">
      <w:pPr>
        <w:pStyle w:val="ListParagraph"/>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709"/>
        <w:jc w:val="both"/>
        <w:rPr>
          <w:sz w:val="22"/>
          <w:szCs w:val="22"/>
        </w:rPr>
      </w:pPr>
      <w:bookmarkStart w:id="4" w:name="_Hlk97708152"/>
      <w:r w:rsidRPr="005B56A9">
        <w:rPr>
          <w:sz w:val="22"/>
          <w:szCs w:val="22"/>
        </w:rPr>
        <w:t>Atlyginimo vertinimo kriterijaus G balas apskaičiuojamas parametro reikšmę Gp palyginant su geriausia pasiūlymuose nurodyta to paties parametro reikšme</w:t>
      </w:r>
      <w:r w:rsidRPr="005B56A9">
        <w:rPr>
          <w:rFonts w:eastAsia="Times New Roman"/>
          <w:sz w:val="22"/>
          <w:szCs w:val="22"/>
        </w:rPr>
        <w:t xml:space="preserve"> Gmax</w:t>
      </w:r>
      <w:r w:rsidRPr="005B56A9">
        <w:rPr>
          <w:sz w:val="22"/>
          <w:szCs w:val="22"/>
        </w:rPr>
        <w:t xml:space="preserve"> ir padauginant iš vertinamo kriterijaus lyginamojo svorio (T) pagal šią formulę:</w:t>
      </w:r>
    </w:p>
    <w:p w14:paraId="140E7DD2" w14:textId="77777777" w:rsidR="007171E8" w:rsidRPr="005B56A9" w:rsidRDefault="007171E8" w:rsidP="007171E8">
      <w:pPr>
        <w:tabs>
          <w:tab w:val="left" w:pos="851"/>
        </w:tabs>
        <w:jc w:val="both"/>
        <w:rPr>
          <w:sz w:val="22"/>
          <w:szCs w:val="22"/>
        </w:rPr>
      </w:pPr>
    </w:p>
    <w:p w14:paraId="0AFD9FDC" w14:textId="77777777" w:rsidR="007171E8" w:rsidRPr="005B56A9" w:rsidRDefault="007171E8" w:rsidP="007171E8">
      <w:pPr>
        <w:pStyle w:val="ListParagraph"/>
        <w:suppressAutoHyphens/>
        <w:ind w:left="1276" w:firstLine="567"/>
        <w:jc w:val="both"/>
        <w:rPr>
          <w:rFonts w:eastAsia="Times New Roman"/>
          <w:bCs/>
          <w:color w:val="000000"/>
          <w:sz w:val="22"/>
          <w:szCs w:val="22"/>
        </w:rPr>
      </w:pPr>
      <w:r w:rsidRPr="005B56A9">
        <w:rPr>
          <w:rFonts w:eastAsia="Times New Roman"/>
          <w:bCs/>
          <w:sz w:val="22"/>
          <w:szCs w:val="22"/>
        </w:rPr>
        <w:t xml:space="preserve">                                      </w:t>
      </w:r>
      <m:oMath>
        <m:r>
          <m:rPr>
            <m:nor/>
          </m:rPr>
          <w:rPr>
            <w:rFonts w:eastAsia="Times New Roman"/>
            <w:bCs/>
            <w:sz w:val="22"/>
            <w:szCs w:val="22"/>
          </w:rPr>
          <m:t>G</m:t>
        </m:r>
        <m:r>
          <w:rPr>
            <w:rFonts w:ascii="Cambria Math" w:eastAsia="Times New Roman" w:hAnsi="Cambria Math"/>
            <w:sz w:val="22"/>
            <w:szCs w:val="22"/>
          </w:rPr>
          <m:t>=</m:t>
        </m:r>
        <m:f>
          <m:fPr>
            <m:ctrlPr>
              <w:rPr>
                <w:rFonts w:ascii="Cambria Math" w:eastAsia="Times New Roman" w:hAnsi="Cambria Math"/>
                <w:i/>
                <w:sz w:val="22"/>
                <w:szCs w:val="22"/>
              </w:rPr>
            </m:ctrlPr>
          </m:fPr>
          <m:num>
            <m:r>
              <w:rPr>
                <w:rFonts w:ascii="Cambria Math" w:eastAsia="Times New Roman" w:hAnsi="Cambria Math"/>
                <w:sz w:val="22"/>
                <w:szCs w:val="22"/>
              </w:rPr>
              <m:t>G p</m:t>
            </m:r>
          </m:num>
          <m:den>
            <m:r>
              <w:rPr>
                <w:rFonts w:ascii="Cambria Math" w:eastAsia="Times New Roman" w:hAnsi="Cambria Math"/>
                <w:sz w:val="22"/>
                <w:szCs w:val="22"/>
              </w:rPr>
              <m:t>G max</m:t>
            </m:r>
          </m:den>
        </m:f>
        <m:r>
          <m:rPr>
            <m:nor/>
          </m:rPr>
          <w:rPr>
            <w:rFonts w:eastAsia="Times New Roman"/>
            <w:bCs/>
            <w:sz w:val="22"/>
            <w:szCs w:val="22"/>
          </w:rPr>
          <m:t>·T</m:t>
        </m:r>
      </m:oMath>
      <w:r w:rsidRPr="005B56A9">
        <w:rPr>
          <w:rFonts w:eastAsia="Times New Roman"/>
          <w:bCs/>
          <w:sz w:val="22"/>
          <w:szCs w:val="22"/>
        </w:rPr>
        <w:t xml:space="preserve">          </w:t>
      </w:r>
    </w:p>
    <w:p w14:paraId="3EEA61BC" w14:textId="77777777" w:rsidR="007171E8" w:rsidRPr="005B56A9" w:rsidRDefault="007171E8" w:rsidP="007171E8">
      <w:pPr>
        <w:pStyle w:val="ListParagraph"/>
        <w:suppressAutoHyphens/>
        <w:ind w:left="1276" w:firstLine="567"/>
        <w:jc w:val="both"/>
        <w:rPr>
          <w:rFonts w:eastAsia="Times New Roman"/>
          <w:sz w:val="22"/>
          <w:szCs w:val="22"/>
        </w:rPr>
      </w:pPr>
    </w:p>
    <w:p w14:paraId="40B44695" w14:textId="77777777" w:rsidR="007171E8" w:rsidRPr="005B56A9" w:rsidRDefault="007171E8" w:rsidP="007171E8">
      <w:pPr>
        <w:suppressAutoHyphens/>
        <w:jc w:val="both"/>
        <w:rPr>
          <w:sz w:val="22"/>
          <w:szCs w:val="22"/>
        </w:rPr>
      </w:pPr>
    </w:p>
    <w:p w14:paraId="5F04A170" w14:textId="77777777" w:rsidR="007171E8" w:rsidRPr="005B56A9" w:rsidRDefault="007171E8" w:rsidP="007171E8">
      <w:pPr>
        <w:pStyle w:val="ListParagraph"/>
        <w:suppressAutoHyphens/>
        <w:ind w:left="709"/>
        <w:jc w:val="both"/>
        <w:rPr>
          <w:rFonts w:eastAsia="Times New Roman"/>
          <w:sz w:val="22"/>
          <w:szCs w:val="22"/>
        </w:rPr>
      </w:pPr>
      <w:r w:rsidRPr="005B56A9">
        <w:rPr>
          <w:rFonts w:eastAsia="Times New Roman"/>
          <w:sz w:val="22"/>
          <w:szCs w:val="22"/>
        </w:rPr>
        <w:t>Kur T = 15 (atlyginimo lyginamasis svoris);</w:t>
      </w:r>
    </w:p>
    <w:bookmarkEnd w:id="4"/>
    <w:p w14:paraId="6948E63E" w14:textId="77777777" w:rsidR="007171E8" w:rsidRPr="005B56A9" w:rsidRDefault="007171E8" w:rsidP="007171E8">
      <w:pPr>
        <w:pStyle w:val="ListParagraph"/>
        <w:suppressAutoHyphens/>
        <w:ind w:left="709"/>
        <w:jc w:val="both"/>
        <w:rPr>
          <w:rFonts w:eastAsia="Times New Roman"/>
        </w:rPr>
      </w:pPr>
    </w:p>
    <w:bookmarkEnd w:id="0"/>
    <w:bookmarkEnd w:id="1"/>
    <w:p w14:paraId="2CB5D62E" w14:textId="77777777" w:rsidR="007171E8" w:rsidRPr="007F5476" w:rsidRDefault="007171E8" w:rsidP="007171E8">
      <w:pPr>
        <w:pStyle w:val="Body2"/>
        <w:rPr>
          <w:lang w:val="lt-LT"/>
        </w:rPr>
      </w:pPr>
      <w:r w:rsidRPr="003E14BE">
        <w:rPr>
          <w:color w:val="C03A2A"/>
          <w:lang w:val="lt-LT"/>
        </w:rPr>
        <w:tab/>
      </w:r>
      <w:r w:rsidRPr="003E14BE">
        <w:rPr>
          <w:lang w:val="lt-LT"/>
        </w:rPr>
        <w:t>14.20.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9EA189F" w14:textId="77777777" w:rsidR="000C1CE8" w:rsidRDefault="000C1CE8"/>
    <w:sectPr w:rsidR="000C1CE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0019"/>
    <w:multiLevelType w:val="multilevel"/>
    <w:tmpl w:val="B9824EB2"/>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45076811"/>
    <w:multiLevelType w:val="multilevel"/>
    <w:tmpl w:val="713C8DA8"/>
    <w:lvl w:ilvl="0">
      <w:start w:val="11"/>
      <w:numFmt w:val="decimal"/>
      <w:lvlText w:val="%1."/>
      <w:lvlJc w:val="left"/>
      <w:pPr>
        <w:ind w:left="480" w:hanging="480"/>
      </w:pPr>
      <w:rPr>
        <w:rFonts w:hint="default"/>
      </w:rPr>
    </w:lvl>
    <w:lvl w:ilvl="1">
      <w:start w:val="3"/>
      <w:numFmt w:val="decimal"/>
      <w:lvlText w:val="%1.%2."/>
      <w:lvlJc w:val="left"/>
      <w:pPr>
        <w:ind w:left="161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58A045B4"/>
    <w:multiLevelType w:val="hybridMultilevel"/>
    <w:tmpl w:val="EF5C2A7A"/>
    <w:lvl w:ilvl="0" w:tplc="0C30E27C">
      <w:start w:val="1"/>
      <w:numFmt w:val="decimal"/>
      <w:pStyle w:val="VMSNR1"/>
      <w:lvlText w:val="%1."/>
      <w:lvlJc w:val="left"/>
      <w:pPr>
        <w:ind w:left="1352" w:hanging="360"/>
      </w:pPr>
      <w:rPr>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624394"/>
    <w:multiLevelType w:val="multilevel"/>
    <w:tmpl w:val="713C8DA8"/>
    <w:lvl w:ilvl="0">
      <w:start w:val="11"/>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7E9B5F93"/>
    <w:multiLevelType w:val="multilevel"/>
    <w:tmpl w:val="89BA3C06"/>
    <w:lvl w:ilvl="0">
      <w:start w:val="15"/>
      <w:numFmt w:val="decimal"/>
      <w:lvlText w:val="%1."/>
      <w:lvlJc w:val="left"/>
      <w:pPr>
        <w:ind w:left="480" w:hanging="480"/>
      </w:pPr>
      <w:rPr>
        <w:rFonts w:hint="default"/>
      </w:rPr>
    </w:lvl>
    <w:lvl w:ilvl="1">
      <w:start w:val="3"/>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16cid:durableId="2057242172">
    <w:abstractNumId w:val="2"/>
  </w:num>
  <w:num w:numId="2" w16cid:durableId="504054216">
    <w:abstractNumId w:val="1"/>
  </w:num>
  <w:num w:numId="3" w16cid:durableId="248002942">
    <w:abstractNumId w:val="4"/>
  </w:num>
  <w:num w:numId="4" w16cid:durableId="1227758930">
    <w:abstractNumId w:val="3"/>
  </w:num>
  <w:num w:numId="5" w16cid:durableId="119834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D9"/>
    <w:rsid w:val="00010383"/>
    <w:rsid w:val="000947C9"/>
    <w:rsid w:val="000B0E0C"/>
    <w:rsid w:val="000C1CE8"/>
    <w:rsid w:val="004C603E"/>
    <w:rsid w:val="007171E8"/>
    <w:rsid w:val="00722577"/>
    <w:rsid w:val="00BF60D9"/>
    <w:rsid w:val="00C8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7E8322"/>
  <w15:chartTrackingRefBased/>
  <w15:docId w15:val="{3A101D90-0D57-4CF3-AD97-EB952693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71E8"/>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lt-LT"/>
      <w14:ligatures w14:val="none"/>
    </w:rPr>
  </w:style>
  <w:style w:type="paragraph" w:styleId="Heading1">
    <w:name w:val="heading 1"/>
    <w:basedOn w:val="Normal"/>
    <w:next w:val="Normal"/>
    <w:link w:val="Heading1Char"/>
    <w:uiPriority w:val="9"/>
    <w:qFormat/>
    <w:rsid w:val="00BF6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0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0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0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0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0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0D9"/>
    <w:rPr>
      <w:rFonts w:eastAsiaTheme="majorEastAsia" w:cstheme="majorBidi"/>
      <w:color w:val="272727" w:themeColor="text1" w:themeTint="D8"/>
    </w:rPr>
  </w:style>
  <w:style w:type="paragraph" w:styleId="Title">
    <w:name w:val="Title"/>
    <w:basedOn w:val="Normal"/>
    <w:next w:val="Normal"/>
    <w:link w:val="TitleChar"/>
    <w:uiPriority w:val="10"/>
    <w:qFormat/>
    <w:rsid w:val="00BF60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0D9"/>
    <w:pPr>
      <w:spacing w:before="160"/>
      <w:jc w:val="center"/>
    </w:pPr>
    <w:rPr>
      <w:i/>
      <w:iCs/>
      <w:color w:val="404040" w:themeColor="text1" w:themeTint="BF"/>
    </w:rPr>
  </w:style>
  <w:style w:type="character" w:customStyle="1" w:styleId="QuoteChar">
    <w:name w:val="Quote Char"/>
    <w:basedOn w:val="DefaultParagraphFont"/>
    <w:link w:val="Quote"/>
    <w:uiPriority w:val="29"/>
    <w:rsid w:val="00BF60D9"/>
    <w:rPr>
      <w:i/>
      <w:iCs/>
      <w:color w:val="404040" w:themeColor="text1" w:themeTint="BF"/>
    </w:rPr>
  </w:style>
  <w:style w:type="paragraph" w:styleId="ListParagraph">
    <w:name w:val="List Paragraph"/>
    <w:aliases w:val="List Paragraph Red,Numbering,ERP-List Paragraph,List Paragraph11,Bullet EY,lp1,Bullet 1,Use Case List Paragraph,List Paragraph21,Sąrašo pastraipa.Bullet,Bullet,Paragraph,List Paragraph2,Lentele,List Paragraph22,List Paragraph111,Buletai"/>
    <w:basedOn w:val="Normal"/>
    <w:link w:val="ListParagraphChar"/>
    <w:uiPriority w:val="34"/>
    <w:qFormat/>
    <w:rsid w:val="00BF60D9"/>
    <w:pPr>
      <w:ind w:left="720"/>
      <w:contextualSpacing/>
    </w:pPr>
  </w:style>
  <w:style w:type="character" w:styleId="IntenseEmphasis">
    <w:name w:val="Intense Emphasis"/>
    <w:basedOn w:val="DefaultParagraphFont"/>
    <w:uiPriority w:val="21"/>
    <w:qFormat/>
    <w:rsid w:val="00BF60D9"/>
    <w:rPr>
      <w:i/>
      <w:iCs/>
      <w:color w:val="0F4761" w:themeColor="accent1" w:themeShade="BF"/>
    </w:rPr>
  </w:style>
  <w:style w:type="paragraph" w:styleId="IntenseQuote">
    <w:name w:val="Intense Quote"/>
    <w:basedOn w:val="Normal"/>
    <w:next w:val="Normal"/>
    <w:link w:val="IntenseQuoteChar"/>
    <w:uiPriority w:val="30"/>
    <w:qFormat/>
    <w:rsid w:val="00BF6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0D9"/>
    <w:rPr>
      <w:i/>
      <w:iCs/>
      <w:color w:val="0F4761" w:themeColor="accent1" w:themeShade="BF"/>
    </w:rPr>
  </w:style>
  <w:style w:type="character" w:styleId="IntenseReference">
    <w:name w:val="Intense Reference"/>
    <w:basedOn w:val="DefaultParagraphFont"/>
    <w:uiPriority w:val="32"/>
    <w:qFormat/>
    <w:rsid w:val="00BF60D9"/>
    <w:rPr>
      <w:b/>
      <w:bCs/>
      <w:smallCaps/>
      <w:color w:val="0F4761" w:themeColor="accent1" w:themeShade="BF"/>
      <w:spacing w:val="5"/>
    </w:rPr>
  </w:style>
  <w:style w:type="paragraph" w:customStyle="1" w:styleId="Body2">
    <w:name w:val="Body 2"/>
    <w:rsid w:val="007171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lt-LT"/>
      <w14:ligatures w14:val="none"/>
    </w:rPr>
  </w:style>
  <w:style w:type="paragraph" w:customStyle="1" w:styleId="Heading">
    <w:name w:val="Heading"/>
    <w:next w:val="Body2"/>
    <w:rsid w:val="007171E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character" w:customStyle="1" w:styleId="ListParagraphChar">
    <w:name w:val="List Paragraph Char"/>
    <w:aliases w:val="List Paragraph Red Char,Numbering Char,ERP-List Paragraph Char,List Paragraph11 Char,Bullet EY Char,lp1 Char,Bullet 1 Char,Use Case List Paragraph Char,List Paragraph21 Char,Sąrašo pastraipa.Bullet Char,Bullet Char,Paragraph Char"/>
    <w:link w:val="ListParagraph"/>
    <w:uiPriority w:val="34"/>
    <w:qFormat/>
    <w:rsid w:val="007171E8"/>
  </w:style>
  <w:style w:type="paragraph" w:customStyle="1" w:styleId="VMSNR1">
    <w:name w:val="VMS NR 1"/>
    <w:basedOn w:val="BodyText"/>
    <w:link w:val="VMSNR1Diagrama"/>
    <w:qFormat/>
    <w:rsid w:val="007171E8"/>
    <w:pPr>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0" w:firstLine="851"/>
      <w:jc w:val="both"/>
    </w:pPr>
    <w:rPr>
      <w:rFonts w:eastAsia="Times New Roman"/>
      <w:szCs w:val="20"/>
      <w:bdr w:val="none" w:sz="0" w:space="0" w:color="auto"/>
    </w:rPr>
  </w:style>
  <w:style w:type="character" w:customStyle="1" w:styleId="VMSNR1Diagrama">
    <w:name w:val="VMS NR 1 Diagrama"/>
    <w:link w:val="VMSNR1"/>
    <w:rsid w:val="007171E8"/>
    <w:rPr>
      <w:rFonts w:ascii="Times New Roman" w:eastAsia="Times New Roman" w:hAnsi="Times New Roman" w:cs="Times New Roman"/>
      <w:kern w:val="0"/>
      <w:szCs w:val="20"/>
      <w:lang w:val="lt-LT"/>
      <w14:ligatures w14:val="none"/>
    </w:rPr>
  </w:style>
  <w:style w:type="table" w:customStyle="1" w:styleId="5sraolenteltamsi1parykinimas1">
    <w:name w:val="5 sąrašo lentelė (tamsi) – 1 paryškinimas1"/>
    <w:basedOn w:val="TableNormal"/>
    <w:next w:val="ListTable5Dark-Accent1"/>
    <w:uiPriority w:val="50"/>
    <w:rsid w:val="007171E8"/>
    <w:pPr>
      <w:spacing w:after="0" w:line="240" w:lineRule="auto"/>
    </w:pPr>
    <w:rPr>
      <w:rFonts w:ascii="Calibri" w:eastAsia="Calibri" w:hAnsi="Calibri" w:cs="Times New Roman"/>
      <w:color w:val="FFFFFF"/>
      <w:kern w:val="0"/>
      <w:sz w:val="22"/>
      <w:szCs w:val="22"/>
      <w:lang w:val="lt-LT"/>
      <w14:ligatures w14:val="none"/>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BodyText">
    <w:name w:val="Body Text"/>
    <w:basedOn w:val="Normal"/>
    <w:link w:val="BodyTextChar"/>
    <w:uiPriority w:val="99"/>
    <w:semiHidden/>
    <w:unhideWhenUsed/>
    <w:rsid w:val="007171E8"/>
    <w:pPr>
      <w:spacing w:after="120"/>
    </w:pPr>
  </w:style>
  <w:style w:type="character" w:customStyle="1" w:styleId="BodyTextChar">
    <w:name w:val="Body Text Char"/>
    <w:basedOn w:val="DefaultParagraphFont"/>
    <w:link w:val="BodyText"/>
    <w:uiPriority w:val="99"/>
    <w:semiHidden/>
    <w:rsid w:val="007171E8"/>
    <w:rPr>
      <w:rFonts w:ascii="Times New Roman" w:eastAsia="Arial Unicode MS" w:hAnsi="Times New Roman" w:cs="Times New Roman"/>
      <w:kern w:val="0"/>
      <w:bdr w:val="nil"/>
      <w:lang w:val="lt-LT"/>
      <w14:ligatures w14:val="none"/>
    </w:rPr>
  </w:style>
  <w:style w:type="table" w:styleId="ListTable5Dark-Accent1">
    <w:name w:val="List Table 5 Dark Accent 1"/>
    <w:basedOn w:val="TableNormal"/>
    <w:uiPriority w:val="50"/>
    <w:rsid w:val="007171E8"/>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1567</Words>
  <Characters>8937</Characters>
  <Application>Microsoft Office Word</Application>
  <DocSecurity>0</DocSecurity>
  <Lines>74</Lines>
  <Paragraphs>20</Paragraphs>
  <ScaleCrop>false</ScaleCrop>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Kęstutis Kliopovas</cp:lastModifiedBy>
  <cp:revision>6</cp:revision>
  <dcterms:created xsi:type="dcterms:W3CDTF">2025-06-17T11:19:00Z</dcterms:created>
  <dcterms:modified xsi:type="dcterms:W3CDTF">2025-06-17T11:28:00Z</dcterms:modified>
</cp:coreProperties>
</file>