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4C67" w14:textId="36170B62" w:rsidR="00E56650" w:rsidRPr="00D72A7D" w:rsidRDefault="0004296B" w:rsidP="00E56650">
      <w:pPr>
        <w:spacing w:after="0"/>
        <w:jc w:val="center"/>
        <w:rPr>
          <w:rFonts w:ascii="Times New Roman" w:eastAsia="Calibri" w:hAnsi="Times New Roman" w:cs="Times New Roman"/>
          <w:b/>
          <w:iCs/>
          <w:sz w:val="24"/>
          <w:szCs w:val="24"/>
        </w:rPr>
      </w:pPr>
      <w:bookmarkStart w:id="0" w:name="_Hlk92114953"/>
      <w:r w:rsidRPr="00D72A7D">
        <w:rPr>
          <w:rFonts w:ascii="Times New Roman" w:eastAsia="Calibri" w:hAnsi="Times New Roman" w:cs="Times New Roman"/>
          <w:b/>
          <w:iCs/>
          <w:sz w:val="24"/>
          <w:szCs w:val="24"/>
        </w:rPr>
        <w:t xml:space="preserve">ŠALČININKŲ RAJONO SAVIVALDYBĖS APLINKOS MONITORINGO </w:t>
      </w:r>
      <w:r w:rsidR="007128A6" w:rsidRPr="00D72A7D">
        <w:rPr>
          <w:rFonts w:ascii="Times New Roman" w:eastAsia="Calibri" w:hAnsi="Times New Roman" w:cs="Times New Roman"/>
          <w:b/>
          <w:iCs/>
          <w:sz w:val="24"/>
          <w:szCs w:val="24"/>
        </w:rPr>
        <w:t>PROGRAMOS VYKDYMO PASLAUGŲ PIRKIMAS</w:t>
      </w:r>
    </w:p>
    <w:p w14:paraId="0F449241" w14:textId="77777777" w:rsidR="00067625" w:rsidRPr="00D72A7D" w:rsidRDefault="00067625" w:rsidP="00E56650">
      <w:pPr>
        <w:spacing w:after="0"/>
        <w:jc w:val="center"/>
        <w:rPr>
          <w:rFonts w:ascii="Times New Roman" w:hAnsi="Times New Roman" w:cs="Times New Roman"/>
          <w:b/>
          <w:caps/>
          <w:sz w:val="24"/>
          <w:szCs w:val="24"/>
        </w:rPr>
      </w:pPr>
    </w:p>
    <w:bookmarkEnd w:id="0"/>
    <w:p w14:paraId="505CFA6A" w14:textId="01C5395B" w:rsidR="00160040" w:rsidRPr="00D72A7D" w:rsidRDefault="00E56650" w:rsidP="00E56650">
      <w:pPr>
        <w:spacing w:after="0"/>
        <w:jc w:val="center"/>
        <w:rPr>
          <w:rFonts w:ascii="Times New Roman" w:hAnsi="Times New Roman" w:cs="Times New Roman"/>
          <w:b/>
          <w:sz w:val="24"/>
          <w:szCs w:val="24"/>
        </w:rPr>
      </w:pPr>
      <w:r w:rsidRPr="00D72A7D">
        <w:rPr>
          <w:rFonts w:ascii="Times New Roman" w:hAnsi="Times New Roman" w:cs="Times New Roman"/>
          <w:b/>
          <w:sz w:val="24"/>
          <w:szCs w:val="24"/>
        </w:rPr>
        <w:t xml:space="preserve">TECHNINĖ </w:t>
      </w:r>
      <w:r w:rsidR="00CA4D8E" w:rsidRPr="00D72A7D">
        <w:rPr>
          <w:rFonts w:ascii="Times New Roman" w:hAnsi="Times New Roman" w:cs="Times New Roman"/>
          <w:b/>
          <w:sz w:val="24"/>
          <w:szCs w:val="24"/>
        </w:rPr>
        <w:t>UŽDUOTIS</w:t>
      </w:r>
    </w:p>
    <w:p w14:paraId="4A183A40" w14:textId="77777777" w:rsidR="000D5DF4" w:rsidRPr="00D72A7D" w:rsidRDefault="000D5DF4" w:rsidP="00E56650">
      <w:pPr>
        <w:spacing w:after="0"/>
        <w:jc w:val="center"/>
        <w:rPr>
          <w:rFonts w:ascii="Times New Roman" w:hAnsi="Times New Roman" w:cs="Times New Roman"/>
          <w:b/>
          <w:sz w:val="24"/>
          <w:szCs w:val="24"/>
        </w:rPr>
      </w:pPr>
    </w:p>
    <w:p w14:paraId="26C34BC5" w14:textId="73EAD79F" w:rsidR="00E56650" w:rsidRPr="00D72A7D" w:rsidRDefault="00E56650" w:rsidP="000D5DF4">
      <w:pPr>
        <w:numPr>
          <w:ilvl w:val="0"/>
          <w:numId w:val="1"/>
        </w:numPr>
        <w:tabs>
          <w:tab w:val="left" w:pos="993"/>
        </w:tabs>
        <w:suppressAutoHyphens/>
        <w:spacing w:after="0" w:line="240" w:lineRule="auto"/>
        <w:ind w:left="0" w:firstLine="567"/>
        <w:contextualSpacing/>
        <w:jc w:val="both"/>
        <w:rPr>
          <w:rFonts w:ascii="Times New Roman" w:hAnsi="Times New Roman"/>
          <w:sz w:val="24"/>
          <w:szCs w:val="24"/>
          <w:lang w:eastAsia="en-GB"/>
        </w:rPr>
      </w:pPr>
      <w:r w:rsidRPr="00D72A7D">
        <w:rPr>
          <w:rFonts w:ascii="Times New Roman" w:hAnsi="Times New Roman"/>
          <w:b/>
          <w:bCs/>
          <w:sz w:val="24"/>
          <w:szCs w:val="24"/>
        </w:rPr>
        <w:t>Pirkimo objektas:</w:t>
      </w:r>
      <w:r w:rsidR="00FA78C0" w:rsidRPr="00D72A7D">
        <w:rPr>
          <w:rFonts w:ascii="Times New Roman" w:hAnsi="Times New Roman"/>
          <w:b/>
          <w:bCs/>
          <w:sz w:val="24"/>
          <w:szCs w:val="24"/>
        </w:rPr>
        <w:t xml:space="preserve"> </w:t>
      </w:r>
      <w:r w:rsidR="00FA78C0" w:rsidRPr="00D72A7D">
        <w:rPr>
          <w:rFonts w:ascii="Times New Roman" w:hAnsi="Times New Roman" w:cs="Times New Roman"/>
          <w:sz w:val="24"/>
          <w:szCs w:val="24"/>
        </w:rPr>
        <w:t>Šalčininkų rajono</w:t>
      </w:r>
      <w:r w:rsidR="00FA78C0" w:rsidRPr="00D72A7D">
        <w:rPr>
          <w:rFonts w:ascii="Times New Roman" w:hAnsi="Times New Roman" w:cs="Times New Roman"/>
          <w:b/>
          <w:bCs/>
          <w:sz w:val="24"/>
          <w:szCs w:val="24"/>
        </w:rPr>
        <w:t xml:space="preserve"> </w:t>
      </w:r>
      <w:r w:rsidR="00FA78C0" w:rsidRPr="00D72A7D">
        <w:rPr>
          <w:rFonts w:ascii="Times New Roman" w:hAnsi="Times New Roman" w:cs="Times New Roman"/>
        </w:rPr>
        <w:t>savivaldybės aplinkos monitoringo programos  įgyvendinimo 2025– 2027 metų paslauga (toliau – Paslauga)</w:t>
      </w:r>
      <w:r w:rsidR="00FA78C0" w:rsidRPr="00D72A7D">
        <w:rPr>
          <w:rFonts w:ascii="Times New Roman" w:hAnsi="Times New Roman" w:cs="Times New Roman"/>
          <w:bCs/>
        </w:rPr>
        <w:t>.</w:t>
      </w:r>
      <w:r w:rsidR="00FA78C0" w:rsidRPr="00D72A7D">
        <w:rPr>
          <w:bCs/>
        </w:rPr>
        <w:t xml:space="preserve"> </w:t>
      </w:r>
      <w:r w:rsidRPr="00D72A7D">
        <w:rPr>
          <w:rFonts w:ascii="Times New Roman" w:hAnsi="Times New Roman"/>
          <w:sz w:val="24"/>
          <w:szCs w:val="24"/>
        </w:rPr>
        <w:t xml:space="preserve"> </w:t>
      </w:r>
    </w:p>
    <w:p w14:paraId="2D3E7CB0" w14:textId="77777777" w:rsidR="00E56650" w:rsidRPr="00D72A7D" w:rsidRDefault="00E56650" w:rsidP="000D5DF4">
      <w:pPr>
        <w:numPr>
          <w:ilvl w:val="0"/>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b/>
          <w:bCs/>
          <w:sz w:val="24"/>
          <w:szCs w:val="24"/>
        </w:rPr>
        <w:t>Paslaugų aprašymas</w:t>
      </w:r>
      <w:r w:rsidRPr="00D72A7D">
        <w:rPr>
          <w:rFonts w:ascii="Times New Roman" w:hAnsi="Times New Roman"/>
          <w:sz w:val="24"/>
          <w:szCs w:val="24"/>
        </w:rPr>
        <w:t xml:space="preserve">: </w:t>
      </w:r>
    </w:p>
    <w:p w14:paraId="514247A6" w14:textId="3C896798" w:rsidR="00E56650" w:rsidRPr="00D72A7D" w:rsidRDefault="00E56650" w:rsidP="000D5DF4">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 xml:space="preserve"> Paslaugos teikiamos </w:t>
      </w:r>
      <w:r w:rsidR="00077C2B" w:rsidRPr="00D72A7D">
        <w:rPr>
          <w:rFonts w:ascii="Times New Roman" w:eastAsia="Times New Roman" w:hAnsi="Times New Roman"/>
          <w:sz w:val="24"/>
          <w:szCs w:val="24"/>
          <w:lang w:eastAsia="ar-SA"/>
        </w:rPr>
        <w:t>Šalčinin</w:t>
      </w:r>
      <w:r w:rsidR="000D5DF4" w:rsidRPr="00D72A7D">
        <w:rPr>
          <w:rFonts w:ascii="Times New Roman" w:hAnsi="Times New Roman"/>
          <w:sz w:val="24"/>
          <w:szCs w:val="24"/>
        </w:rPr>
        <w:t>kų rajono</w:t>
      </w:r>
      <w:r w:rsidRPr="00D72A7D">
        <w:rPr>
          <w:rFonts w:ascii="Times New Roman" w:hAnsi="Times New Roman"/>
          <w:sz w:val="24"/>
          <w:szCs w:val="24"/>
        </w:rPr>
        <w:t xml:space="preserve"> savivaldybės teritorijoje.</w:t>
      </w:r>
    </w:p>
    <w:p w14:paraId="0DB47397" w14:textId="0A30BA69" w:rsidR="00A870AF" w:rsidRPr="00D72A7D" w:rsidRDefault="00A870AF" w:rsidP="000D5DF4">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Programos kasmetinis įgyvendinimas turi būti vykdomas vadovaujantis Šalčininkų rajono savivaldybės aplinkos monitoringo 2022-2027 metų programa</w:t>
      </w:r>
      <w:r w:rsidR="005E2172" w:rsidRPr="00D72A7D">
        <w:rPr>
          <w:rFonts w:ascii="Times New Roman" w:hAnsi="Times New Roman"/>
          <w:sz w:val="24"/>
          <w:szCs w:val="24"/>
        </w:rPr>
        <w:t xml:space="preserve"> (toliau – Programa)</w:t>
      </w:r>
      <w:r w:rsidRPr="00D72A7D">
        <w:rPr>
          <w:rFonts w:ascii="Times New Roman" w:hAnsi="Times New Roman"/>
          <w:sz w:val="24"/>
          <w:szCs w:val="24"/>
        </w:rPr>
        <w:t xml:space="preserve"> (pridedama). Tyrimai, stebėjimai, vertinimai atliekami vadovaujantis Programoje nurodytais metodais, procedūromis ir vertinimo kriterijais.</w:t>
      </w:r>
    </w:p>
    <w:p w14:paraId="62B079D4" w14:textId="5B65774E" w:rsidR="00DE3E72" w:rsidRPr="00D72A7D" w:rsidRDefault="00DE3E72" w:rsidP="000D5DF4">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Paslaugos teikėjas turi nuolat ir sistemingai stebėti gamtinės aplinkos ir jos elementų būklę, atlikti laboratorinius tyrimus; sisteminti, vertinti ir prognozuoti aplinkoje vykstančius savaiminius ir dėl antropogeninio poveikio atsirandančius pokyčius, gamtinės aplinkos kitimo tendencijas ir galimas pasekmes; kaupti, analizuoti ir teikti Šalčininkų rajono savivaldybės administracijai (toliau - Paslaugos gavėjas) informaciją apie gamtinės aplinkos būklę; analizuoti ir vertinti vykdomų aplinkosaugos priemonių veiksmingumą.</w:t>
      </w:r>
    </w:p>
    <w:p w14:paraId="657BA420" w14:textId="62853C75" w:rsidR="00FA1BAE" w:rsidRPr="00D72A7D" w:rsidRDefault="005960CB" w:rsidP="005960CB">
      <w:pPr>
        <w:pStyle w:val="Sraopastraipa"/>
        <w:numPr>
          <w:ilvl w:val="1"/>
          <w:numId w:val="1"/>
        </w:numPr>
        <w:ind w:left="993" w:hanging="426"/>
        <w:rPr>
          <w:rFonts w:ascii="Times New Roman" w:hAnsi="Times New Roman" w:cs="Times New Roman"/>
          <w:sz w:val="24"/>
          <w:szCs w:val="24"/>
        </w:rPr>
      </w:pPr>
      <w:r w:rsidRPr="00D72A7D">
        <w:rPr>
          <w:rFonts w:ascii="Times New Roman" w:hAnsi="Times New Roman" w:cs="Times New Roman"/>
          <w:sz w:val="24"/>
          <w:szCs w:val="24"/>
        </w:rPr>
        <w:t xml:space="preserve"> </w:t>
      </w:r>
      <w:r w:rsidR="00A40ABA" w:rsidRPr="00D72A7D">
        <w:rPr>
          <w:rFonts w:ascii="Times New Roman" w:hAnsi="Times New Roman" w:cs="Times New Roman"/>
          <w:sz w:val="24"/>
          <w:szCs w:val="24"/>
        </w:rPr>
        <w:t>Atlikti šiuos Programoje numatytus monitoringus:</w:t>
      </w:r>
    </w:p>
    <w:p w14:paraId="41EC2743" w14:textId="75CB3A99" w:rsidR="00A40ABA" w:rsidRPr="00D72A7D" w:rsidRDefault="00CD39A2" w:rsidP="004B762B">
      <w:pPr>
        <w:pStyle w:val="Sraopastraipa"/>
        <w:numPr>
          <w:ilvl w:val="2"/>
          <w:numId w:val="1"/>
        </w:numPr>
        <w:tabs>
          <w:tab w:val="left" w:pos="993"/>
        </w:tabs>
        <w:suppressAutoHyphens/>
        <w:spacing w:after="0" w:line="240" w:lineRule="auto"/>
        <w:ind w:left="0" w:firstLine="567"/>
        <w:contextualSpacing w:val="0"/>
        <w:jc w:val="both"/>
        <w:rPr>
          <w:rFonts w:ascii="Times New Roman" w:hAnsi="Times New Roman"/>
          <w:sz w:val="24"/>
          <w:szCs w:val="24"/>
        </w:rPr>
      </w:pPr>
      <w:r w:rsidRPr="00D72A7D">
        <w:rPr>
          <w:rFonts w:ascii="Times New Roman" w:hAnsi="Times New Roman"/>
          <w:sz w:val="24"/>
          <w:szCs w:val="24"/>
        </w:rPr>
        <w:t>Oro monitoringas</w:t>
      </w:r>
      <w:r w:rsidR="006F0DE0" w:rsidRPr="00D72A7D">
        <w:rPr>
          <w:rFonts w:ascii="Times New Roman" w:hAnsi="Times New Roman"/>
          <w:sz w:val="24"/>
          <w:szCs w:val="24"/>
        </w:rPr>
        <w:t>;</w:t>
      </w:r>
    </w:p>
    <w:p w14:paraId="4F57DE9D" w14:textId="399E935C" w:rsidR="00AC3DCE" w:rsidRPr="00D72A7D" w:rsidRDefault="00BB7B5F" w:rsidP="004B762B">
      <w:pPr>
        <w:pStyle w:val="Sraopastraipa"/>
        <w:numPr>
          <w:ilvl w:val="2"/>
          <w:numId w:val="1"/>
        </w:numPr>
        <w:tabs>
          <w:tab w:val="left" w:pos="993"/>
        </w:tabs>
        <w:suppressAutoHyphens/>
        <w:spacing w:after="0" w:line="240" w:lineRule="auto"/>
        <w:ind w:left="0" w:firstLine="567"/>
        <w:contextualSpacing w:val="0"/>
        <w:jc w:val="both"/>
        <w:rPr>
          <w:rFonts w:ascii="Times New Roman" w:hAnsi="Times New Roman"/>
          <w:sz w:val="24"/>
          <w:szCs w:val="24"/>
        </w:rPr>
      </w:pPr>
      <w:r w:rsidRPr="00D72A7D">
        <w:rPr>
          <w:rFonts w:ascii="Times New Roman" w:hAnsi="Times New Roman"/>
          <w:sz w:val="24"/>
          <w:szCs w:val="24"/>
        </w:rPr>
        <w:t>Paviršinio (upių) vandens monitoringas</w:t>
      </w:r>
      <w:r w:rsidR="006F0DE0" w:rsidRPr="00D72A7D">
        <w:rPr>
          <w:rFonts w:ascii="Times New Roman" w:hAnsi="Times New Roman"/>
          <w:sz w:val="24"/>
          <w:szCs w:val="24"/>
        </w:rPr>
        <w:t>;</w:t>
      </w:r>
    </w:p>
    <w:p w14:paraId="2543440F" w14:textId="35A072BF" w:rsidR="00BB7B5F" w:rsidRPr="00D72A7D" w:rsidRDefault="00BB7B5F" w:rsidP="004B762B">
      <w:pPr>
        <w:pStyle w:val="Sraopastraipa"/>
        <w:numPr>
          <w:ilvl w:val="2"/>
          <w:numId w:val="1"/>
        </w:numPr>
        <w:tabs>
          <w:tab w:val="left" w:pos="993"/>
        </w:tabs>
        <w:suppressAutoHyphens/>
        <w:spacing w:after="0" w:line="240" w:lineRule="auto"/>
        <w:ind w:left="0" w:firstLine="567"/>
        <w:contextualSpacing w:val="0"/>
        <w:jc w:val="both"/>
        <w:rPr>
          <w:rFonts w:ascii="Times New Roman" w:hAnsi="Times New Roman"/>
          <w:sz w:val="24"/>
          <w:szCs w:val="24"/>
        </w:rPr>
      </w:pPr>
      <w:r w:rsidRPr="00D72A7D">
        <w:rPr>
          <w:rFonts w:ascii="Times New Roman" w:hAnsi="Times New Roman"/>
          <w:sz w:val="24"/>
          <w:szCs w:val="24"/>
        </w:rPr>
        <w:t>Paviršinio (tvenkinių) vandens monitoringas;</w:t>
      </w:r>
    </w:p>
    <w:p w14:paraId="11D46B46" w14:textId="675ED3CA" w:rsidR="00BB7B5F" w:rsidRPr="00D72A7D" w:rsidRDefault="00BB7B5F" w:rsidP="004B762B">
      <w:pPr>
        <w:pStyle w:val="Sraopastraipa"/>
        <w:numPr>
          <w:ilvl w:val="2"/>
          <w:numId w:val="1"/>
        </w:numPr>
        <w:tabs>
          <w:tab w:val="left" w:pos="993"/>
        </w:tabs>
        <w:suppressAutoHyphens/>
        <w:spacing w:after="0" w:line="240" w:lineRule="auto"/>
        <w:ind w:left="0" w:firstLine="567"/>
        <w:contextualSpacing w:val="0"/>
        <w:jc w:val="both"/>
        <w:rPr>
          <w:rFonts w:ascii="Times New Roman" w:hAnsi="Times New Roman"/>
          <w:sz w:val="24"/>
          <w:szCs w:val="24"/>
        </w:rPr>
      </w:pPr>
      <w:r w:rsidRPr="00D72A7D">
        <w:rPr>
          <w:rFonts w:ascii="Times New Roman" w:hAnsi="Times New Roman"/>
          <w:sz w:val="24"/>
          <w:szCs w:val="24"/>
        </w:rPr>
        <w:t>Požeminio vandens monitoringas;</w:t>
      </w:r>
    </w:p>
    <w:p w14:paraId="16E8AB8C" w14:textId="7AB391EF" w:rsidR="00BB7B5F" w:rsidRPr="00D72A7D" w:rsidRDefault="00960C3E" w:rsidP="00BB7B5F">
      <w:pPr>
        <w:pStyle w:val="Sraopastraipa"/>
        <w:numPr>
          <w:ilvl w:val="2"/>
          <w:numId w:val="1"/>
        </w:numPr>
        <w:tabs>
          <w:tab w:val="left" w:pos="993"/>
        </w:tabs>
        <w:suppressAutoHyphens/>
        <w:spacing w:after="0" w:line="240" w:lineRule="auto"/>
        <w:ind w:left="0" w:firstLine="567"/>
        <w:contextualSpacing w:val="0"/>
        <w:jc w:val="both"/>
        <w:rPr>
          <w:rFonts w:ascii="Times New Roman" w:hAnsi="Times New Roman"/>
          <w:sz w:val="24"/>
          <w:szCs w:val="24"/>
        </w:rPr>
      </w:pPr>
      <w:r w:rsidRPr="00D72A7D">
        <w:rPr>
          <w:rFonts w:ascii="Times New Roman" w:hAnsi="Times New Roman"/>
          <w:sz w:val="24"/>
          <w:szCs w:val="24"/>
        </w:rPr>
        <w:t>Aplinkos triukšmo monitoringas</w:t>
      </w:r>
      <w:r w:rsidR="00BB7B5F" w:rsidRPr="00D72A7D">
        <w:rPr>
          <w:rFonts w:ascii="Times New Roman" w:hAnsi="Times New Roman"/>
          <w:sz w:val="24"/>
          <w:szCs w:val="24"/>
        </w:rPr>
        <w:t>.</w:t>
      </w:r>
    </w:p>
    <w:p w14:paraId="0259927C" w14:textId="13785BC9" w:rsidR="00FB2061" w:rsidRPr="00D72A7D" w:rsidRDefault="00FB2061" w:rsidP="00FB2061">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 xml:space="preserve"> Vykdant monitoringus stebėti Programoje numatytus parametrus, numatytose vietose, nustatytu periodiškumu pagal Šalčininkų rajono savivaldybės aplinkos monitoringo programos įgyvendinimo paslaugų pirkimo techninę užduotį.</w:t>
      </w:r>
    </w:p>
    <w:p w14:paraId="7C2FD301" w14:textId="5BD53B11" w:rsidR="00FB2061" w:rsidRPr="00D72A7D" w:rsidRDefault="00FB2061" w:rsidP="00FB2061">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Tyrimai, stebėjimai, vertinimai turi būti atlikti vadovaujantis Programoje nurodytais metodais procedūromis ir vertinimo kriterijais</w:t>
      </w:r>
      <w:r w:rsidR="006F0DE0" w:rsidRPr="00D72A7D">
        <w:rPr>
          <w:rFonts w:ascii="Times New Roman" w:hAnsi="Times New Roman"/>
          <w:sz w:val="24"/>
          <w:szCs w:val="24"/>
        </w:rPr>
        <w:t>.</w:t>
      </w:r>
    </w:p>
    <w:p w14:paraId="3435090E" w14:textId="23FEF669" w:rsidR="00B53107" w:rsidRPr="00D72A7D" w:rsidRDefault="000734CD" w:rsidP="002B3B70">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Pagal Programą atlikti tyrimai kasmet apibendrinami tarpinėje ir metinėje ataskaitose. Ataskaitos privalo apimti Savivaldybės teritorijų gamtinės aplinkos būklės vertinimą, išvadas ir pasiūlymus, dėl galimų neigiamo poveikio mažinimo priemonių. Ataskaitų teikimas vykdomas žemiau nurodyta tvarka:</w:t>
      </w:r>
    </w:p>
    <w:p w14:paraId="7D454FEF" w14:textId="739796C5" w:rsidR="002B3B70" w:rsidRPr="00D72A7D" w:rsidRDefault="00332B9B" w:rsidP="004B762B">
      <w:pPr>
        <w:pStyle w:val="Sraopastraipa"/>
        <w:numPr>
          <w:ilvl w:val="2"/>
          <w:numId w:val="1"/>
        </w:numPr>
        <w:tabs>
          <w:tab w:val="left" w:pos="993"/>
        </w:tabs>
        <w:suppressAutoHyphens/>
        <w:spacing w:after="0" w:line="240" w:lineRule="auto"/>
        <w:ind w:left="0" w:firstLine="567"/>
        <w:contextualSpacing w:val="0"/>
        <w:jc w:val="both"/>
        <w:rPr>
          <w:rFonts w:ascii="Times New Roman" w:hAnsi="Times New Roman"/>
          <w:sz w:val="24"/>
          <w:szCs w:val="24"/>
        </w:rPr>
      </w:pPr>
      <w:r w:rsidRPr="00D72A7D">
        <w:rPr>
          <w:rFonts w:ascii="Times New Roman" w:hAnsi="Times New Roman"/>
          <w:sz w:val="24"/>
          <w:szCs w:val="24"/>
        </w:rPr>
        <w:t>Tarpinė aplinkos monitoringo ataskaita aplinkos monitoringo programos vykdytojo pateikiama Šalčininkų rajono savivaldybės administracijai rašytine ir elektronine forma per 1 mėn. nuo kiekvienų metų II ketvirčio pabaigos.</w:t>
      </w:r>
    </w:p>
    <w:p w14:paraId="4E084135" w14:textId="1C11365A" w:rsidR="00EA225A" w:rsidRPr="00D72A7D" w:rsidRDefault="00EA225A" w:rsidP="004B762B">
      <w:pPr>
        <w:pStyle w:val="Sraopastraipa"/>
        <w:numPr>
          <w:ilvl w:val="2"/>
          <w:numId w:val="1"/>
        </w:numPr>
        <w:tabs>
          <w:tab w:val="left" w:pos="993"/>
        </w:tabs>
        <w:suppressAutoHyphens/>
        <w:spacing w:after="0" w:line="240" w:lineRule="auto"/>
        <w:ind w:left="0" w:firstLine="567"/>
        <w:contextualSpacing w:val="0"/>
        <w:jc w:val="both"/>
        <w:rPr>
          <w:rFonts w:ascii="Times New Roman" w:hAnsi="Times New Roman"/>
          <w:sz w:val="24"/>
          <w:szCs w:val="24"/>
        </w:rPr>
      </w:pPr>
      <w:r w:rsidRPr="00D72A7D">
        <w:rPr>
          <w:rFonts w:ascii="Times New Roman" w:hAnsi="Times New Roman"/>
          <w:sz w:val="24"/>
          <w:szCs w:val="24"/>
        </w:rPr>
        <w:t xml:space="preserve"> Metinė aplinkos monitoringo ataskaita aplinkos monitoringo programos vykdytojo</w:t>
      </w:r>
      <w:r w:rsidR="004B762B" w:rsidRPr="00D72A7D">
        <w:rPr>
          <w:rFonts w:ascii="Times New Roman" w:hAnsi="Times New Roman"/>
          <w:sz w:val="24"/>
          <w:szCs w:val="24"/>
        </w:rPr>
        <w:t xml:space="preserve"> </w:t>
      </w:r>
      <w:r w:rsidRPr="00D72A7D">
        <w:rPr>
          <w:rFonts w:ascii="Times New Roman" w:hAnsi="Times New Roman"/>
          <w:sz w:val="24"/>
          <w:szCs w:val="24"/>
        </w:rPr>
        <w:t>pateikiama Šalčininkų rajono savivaldybės administracijai rašytine ir elektronine forma ir Aplinkos apsaugos agentūrai (toliau – AAA) tik elektronine forma per 1 mėn. nuo kiekvienų metų IV ketvirčio pabaigos.</w:t>
      </w:r>
    </w:p>
    <w:p w14:paraId="17E23088" w14:textId="59A5C695" w:rsidR="00EA225A" w:rsidRPr="00D72A7D" w:rsidRDefault="00947CCF" w:rsidP="004B762B">
      <w:pPr>
        <w:pStyle w:val="Sraopastraipa"/>
        <w:numPr>
          <w:ilvl w:val="2"/>
          <w:numId w:val="1"/>
        </w:numPr>
        <w:tabs>
          <w:tab w:val="left" w:pos="993"/>
        </w:tabs>
        <w:suppressAutoHyphens/>
        <w:spacing w:after="0" w:line="240" w:lineRule="auto"/>
        <w:ind w:left="0" w:firstLine="567"/>
        <w:contextualSpacing w:val="0"/>
        <w:jc w:val="both"/>
        <w:rPr>
          <w:rFonts w:ascii="Times New Roman" w:hAnsi="Times New Roman"/>
          <w:sz w:val="24"/>
          <w:szCs w:val="24"/>
        </w:rPr>
      </w:pPr>
      <w:r w:rsidRPr="00D72A7D">
        <w:rPr>
          <w:rFonts w:ascii="Times New Roman" w:hAnsi="Times New Roman"/>
          <w:sz w:val="24"/>
          <w:szCs w:val="24"/>
        </w:rPr>
        <w:t xml:space="preserve"> Galutinė aplinkos monitoringo ataskaita aplinkos monitoringo programos vykdytojo pateikiama Šalčininkų rajono savivaldybės administracijai rašytine ir elektronine forma iki 2028 m. vasario mėn. 20 d. ir AAA (suderinus su Šalčininkų rajono savivaldybės administracija) tik elektronine forma iki 2028 m. vasario 28 d.</w:t>
      </w:r>
    </w:p>
    <w:p w14:paraId="314383C0" w14:textId="7B653751" w:rsidR="00741EA1" w:rsidRPr="00D72A7D" w:rsidRDefault="00741EA1" w:rsidP="000D5DF4">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 xml:space="preserve">Paslaugų teikėjas kasmet prieš pradedant stebėseną privalo suderinti aplinkos monitoringo Tyrimų (toliau – Tyrimai) grafikus su </w:t>
      </w:r>
      <w:r w:rsidR="00632575" w:rsidRPr="00D72A7D">
        <w:rPr>
          <w:rFonts w:ascii="Times New Roman" w:hAnsi="Times New Roman"/>
          <w:sz w:val="24"/>
          <w:szCs w:val="24"/>
        </w:rPr>
        <w:t>Paslaugos gavėj</w:t>
      </w:r>
      <w:r w:rsidR="00145006" w:rsidRPr="00D72A7D">
        <w:rPr>
          <w:rFonts w:ascii="Times New Roman" w:hAnsi="Times New Roman"/>
          <w:sz w:val="24"/>
          <w:szCs w:val="24"/>
        </w:rPr>
        <w:t>u</w:t>
      </w:r>
      <w:r w:rsidRPr="00D72A7D">
        <w:rPr>
          <w:rFonts w:ascii="Times New Roman" w:hAnsi="Times New Roman"/>
          <w:sz w:val="24"/>
          <w:szCs w:val="24"/>
        </w:rPr>
        <w:t>. Prieš atliekant Tyrimus, iš anksto elektroniniu paštu informuoti už sutarties vy</w:t>
      </w:r>
      <w:r w:rsidR="004F48FB" w:rsidRPr="00D72A7D">
        <w:rPr>
          <w:rFonts w:ascii="Times New Roman" w:hAnsi="Times New Roman"/>
          <w:sz w:val="24"/>
          <w:szCs w:val="24"/>
        </w:rPr>
        <w:t>kdymą paskirtą asmenį</w:t>
      </w:r>
      <w:r w:rsidRPr="00D72A7D">
        <w:rPr>
          <w:rFonts w:ascii="Times New Roman" w:hAnsi="Times New Roman"/>
          <w:sz w:val="24"/>
          <w:szCs w:val="24"/>
        </w:rPr>
        <w:t xml:space="preserve"> bei jam paprašius, sudaryti sąlygas dalyvauti Tyrimuose.</w:t>
      </w:r>
    </w:p>
    <w:p w14:paraId="7F708388" w14:textId="2F58C6B0" w:rsidR="00337A0B" w:rsidRPr="00D72A7D" w:rsidRDefault="00337A0B" w:rsidP="004F0B93">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 xml:space="preserve"> Paslaugos vykdymo metu atlikus stebėjimą/matavimą per </w:t>
      </w:r>
      <w:r w:rsidR="00E0411F" w:rsidRPr="00D72A7D">
        <w:rPr>
          <w:rFonts w:ascii="Times New Roman" w:hAnsi="Times New Roman"/>
          <w:sz w:val="24"/>
          <w:szCs w:val="24"/>
        </w:rPr>
        <w:t>10</w:t>
      </w:r>
      <w:r w:rsidRPr="00D72A7D">
        <w:rPr>
          <w:rFonts w:ascii="Times New Roman" w:hAnsi="Times New Roman"/>
          <w:sz w:val="24"/>
          <w:szCs w:val="24"/>
        </w:rPr>
        <w:t xml:space="preserve"> darbo dienas pateikti </w:t>
      </w:r>
      <w:r w:rsidR="00284075" w:rsidRPr="00D72A7D">
        <w:rPr>
          <w:rFonts w:ascii="Times New Roman" w:hAnsi="Times New Roman"/>
          <w:sz w:val="24"/>
          <w:szCs w:val="24"/>
        </w:rPr>
        <w:t>Paslaugos gavėjui</w:t>
      </w:r>
      <w:r w:rsidRPr="00D72A7D">
        <w:rPr>
          <w:rFonts w:ascii="Times New Roman" w:hAnsi="Times New Roman"/>
          <w:sz w:val="24"/>
          <w:szCs w:val="24"/>
        </w:rPr>
        <w:t xml:space="preserve"> gautus duomenis suderintu formatu.</w:t>
      </w:r>
    </w:p>
    <w:p w14:paraId="1A72F3AA" w14:textId="40D279CC" w:rsidR="00337A0B" w:rsidRPr="00D72A7D" w:rsidRDefault="00337A0B" w:rsidP="004F0B93">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lastRenderedPageBreak/>
        <w:t xml:space="preserve">Paslaugos vykdymo metu, nustačius tiriamų parametrų ribinių verčių viršijimą ar kitokius aplinkosaugos reikalavimų pažeidimus, nedelsiant informuoti </w:t>
      </w:r>
      <w:r w:rsidR="000631E4" w:rsidRPr="00D72A7D">
        <w:rPr>
          <w:rFonts w:ascii="Times New Roman" w:hAnsi="Times New Roman"/>
          <w:sz w:val="24"/>
          <w:szCs w:val="24"/>
        </w:rPr>
        <w:t>Paslaugos gavėją</w:t>
      </w:r>
      <w:r w:rsidRPr="00D72A7D">
        <w:rPr>
          <w:rFonts w:ascii="Times New Roman" w:hAnsi="Times New Roman"/>
          <w:sz w:val="24"/>
          <w:szCs w:val="24"/>
        </w:rPr>
        <w:t>;</w:t>
      </w:r>
    </w:p>
    <w:p w14:paraId="15E47E73" w14:textId="27514CD1" w:rsidR="00337A0B" w:rsidRPr="00D72A7D" w:rsidRDefault="00337A0B" w:rsidP="004F0B93">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Numatomos Paslaugos apimtys per visą sutarties galiojimo laikotarpį nurodytos pateiktos</w:t>
      </w:r>
      <w:r w:rsidR="00E1522F" w:rsidRPr="00D72A7D">
        <w:rPr>
          <w:rFonts w:ascii="Times New Roman" w:hAnsi="Times New Roman"/>
          <w:sz w:val="24"/>
          <w:szCs w:val="24"/>
        </w:rPr>
        <w:t xml:space="preserve"> </w:t>
      </w:r>
      <w:r w:rsidRPr="00D72A7D">
        <w:rPr>
          <w:rFonts w:ascii="Times New Roman" w:hAnsi="Times New Roman"/>
          <w:sz w:val="24"/>
          <w:szCs w:val="24"/>
        </w:rPr>
        <w:t xml:space="preserve">Techninės </w:t>
      </w:r>
      <w:r w:rsidR="00E1522F" w:rsidRPr="00D72A7D">
        <w:rPr>
          <w:rFonts w:ascii="Times New Roman" w:hAnsi="Times New Roman"/>
          <w:sz w:val="24"/>
          <w:szCs w:val="24"/>
        </w:rPr>
        <w:t>užduoties</w:t>
      </w:r>
      <w:r w:rsidRPr="00D72A7D">
        <w:rPr>
          <w:rFonts w:ascii="Times New Roman" w:hAnsi="Times New Roman"/>
          <w:sz w:val="24"/>
          <w:szCs w:val="24"/>
        </w:rPr>
        <w:t xml:space="preserve"> 1 priede.</w:t>
      </w:r>
    </w:p>
    <w:p w14:paraId="4EFCF9B2" w14:textId="5A040D2F" w:rsidR="00B21C5C" w:rsidRPr="00D72A7D" w:rsidRDefault="00B21C5C" w:rsidP="000D5DF4">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Paslaugų teikėjas privalo pasirūpinti nepertraukiamų Tyrimų atlikimui reikalinga įranga, jos įrengimu ir priežiūra.</w:t>
      </w:r>
    </w:p>
    <w:p w14:paraId="62B09DBF" w14:textId="77206805" w:rsidR="00A870AF" w:rsidRPr="00D72A7D" w:rsidRDefault="00A870AF" w:rsidP="000D5DF4">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 xml:space="preserve">Informacijos apie teikiamas Paslaugas viešinimas </w:t>
      </w:r>
      <w:r w:rsidR="00741EA1" w:rsidRPr="00D72A7D">
        <w:rPr>
          <w:rFonts w:ascii="Times New Roman" w:hAnsi="Times New Roman"/>
          <w:sz w:val="24"/>
          <w:szCs w:val="24"/>
        </w:rPr>
        <w:t>Paslaugų gavėjo</w:t>
      </w:r>
      <w:r w:rsidRPr="00D72A7D">
        <w:rPr>
          <w:rFonts w:ascii="Times New Roman" w:hAnsi="Times New Roman"/>
          <w:sz w:val="24"/>
          <w:szCs w:val="24"/>
        </w:rPr>
        <w:t xml:space="preserve"> svetainėje. </w:t>
      </w:r>
      <w:r w:rsidR="00741EA1" w:rsidRPr="00D72A7D">
        <w:rPr>
          <w:rFonts w:ascii="Times New Roman" w:hAnsi="Times New Roman"/>
          <w:sz w:val="24"/>
          <w:szCs w:val="24"/>
        </w:rPr>
        <w:t>Paslaugų teikėjas, Paslaugų gavėjui paprašius, turi teikti informaciją visuomenei, Paslaugų gavėjui, valstybės institucijoms ir kt. teisės aktų nustatyta tvarka.</w:t>
      </w:r>
    </w:p>
    <w:p w14:paraId="08E00AE8" w14:textId="6728C2C6" w:rsidR="00090747" w:rsidRPr="00D72A7D" w:rsidRDefault="00090747" w:rsidP="00090747">
      <w:pPr>
        <w:numPr>
          <w:ilvl w:val="1"/>
          <w:numId w:val="1"/>
        </w:numPr>
        <w:tabs>
          <w:tab w:val="left" w:pos="993"/>
        </w:tabs>
        <w:suppressAutoHyphens/>
        <w:spacing w:after="0" w:line="240" w:lineRule="auto"/>
        <w:ind w:left="0" w:firstLine="567"/>
        <w:contextualSpacing/>
        <w:jc w:val="both"/>
        <w:rPr>
          <w:rFonts w:ascii="Times New Roman" w:hAnsi="Times New Roman"/>
          <w:sz w:val="24"/>
          <w:szCs w:val="24"/>
        </w:rPr>
      </w:pPr>
      <w:r w:rsidRPr="00D72A7D">
        <w:rPr>
          <w:rFonts w:ascii="Times New Roman" w:hAnsi="Times New Roman"/>
          <w:sz w:val="24"/>
          <w:szCs w:val="24"/>
        </w:rPr>
        <w:t>Paslauga turi būti atlikta kokybiškai ir su Paslaugos gavėju suderintu laiku.</w:t>
      </w:r>
    </w:p>
    <w:p w14:paraId="2D765ACF"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3B69DFB"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0A137F62"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166160F0"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4BC62908" w14:textId="77777777" w:rsidR="00B22AFB" w:rsidRPr="00D72A7D" w:rsidRDefault="00B22AFB" w:rsidP="00D72A7D">
      <w:pPr>
        <w:tabs>
          <w:tab w:val="left" w:pos="993"/>
        </w:tabs>
        <w:suppressAutoHyphens/>
        <w:spacing w:after="0" w:line="240" w:lineRule="auto"/>
        <w:contextualSpacing/>
        <w:jc w:val="right"/>
        <w:rPr>
          <w:rFonts w:ascii="Times New Roman" w:hAnsi="Times New Roman"/>
          <w:b/>
          <w:bCs/>
          <w:sz w:val="24"/>
          <w:szCs w:val="24"/>
        </w:rPr>
      </w:pPr>
    </w:p>
    <w:p w14:paraId="68D567D0"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B620F35"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CEAFABD"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684621D8"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7AE028B4"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8BEA39A"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4EF6A41"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1B782CF"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7CBD621B"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588E2D59"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6CC71E28"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0C8DC580"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32144A8"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0A4C502F"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7B65F570"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513808AF"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631D5F9D"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426CFC4D"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4F5BD9D"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5F5C87DC"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2875B19"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61BF0E23"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5E5D921A"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08CE2FEB"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49E79686"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449EF4BF"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67E5CD8D"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344BAE5"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3F67B2C0"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4D5A6463"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24850190"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2A98A7F4"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0C90C86A"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2E8021C5"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79DD3E21"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5EC4E6CB"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471E0C0D"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1BB3C8AF" w14:textId="77777777" w:rsidR="00B22AFB" w:rsidRPr="00D72A7D" w:rsidRDefault="00B22AFB" w:rsidP="00FA21D2">
      <w:pPr>
        <w:tabs>
          <w:tab w:val="left" w:pos="993"/>
        </w:tabs>
        <w:suppressAutoHyphens/>
        <w:spacing w:after="0" w:line="240" w:lineRule="auto"/>
        <w:ind w:left="567"/>
        <w:contextualSpacing/>
        <w:jc w:val="right"/>
        <w:rPr>
          <w:rFonts w:ascii="Times New Roman" w:hAnsi="Times New Roman"/>
          <w:b/>
          <w:bCs/>
          <w:sz w:val="24"/>
          <w:szCs w:val="24"/>
        </w:rPr>
      </w:pPr>
    </w:p>
    <w:p w14:paraId="534EF814" w14:textId="5B26AB74" w:rsidR="00090747" w:rsidRPr="00D72A7D" w:rsidRDefault="00FA21D2" w:rsidP="00FA21D2">
      <w:pPr>
        <w:tabs>
          <w:tab w:val="left" w:pos="993"/>
        </w:tabs>
        <w:suppressAutoHyphens/>
        <w:spacing w:after="0" w:line="240" w:lineRule="auto"/>
        <w:ind w:left="567"/>
        <w:contextualSpacing/>
        <w:jc w:val="right"/>
        <w:rPr>
          <w:rFonts w:ascii="Times New Roman" w:hAnsi="Times New Roman"/>
          <w:sz w:val="24"/>
          <w:szCs w:val="24"/>
        </w:rPr>
      </w:pPr>
      <w:r w:rsidRPr="00D72A7D">
        <w:rPr>
          <w:rFonts w:ascii="Times New Roman" w:hAnsi="Times New Roman"/>
          <w:sz w:val="24"/>
          <w:szCs w:val="24"/>
        </w:rPr>
        <w:t>1 priedas</w:t>
      </w:r>
    </w:p>
    <w:p w14:paraId="274F288F" w14:textId="6A2D1FC1" w:rsidR="00FA21D2" w:rsidRPr="00D72A7D" w:rsidRDefault="00FA21D2" w:rsidP="00FA21D2">
      <w:pPr>
        <w:tabs>
          <w:tab w:val="left" w:pos="993"/>
        </w:tabs>
        <w:suppressAutoHyphens/>
        <w:spacing w:after="0" w:line="240" w:lineRule="auto"/>
        <w:ind w:left="567"/>
        <w:contextualSpacing/>
        <w:jc w:val="right"/>
        <w:rPr>
          <w:rFonts w:ascii="Times New Roman" w:hAnsi="Times New Roman"/>
          <w:sz w:val="24"/>
          <w:szCs w:val="24"/>
        </w:rPr>
      </w:pPr>
      <w:r w:rsidRPr="00D72A7D">
        <w:rPr>
          <w:rFonts w:ascii="Times New Roman" w:hAnsi="Times New Roman"/>
          <w:sz w:val="24"/>
          <w:szCs w:val="24"/>
        </w:rPr>
        <w:t>Te</w:t>
      </w:r>
      <w:r w:rsidR="00E14918" w:rsidRPr="00D72A7D">
        <w:rPr>
          <w:rFonts w:ascii="Times New Roman" w:hAnsi="Times New Roman"/>
          <w:sz w:val="24"/>
          <w:szCs w:val="24"/>
        </w:rPr>
        <w:t>chninė užduotis</w:t>
      </w:r>
    </w:p>
    <w:p w14:paraId="7E6D21F6" w14:textId="77777777" w:rsidR="00E14918" w:rsidRPr="00D72A7D" w:rsidRDefault="00E14918" w:rsidP="00FA21D2">
      <w:pPr>
        <w:tabs>
          <w:tab w:val="left" w:pos="993"/>
        </w:tabs>
        <w:suppressAutoHyphens/>
        <w:spacing w:after="0" w:line="240" w:lineRule="auto"/>
        <w:ind w:left="567"/>
        <w:contextualSpacing/>
        <w:jc w:val="right"/>
        <w:rPr>
          <w:rFonts w:ascii="Times New Roman" w:hAnsi="Times New Roman"/>
          <w:sz w:val="24"/>
          <w:szCs w:val="24"/>
        </w:rPr>
      </w:pPr>
    </w:p>
    <w:p w14:paraId="513E5972" w14:textId="77777777" w:rsidR="00E14918" w:rsidRPr="00D72A7D" w:rsidRDefault="00E14918" w:rsidP="00E14918">
      <w:pPr>
        <w:jc w:val="center"/>
        <w:rPr>
          <w:rFonts w:ascii="Times New Roman" w:hAnsi="Times New Roman" w:cs="Times New Roman"/>
          <w:b/>
          <w:sz w:val="24"/>
          <w:szCs w:val="24"/>
        </w:rPr>
      </w:pPr>
      <w:r w:rsidRPr="00D72A7D">
        <w:rPr>
          <w:rFonts w:ascii="Times New Roman" w:hAnsi="Times New Roman" w:cs="Times New Roman"/>
          <w:b/>
          <w:sz w:val="24"/>
          <w:szCs w:val="24"/>
        </w:rPr>
        <w:t>PASLAUGOS APIMTYS</w:t>
      </w:r>
    </w:p>
    <w:p w14:paraId="5C60CA4C" w14:textId="77777777" w:rsidR="0084401F" w:rsidRPr="00D72A7D" w:rsidRDefault="0084401F" w:rsidP="00D72A7D">
      <w:pPr>
        <w:tabs>
          <w:tab w:val="left" w:pos="993"/>
        </w:tabs>
        <w:suppressAutoHyphens/>
        <w:spacing w:after="0" w:line="240" w:lineRule="auto"/>
        <w:ind w:left="142"/>
        <w:contextualSpacing/>
        <w:jc w:val="center"/>
        <w:rPr>
          <w:rFonts w:ascii="Times New Roman" w:hAnsi="Times New Roman"/>
          <w:sz w:val="24"/>
          <w:szCs w:val="24"/>
        </w:rPr>
      </w:pPr>
    </w:p>
    <w:tbl>
      <w:tblPr>
        <w:tblStyle w:val="Lentelstinklelis1"/>
        <w:tblW w:w="0" w:type="auto"/>
        <w:tblInd w:w="-147" w:type="dxa"/>
        <w:tblLook w:val="04A0" w:firstRow="1" w:lastRow="0" w:firstColumn="1" w:lastColumn="0" w:noHBand="0" w:noVBand="1"/>
      </w:tblPr>
      <w:tblGrid>
        <w:gridCol w:w="2811"/>
        <w:gridCol w:w="1719"/>
        <w:gridCol w:w="1830"/>
        <w:gridCol w:w="1327"/>
        <w:gridCol w:w="696"/>
        <w:gridCol w:w="696"/>
        <w:gridCol w:w="696"/>
      </w:tblGrid>
      <w:tr w:rsidR="00D72A7D" w:rsidRPr="00D72A7D" w14:paraId="3334D388" w14:textId="77777777" w:rsidTr="00D72A7D">
        <w:tc>
          <w:tcPr>
            <w:tcW w:w="2811" w:type="dxa"/>
          </w:tcPr>
          <w:p w14:paraId="150EDC1C" w14:textId="77777777" w:rsidR="00D72A7D" w:rsidRPr="00D72A7D" w:rsidRDefault="00D72A7D" w:rsidP="00D72A7D">
            <w:pPr>
              <w:jc w:val="center"/>
              <w:rPr>
                <w:b/>
                <w:sz w:val="24"/>
                <w:szCs w:val="24"/>
              </w:rPr>
            </w:pPr>
            <w:r w:rsidRPr="00D72A7D">
              <w:rPr>
                <w:b/>
                <w:sz w:val="24"/>
                <w:szCs w:val="24"/>
              </w:rPr>
              <w:t>Matavimo vietos</w:t>
            </w:r>
          </w:p>
          <w:p w14:paraId="761ED1F2" w14:textId="77777777" w:rsidR="00D72A7D" w:rsidRPr="00D72A7D" w:rsidRDefault="00D72A7D" w:rsidP="00D72A7D">
            <w:pPr>
              <w:tabs>
                <w:tab w:val="left" w:pos="993"/>
              </w:tabs>
              <w:suppressAutoHyphens/>
              <w:contextualSpacing/>
              <w:jc w:val="center"/>
              <w:rPr>
                <w:sz w:val="24"/>
                <w:szCs w:val="24"/>
              </w:rPr>
            </w:pPr>
            <w:r w:rsidRPr="00D72A7D">
              <w:rPr>
                <w:b/>
                <w:sz w:val="24"/>
                <w:szCs w:val="24"/>
              </w:rPr>
              <w:t>pavadinimas</w:t>
            </w:r>
          </w:p>
        </w:tc>
        <w:tc>
          <w:tcPr>
            <w:tcW w:w="1719" w:type="dxa"/>
          </w:tcPr>
          <w:p w14:paraId="17691E76" w14:textId="77777777" w:rsidR="00D72A7D" w:rsidRPr="00D72A7D" w:rsidRDefault="00D72A7D" w:rsidP="00D72A7D">
            <w:pPr>
              <w:tabs>
                <w:tab w:val="left" w:pos="993"/>
              </w:tabs>
              <w:suppressAutoHyphens/>
              <w:contextualSpacing/>
              <w:jc w:val="center"/>
              <w:rPr>
                <w:sz w:val="24"/>
                <w:szCs w:val="24"/>
              </w:rPr>
            </w:pPr>
            <w:r w:rsidRPr="00D72A7D">
              <w:rPr>
                <w:b/>
                <w:sz w:val="24"/>
                <w:szCs w:val="24"/>
              </w:rPr>
              <w:t>Stebimi parametrai</w:t>
            </w:r>
          </w:p>
        </w:tc>
        <w:tc>
          <w:tcPr>
            <w:tcW w:w="1830" w:type="dxa"/>
          </w:tcPr>
          <w:p w14:paraId="36C25DEC" w14:textId="77777777" w:rsidR="00D72A7D" w:rsidRPr="00D72A7D" w:rsidRDefault="00D72A7D" w:rsidP="00D72A7D">
            <w:pPr>
              <w:tabs>
                <w:tab w:val="left" w:pos="993"/>
              </w:tabs>
              <w:suppressAutoHyphens/>
              <w:contextualSpacing/>
              <w:jc w:val="center"/>
              <w:rPr>
                <w:b/>
                <w:bCs/>
                <w:sz w:val="24"/>
                <w:szCs w:val="24"/>
              </w:rPr>
            </w:pPr>
            <w:r w:rsidRPr="00D72A7D">
              <w:rPr>
                <w:b/>
                <w:sz w:val="24"/>
                <w:szCs w:val="24"/>
              </w:rPr>
              <w:t>Matavimų periodiškumas</w:t>
            </w:r>
          </w:p>
        </w:tc>
        <w:tc>
          <w:tcPr>
            <w:tcW w:w="1327" w:type="dxa"/>
          </w:tcPr>
          <w:p w14:paraId="599A0465" w14:textId="77777777" w:rsidR="00D72A7D" w:rsidRPr="00D72A7D" w:rsidRDefault="00D72A7D" w:rsidP="00D72A7D">
            <w:pPr>
              <w:tabs>
                <w:tab w:val="left" w:pos="993"/>
              </w:tabs>
              <w:suppressAutoHyphens/>
              <w:contextualSpacing/>
              <w:jc w:val="center"/>
              <w:rPr>
                <w:b/>
                <w:sz w:val="24"/>
                <w:szCs w:val="24"/>
              </w:rPr>
            </w:pPr>
            <w:bookmarkStart w:id="1" w:name="_Hlk201046846"/>
            <w:r w:rsidRPr="00D72A7D">
              <w:rPr>
                <w:b/>
                <w:sz w:val="24"/>
                <w:szCs w:val="24"/>
              </w:rPr>
              <w:t>Iš viso matavimų per sutarties galiojimo laikotarpį</w:t>
            </w:r>
            <w:bookmarkEnd w:id="1"/>
          </w:p>
        </w:tc>
        <w:tc>
          <w:tcPr>
            <w:tcW w:w="696" w:type="dxa"/>
          </w:tcPr>
          <w:p w14:paraId="04A7727C" w14:textId="77777777" w:rsidR="00D72A7D" w:rsidRPr="00D72A7D" w:rsidRDefault="00D72A7D" w:rsidP="00D72A7D">
            <w:pPr>
              <w:tabs>
                <w:tab w:val="left" w:pos="993"/>
              </w:tabs>
              <w:suppressAutoHyphens/>
              <w:contextualSpacing/>
              <w:jc w:val="center"/>
              <w:rPr>
                <w:b/>
                <w:sz w:val="24"/>
                <w:szCs w:val="24"/>
              </w:rPr>
            </w:pPr>
            <w:r w:rsidRPr="00D72A7D">
              <w:rPr>
                <w:b/>
                <w:sz w:val="24"/>
                <w:szCs w:val="24"/>
              </w:rPr>
              <w:t>2025</w:t>
            </w:r>
          </w:p>
        </w:tc>
        <w:tc>
          <w:tcPr>
            <w:tcW w:w="696" w:type="dxa"/>
          </w:tcPr>
          <w:p w14:paraId="26DF9FB8" w14:textId="77777777" w:rsidR="00D72A7D" w:rsidRPr="00D72A7D" w:rsidRDefault="00D72A7D" w:rsidP="00D72A7D">
            <w:pPr>
              <w:tabs>
                <w:tab w:val="left" w:pos="993"/>
              </w:tabs>
              <w:suppressAutoHyphens/>
              <w:contextualSpacing/>
              <w:jc w:val="center"/>
              <w:rPr>
                <w:b/>
                <w:sz w:val="24"/>
                <w:szCs w:val="24"/>
              </w:rPr>
            </w:pPr>
            <w:r w:rsidRPr="00D72A7D">
              <w:rPr>
                <w:b/>
                <w:sz w:val="24"/>
                <w:szCs w:val="24"/>
              </w:rPr>
              <w:t>2026</w:t>
            </w:r>
          </w:p>
        </w:tc>
        <w:tc>
          <w:tcPr>
            <w:tcW w:w="696" w:type="dxa"/>
          </w:tcPr>
          <w:p w14:paraId="6BFF10CF" w14:textId="77777777" w:rsidR="00D72A7D" w:rsidRPr="00D72A7D" w:rsidRDefault="00D72A7D" w:rsidP="00D72A7D">
            <w:pPr>
              <w:tabs>
                <w:tab w:val="left" w:pos="993"/>
              </w:tabs>
              <w:suppressAutoHyphens/>
              <w:contextualSpacing/>
              <w:jc w:val="center"/>
              <w:rPr>
                <w:b/>
                <w:sz w:val="24"/>
                <w:szCs w:val="24"/>
              </w:rPr>
            </w:pPr>
            <w:r w:rsidRPr="00D72A7D">
              <w:rPr>
                <w:b/>
                <w:sz w:val="24"/>
                <w:szCs w:val="24"/>
              </w:rPr>
              <w:t>2027</w:t>
            </w:r>
          </w:p>
        </w:tc>
      </w:tr>
      <w:tr w:rsidR="00D72A7D" w:rsidRPr="00D72A7D" w14:paraId="199690F9" w14:textId="77777777" w:rsidTr="00D72A7D">
        <w:tc>
          <w:tcPr>
            <w:tcW w:w="9775" w:type="dxa"/>
            <w:gridSpan w:val="7"/>
          </w:tcPr>
          <w:p w14:paraId="0CA3C57A" w14:textId="77777777" w:rsidR="00D72A7D" w:rsidRPr="00D72A7D" w:rsidRDefault="00D72A7D" w:rsidP="00D72A7D">
            <w:pPr>
              <w:tabs>
                <w:tab w:val="left" w:pos="993"/>
              </w:tabs>
              <w:suppressAutoHyphens/>
              <w:spacing w:before="120" w:after="120"/>
              <w:contextualSpacing/>
              <w:jc w:val="center"/>
              <w:rPr>
                <w:b/>
                <w:sz w:val="24"/>
                <w:szCs w:val="24"/>
              </w:rPr>
            </w:pPr>
          </w:p>
          <w:p w14:paraId="01DB8E39" w14:textId="77777777" w:rsidR="00D72A7D" w:rsidRPr="00D72A7D" w:rsidRDefault="00D72A7D" w:rsidP="00D72A7D">
            <w:pPr>
              <w:tabs>
                <w:tab w:val="left" w:pos="993"/>
              </w:tabs>
              <w:suppressAutoHyphens/>
              <w:spacing w:before="120" w:after="120"/>
              <w:contextualSpacing/>
              <w:jc w:val="center"/>
              <w:rPr>
                <w:b/>
                <w:sz w:val="24"/>
                <w:szCs w:val="24"/>
              </w:rPr>
            </w:pPr>
            <w:r w:rsidRPr="00D72A7D">
              <w:rPr>
                <w:b/>
                <w:sz w:val="24"/>
                <w:szCs w:val="24"/>
              </w:rPr>
              <w:t xml:space="preserve">Oro monitoringas </w:t>
            </w:r>
          </w:p>
          <w:p w14:paraId="5EEBDD53" w14:textId="77777777" w:rsidR="00D72A7D" w:rsidRPr="00D72A7D" w:rsidRDefault="00D72A7D" w:rsidP="00D72A7D">
            <w:pPr>
              <w:tabs>
                <w:tab w:val="left" w:pos="993"/>
              </w:tabs>
              <w:suppressAutoHyphens/>
              <w:spacing w:before="120" w:after="120"/>
              <w:contextualSpacing/>
              <w:jc w:val="center"/>
              <w:rPr>
                <w:b/>
                <w:sz w:val="24"/>
                <w:szCs w:val="24"/>
              </w:rPr>
            </w:pPr>
          </w:p>
        </w:tc>
      </w:tr>
      <w:tr w:rsidR="00D72A7D" w:rsidRPr="00D72A7D" w14:paraId="78CA4ECD" w14:textId="77777777" w:rsidTr="00D72A7D">
        <w:tc>
          <w:tcPr>
            <w:tcW w:w="2811" w:type="dxa"/>
          </w:tcPr>
          <w:p w14:paraId="40446671" w14:textId="77777777" w:rsidR="00D72A7D" w:rsidRPr="00D72A7D" w:rsidRDefault="00D72A7D" w:rsidP="00D72A7D">
            <w:pPr>
              <w:tabs>
                <w:tab w:val="left" w:pos="993"/>
              </w:tabs>
              <w:suppressAutoHyphens/>
              <w:contextualSpacing/>
              <w:rPr>
                <w:sz w:val="24"/>
                <w:szCs w:val="24"/>
              </w:rPr>
            </w:pPr>
            <w:r w:rsidRPr="00D72A7D">
              <w:rPr>
                <w:sz w:val="24"/>
                <w:szCs w:val="24"/>
              </w:rPr>
              <w:t>Ties Plento g.-Nepriklausomybės g.-Saulėtoji g. sankryža, Šalčininkų miestas</w:t>
            </w:r>
          </w:p>
        </w:tc>
        <w:tc>
          <w:tcPr>
            <w:tcW w:w="1719" w:type="dxa"/>
            <w:vMerge w:val="restart"/>
          </w:tcPr>
          <w:p w14:paraId="1B1AC98E" w14:textId="77777777" w:rsidR="00D72A7D" w:rsidRPr="00D72A7D" w:rsidRDefault="00D72A7D" w:rsidP="00D72A7D">
            <w:pPr>
              <w:tabs>
                <w:tab w:val="left" w:pos="993"/>
              </w:tabs>
              <w:suppressAutoHyphens/>
              <w:contextualSpacing/>
              <w:jc w:val="center"/>
              <w:rPr>
                <w:sz w:val="24"/>
                <w:szCs w:val="24"/>
              </w:rPr>
            </w:pPr>
          </w:p>
          <w:p w14:paraId="6DB31184" w14:textId="77777777" w:rsidR="00D72A7D" w:rsidRPr="00D72A7D" w:rsidRDefault="00D72A7D" w:rsidP="00D72A7D">
            <w:pPr>
              <w:tabs>
                <w:tab w:val="left" w:pos="993"/>
              </w:tabs>
              <w:suppressAutoHyphens/>
              <w:contextualSpacing/>
              <w:jc w:val="center"/>
              <w:rPr>
                <w:sz w:val="24"/>
                <w:szCs w:val="24"/>
              </w:rPr>
            </w:pPr>
            <w:r w:rsidRPr="00D72A7D">
              <w:rPr>
                <w:sz w:val="24"/>
                <w:szCs w:val="24"/>
              </w:rPr>
              <w:t>NO</w:t>
            </w:r>
            <w:r w:rsidRPr="00D72A7D">
              <w:rPr>
                <w:sz w:val="24"/>
                <w:szCs w:val="24"/>
                <w:vertAlign w:val="subscript"/>
              </w:rPr>
              <w:t>2</w:t>
            </w:r>
            <w:r w:rsidRPr="00D72A7D">
              <w:rPr>
                <w:sz w:val="24"/>
                <w:szCs w:val="24"/>
              </w:rPr>
              <w:t>, SO</w:t>
            </w:r>
            <w:r w:rsidRPr="00D72A7D">
              <w:rPr>
                <w:sz w:val="24"/>
                <w:szCs w:val="24"/>
                <w:vertAlign w:val="subscript"/>
              </w:rPr>
              <w:t>2</w:t>
            </w:r>
            <w:r w:rsidRPr="00D72A7D">
              <w:rPr>
                <w:sz w:val="24"/>
                <w:szCs w:val="24"/>
              </w:rPr>
              <w:t>, LOJ, KD</w:t>
            </w:r>
            <w:r w:rsidRPr="00D72A7D">
              <w:rPr>
                <w:sz w:val="24"/>
                <w:szCs w:val="24"/>
                <w:vertAlign w:val="subscript"/>
              </w:rPr>
              <w:t>10</w:t>
            </w:r>
            <w:r w:rsidRPr="00D72A7D">
              <w:rPr>
                <w:sz w:val="24"/>
                <w:szCs w:val="24"/>
              </w:rPr>
              <w:t>, CO</w:t>
            </w:r>
          </w:p>
          <w:p w14:paraId="09B3F95B" w14:textId="77777777" w:rsidR="00D72A7D" w:rsidRPr="00D72A7D" w:rsidRDefault="00D72A7D" w:rsidP="00D72A7D">
            <w:pPr>
              <w:tabs>
                <w:tab w:val="left" w:pos="993"/>
              </w:tabs>
              <w:suppressAutoHyphens/>
              <w:contextualSpacing/>
              <w:jc w:val="center"/>
              <w:rPr>
                <w:b/>
                <w:bCs/>
              </w:rPr>
            </w:pPr>
          </w:p>
          <w:p w14:paraId="5871CA09" w14:textId="77777777" w:rsidR="00D72A7D" w:rsidRPr="00D72A7D" w:rsidRDefault="00D72A7D" w:rsidP="00D72A7D">
            <w:pPr>
              <w:tabs>
                <w:tab w:val="left" w:pos="993"/>
              </w:tabs>
              <w:suppressAutoHyphens/>
              <w:contextualSpacing/>
              <w:jc w:val="center"/>
              <w:rPr>
                <w:b/>
                <w:bCs/>
              </w:rPr>
            </w:pPr>
          </w:p>
          <w:p w14:paraId="20609B08" w14:textId="77777777" w:rsidR="00D72A7D" w:rsidRPr="00D72A7D" w:rsidRDefault="00D72A7D" w:rsidP="00D72A7D">
            <w:pPr>
              <w:tabs>
                <w:tab w:val="left" w:pos="993"/>
              </w:tabs>
              <w:suppressAutoHyphens/>
              <w:contextualSpacing/>
              <w:jc w:val="center"/>
              <w:rPr>
                <w:b/>
                <w:bCs/>
              </w:rPr>
            </w:pPr>
          </w:p>
          <w:p w14:paraId="35283AA1" w14:textId="77777777" w:rsidR="00D72A7D" w:rsidRPr="00D72A7D" w:rsidRDefault="00D72A7D" w:rsidP="00D72A7D">
            <w:pPr>
              <w:tabs>
                <w:tab w:val="left" w:pos="993"/>
              </w:tabs>
              <w:suppressAutoHyphens/>
              <w:contextualSpacing/>
              <w:jc w:val="center"/>
              <w:rPr>
                <w:b/>
                <w:bCs/>
              </w:rPr>
            </w:pPr>
          </w:p>
          <w:p w14:paraId="635DF938" w14:textId="77777777" w:rsidR="00D72A7D" w:rsidRPr="00D72A7D" w:rsidRDefault="00D72A7D" w:rsidP="00D72A7D">
            <w:pPr>
              <w:tabs>
                <w:tab w:val="left" w:pos="993"/>
              </w:tabs>
              <w:suppressAutoHyphens/>
              <w:contextualSpacing/>
              <w:jc w:val="center"/>
              <w:rPr>
                <w:b/>
                <w:bCs/>
              </w:rPr>
            </w:pPr>
          </w:p>
          <w:p w14:paraId="272EC52B" w14:textId="77777777" w:rsidR="00D72A7D" w:rsidRPr="00D72A7D" w:rsidRDefault="00D72A7D" w:rsidP="00D72A7D">
            <w:pPr>
              <w:tabs>
                <w:tab w:val="left" w:pos="993"/>
              </w:tabs>
              <w:suppressAutoHyphens/>
              <w:contextualSpacing/>
              <w:jc w:val="center"/>
              <w:rPr>
                <w:b/>
                <w:bCs/>
              </w:rPr>
            </w:pPr>
          </w:p>
          <w:p w14:paraId="484EC4B5" w14:textId="77777777" w:rsidR="00D72A7D" w:rsidRPr="00D72A7D" w:rsidRDefault="00D72A7D" w:rsidP="00D72A7D">
            <w:pPr>
              <w:tabs>
                <w:tab w:val="left" w:pos="993"/>
              </w:tabs>
              <w:suppressAutoHyphens/>
              <w:contextualSpacing/>
              <w:jc w:val="center"/>
              <w:rPr>
                <w:b/>
                <w:bCs/>
              </w:rPr>
            </w:pPr>
          </w:p>
          <w:p w14:paraId="10DD358A" w14:textId="77777777" w:rsidR="00D72A7D" w:rsidRPr="00D72A7D" w:rsidRDefault="00D72A7D" w:rsidP="00D72A7D">
            <w:pPr>
              <w:tabs>
                <w:tab w:val="left" w:pos="993"/>
              </w:tabs>
              <w:suppressAutoHyphens/>
              <w:contextualSpacing/>
              <w:jc w:val="center"/>
              <w:rPr>
                <w:b/>
                <w:bCs/>
              </w:rPr>
            </w:pPr>
          </w:p>
          <w:p w14:paraId="115BA42F" w14:textId="77777777" w:rsidR="00D72A7D" w:rsidRPr="00D72A7D" w:rsidRDefault="00D72A7D" w:rsidP="00D72A7D">
            <w:pPr>
              <w:tabs>
                <w:tab w:val="left" w:pos="993"/>
              </w:tabs>
              <w:suppressAutoHyphens/>
              <w:contextualSpacing/>
              <w:rPr>
                <w:b/>
                <w:bCs/>
              </w:rPr>
            </w:pPr>
          </w:p>
          <w:p w14:paraId="03B669A2" w14:textId="77777777" w:rsidR="00D72A7D" w:rsidRPr="00D72A7D" w:rsidRDefault="00D72A7D" w:rsidP="00D72A7D">
            <w:pPr>
              <w:tabs>
                <w:tab w:val="left" w:pos="993"/>
              </w:tabs>
              <w:suppressAutoHyphens/>
              <w:contextualSpacing/>
              <w:rPr>
                <w:b/>
                <w:bCs/>
              </w:rPr>
            </w:pPr>
          </w:p>
          <w:p w14:paraId="07FF1511" w14:textId="77777777" w:rsidR="00D72A7D" w:rsidRPr="00D72A7D" w:rsidRDefault="00D72A7D" w:rsidP="00D72A7D">
            <w:pPr>
              <w:tabs>
                <w:tab w:val="left" w:pos="993"/>
              </w:tabs>
              <w:suppressAutoHyphens/>
              <w:contextualSpacing/>
              <w:rPr>
                <w:b/>
                <w:bCs/>
              </w:rPr>
            </w:pPr>
          </w:p>
          <w:p w14:paraId="5FD7DCE7" w14:textId="77777777" w:rsidR="00D72A7D" w:rsidRPr="00D72A7D" w:rsidRDefault="00D72A7D" w:rsidP="00D72A7D">
            <w:pPr>
              <w:tabs>
                <w:tab w:val="left" w:pos="993"/>
              </w:tabs>
              <w:suppressAutoHyphens/>
              <w:contextualSpacing/>
              <w:rPr>
                <w:b/>
                <w:bCs/>
              </w:rPr>
            </w:pPr>
          </w:p>
          <w:p w14:paraId="77427ECE" w14:textId="77777777" w:rsidR="00D72A7D" w:rsidRPr="00D72A7D" w:rsidRDefault="00D72A7D" w:rsidP="00D72A7D">
            <w:pPr>
              <w:tabs>
                <w:tab w:val="left" w:pos="993"/>
              </w:tabs>
              <w:suppressAutoHyphens/>
              <w:contextualSpacing/>
              <w:rPr>
                <w:sz w:val="24"/>
                <w:szCs w:val="24"/>
              </w:rPr>
            </w:pPr>
          </w:p>
        </w:tc>
        <w:tc>
          <w:tcPr>
            <w:tcW w:w="1830" w:type="dxa"/>
            <w:vMerge w:val="restart"/>
          </w:tcPr>
          <w:p w14:paraId="4D078C76" w14:textId="77777777" w:rsidR="00D72A7D" w:rsidRPr="00D72A7D" w:rsidRDefault="00D72A7D" w:rsidP="00D72A7D">
            <w:pPr>
              <w:tabs>
                <w:tab w:val="left" w:pos="993"/>
              </w:tabs>
              <w:suppressAutoHyphens/>
              <w:contextualSpacing/>
              <w:jc w:val="center"/>
              <w:rPr>
                <w:sz w:val="24"/>
                <w:szCs w:val="24"/>
              </w:rPr>
            </w:pPr>
            <w:r w:rsidRPr="00D72A7D">
              <w:rPr>
                <w:sz w:val="24"/>
                <w:szCs w:val="24"/>
              </w:rPr>
              <w:t>NO</w:t>
            </w:r>
            <w:r w:rsidRPr="00D72A7D">
              <w:rPr>
                <w:sz w:val="24"/>
                <w:szCs w:val="24"/>
                <w:vertAlign w:val="subscript"/>
              </w:rPr>
              <w:t>2</w:t>
            </w:r>
            <w:r w:rsidRPr="00D72A7D">
              <w:rPr>
                <w:sz w:val="24"/>
                <w:szCs w:val="24"/>
              </w:rPr>
              <w:t>, SO</w:t>
            </w:r>
            <w:r w:rsidRPr="00D72A7D">
              <w:rPr>
                <w:sz w:val="24"/>
                <w:szCs w:val="24"/>
                <w:vertAlign w:val="subscript"/>
              </w:rPr>
              <w:t>2</w:t>
            </w:r>
            <w:r w:rsidRPr="00D72A7D">
              <w:rPr>
                <w:sz w:val="24"/>
                <w:szCs w:val="24"/>
              </w:rPr>
              <w:t>, LOJ – 4 k. per metus, po dvi savaites kiekvieną metų sezoną</w:t>
            </w:r>
          </w:p>
          <w:p w14:paraId="35A46CCD" w14:textId="77777777" w:rsidR="00D72A7D" w:rsidRPr="00D72A7D" w:rsidRDefault="00D72A7D" w:rsidP="00D72A7D">
            <w:pPr>
              <w:tabs>
                <w:tab w:val="left" w:pos="993"/>
              </w:tabs>
              <w:suppressAutoHyphens/>
              <w:contextualSpacing/>
              <w:jc w:val="center"/>
              <w:rPr>
                <w:sz w:val="24"/>
                <w:szCs w:val="24"/>
              </w:rPr>
            </w:pPr>
          </w:p>
          <w:p w14:paraId="7FEEB774" w14:textId="77777777" w:rsidR="00D72A7D" w:rsidRPr="00D72A7D" w:rsidRDefault="00D72A7D" w:rsidP="00D72A7D">
            <w:pPr>
              <w:tabs>
                <w:tab w:val="left" w:pos="993"/>
              </w:tabs>
              <w:suppressAutoHyphens/>
              <w:contextualSpacing/>
              <w:jc w:val="center"/>
              <w:rPr>
                <w:sz w:val="24"/>
                <w:szCs w:val="24"/>
              </w:rPr>
            </w:pPr>
            <w:r w:rsidRPr="00D72A7D">
              <w:rPr>
                <w:sz w:val="24"/>
                <w:szCs w:val="24"/>
              </w:rPr>
              <w:t>KD</w:t>
            </w:r>
            <w:r w:rsidRPr="00D72A7D">
              <w:rPr>
                <w:sz w:val="24"/>
                <w:szCs w:val="24"/>
                <w:vertAlign w:val="subscript"/>
              </w:rPr>
              <w:t>10</w:t>
            </w:r>
            <w:r w:rsidRPr="00D72A7D">
              <w:rPr>
                <w:sz w:val="24"/>
                <w:szCs w:val="24"/>
              </w:rPr>
              <w:t>, CO – 8 matavimai per metus (2 savaičių trukmės)</w:t>
            </w:r>
          </w:p>
        </w:tc>
        <w:tc>
          <w:tcPr>
            <w:tcW w:w="1327" w:type="dxa"/>
            <w:vMerge w:val="restart"/>
          </w:tcPr>
          <w:p w14:paraId="0400EC2F" w14:textId="77777777" w:rsidR="00D72A7D" w:rsidRPr="00D72A7D" w:rsidRDefault="00D72A7D" w:rsidP="00D72A7D">
            <w:pPr>
              <w:tabs>
                <w:tab w:val="left" w:pos="993"/>
              </w:tabs>
              <w:suppressAutoHyphens/>
              <w:contextualSpacing/>
              <w:jc w:val="center"/>
              <w:rPr>
                <w:sz w:val="24"/>
                <w:szCs w:val="24"/>
              </w:rPr>
            </w:pPr>
            <w:r w:rsidRPr="00D72A7D">
              <w:rPr>
                <w:sz w:val="24"/>
                <w:szCs w:val="24"/>
              </w:rPr>
              <w:t>Ne daugiau nei 120 k.</w:t>
            </w:r>
          </w:p>
        </w:tc>
        <w:tc>
          <w:tcPr>
            <w:tcW w:w="696" w:type="dxa"/>
            <w:vMerge w:val="restart"/>
          </w:tcPr>
          <w:p w14:paraId="3271711C" w14:textId="77777777" w:rsidR="00D72A7D" w:rsidRPr="00D72A7D" w:rsidRDefault="00D72A7D" w:rsidP="00D72A7D">
            <w:pPr>
              <w:tabs>
                <w:tab w:val="left" w:pos="993"/>
              </w:tabs>
              <w:suppressAutoHyphens/>
              <w:contextualSpacing/>
              <w:jc w:val="center"/>
              <w:rPr>
                <w:sz w:val="24"/>
                <w:szCs w:val="24"/>
              </w:rPr>
            </w:pPr>
            <w:r w:rsidRPr="00D72A7D">
              <w:rPr>
                <w:sz w:val="24"/>
                <w:szCs w:val="24"/>
              </w:rPr>
              <w:t>24k.</w:t>
            </w:r>
          </w:p>
        </w:tc>
        <w:tc>
          <w:tcPr>
            <w:tcW w:w="696" w:type="dxa"/>
            <w:vMerge w:val="restart"/>
          </w:tcPr>
          <w:p w14:paraId="450D1531" w14:textId="77777777" w:rsidR="00D72A7D" w:rsidRPr="00D72A7D" w:rsidRDefault="00D72A7D" w:rsidP="00D72A7D">
            <w:pPr>
              <w:tabs>
                <w:tab w:val="left" w:pos="993"/>
              </w:tabs>
              <w:suppressAutoHyphens/>
              <w:contextualSpacing/>
              <w:jc w:val="center"/>
              <w:rPr>
                <w:sz w:val="24"/>
                <w:szCs w:val="24"/>
              </w:rPr>
            </w:pPr>
            <w:r w:rsidRPr="00D72A7D">
              <w:rPr>
                <w:sz w:val="24"/>
                <w:szCs w:val="24"/>
              </w:rPr>
              <w:t>48k.</w:t>
            </w:r>
          </w:p>
        </w:tc>
        <w:tc>
          <w:tcPr>
            <w:tcW w:w="696" w:type="dxa"/>
            <w:vMerge w:val="restart"/>
          </w:tcPr>
          <w:p w14:paraId="21F2C05C" w14:textId="77777777" w:rsidR="00D72A7D" w:rsidRPr="00D72A7D" w:rsidRDefault="00D72A7D" w:rsidP="00D72A7D">
            <w:pPr>
              <w:tabs>
                <w:tab w:val="left" w:pos="993"/>
              </w:tabs>
              <w:suppressAutoHyphens/>
              <w:contextualSpacing/>
              <w:jc w:val="center"/>
              <w:rPr>
                <w:sz w:val="24"/>
                <w:szCs w:val="24"/>
              </w:rPr>
            </w:pPr>
            <w:r w:rsidRPr="00D72A7D">
              <w:rPr>
                <w:sz w:val="24"/>
                <w:szCs w:val="24"/>
              </w:rPr>
              <w:t>48k.</w:t>
            </w:r>
          </w:p>
        </w:tc>
      </w:tr>
      <w:tr w:rsidR="00D72A7D" w:rsidRPr="00D72A7D" w14:paraId="48626AE8" w14:textId="77777777" w:rsidTr="00D72A7D">
        <w:tc>
          <w:tcPr>
            <w:tcW w:w="2811" w:type="dxa"/>
          </w:tcPr>
          <w:p w14:paraId="043E1652" w14:textId="77777777" w:rsidR="00D72A7D" w:rsidRPr="00D72A7D" w:rsidRDefault="00D72A7D" w:rsidP="00D72A7D">
            <w:pPr>
              <w:tabs>
                <w:tab w:val="left" w:pos="993"/>
              </w:tabs>
              <w:suppressAutoHyphens/>
              <w:contextualSpacing/>
              <w:rPr>
                <w:sz w:val="24"/>
                <w:szCs w:val="24"/>
              </w:rPr>
            </w:pPr>
            <w:r w:rsidRPr="00D72A7D">
              <w:rPr>
                <w:sz w:val="24"/>
                <w:szCs w:val="24"/>
              </w:rPr>
              <w:t>Ties Vilniaus g.-Mokyklos g. sankryža, Šalčininkų miestas</w:t>
            </w:r>
          </w:p>
        </w:tc>
        <w:tc>
          <w:tcPr>
            <w:tcW w:w="1719" w:type="dxa"/>
            <w:vMerge/>
          </w:tcPr>
          <w:p w14:paraId="5CEB0767"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3F87DC6D"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5A200B8D"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A6804C7"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38C16FE"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505AD9CD" w14:textId="77777777" w:rsidR="00D72A7D" w:rsidRPr="00D72A7D" w:rsidRDefault="00D72A7D" w:rsidP="00D72A7D">
            <w:pPr>
              <w:tabs>
                <w:tab w:val="left" w:pos="993"/>
              </w:tabs>
              <w:suppressAutoHyphens/>
              <w:contextualSpacing/>
              <w:jc w:val="center"/>
              <w:rPr>
                <w:sz w:val="24"/>
                <w:szCs w:val="24"/>
              </w:rPr>
            </w:pPr>
          </w:p>
        </w:tc>
      </w:tr>
      <w:tr w:rsidR="00D72A7D" w:rsidRPr="00D72A7D" w14:paraId="1A369A64" w14:textId="77777777" w:rsidTr="00D72A7D">
        <w:tc>
          <w:tcPr>
            <w:tcW w:w="2811" w:type="dxa"/>
          </w:tcPr>
          <w:p w14:paraId="02AC3388" w14:textId="77777777" w:rsidR="00D72A7D" w:rsidRPr="00D72A7D" w:rsidRDefault="00D72A7D" w:rsidP="00D72A7D">
            <w:pPr>
              <w:tabs>
                <w:tab w:val="left" w:pos="993"/>
              </w:tabs>
              <w:suppressAutoHyphens/>
              <w:contextualSpacing/>
              <w:rPr>
                <w:sz w:val="24"/>
                <w:szCs w:val="24"/>
              </w:rPr>
            </w:pPr>
            <w:r w:rsidRPr="00D72A7D">
              <w:rPr>
                <w:sz w:val="24"/>
                <w:szCs w:val="24"/>
              </w:rPr>
              <w:t>Ties Vilniaus g.- A. Mickevičiaus g. sankryža, Baltosios Vokės miestas</w:t>
            </w:r>
          </w:p>
        </w:tc>
        <w:tc>
          <w:tcPr>
            <w:tcW w:w="1719" w:type="dxa"/>
            <w:vMerge/>
          </w:tcPr>
          <w:p w14:paraId="23419571"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260EC9E6"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20644FBA"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3535DE0"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04522E7"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758F187" w14:textId="77777777" w:rsidR="00D72A7D" w:rsidRPr="00D72A7D" w:rsidRDefault="00D72A7D" w:rsidP="00D72A7D">
            <w:pPr>
              <w:tabs>
                <w:tab w:val="left" w:pos="993"/>
              </w:tabs>
              <w:suppressAutoHyphens/>
              <w:contextualSpacing/>
              <w:jc w:val="center"/>
              <w:rPr>
                <w:sz w:val="24"/>
                <w:szCs w:val="24"/>
              </w:rPr>
            </w:pPr>
          </w:p>
        </w:tc>
      </w:tr>
      <w:tr w:rsidR="00D72A7D" w:rsidRPr="00D72A7D" w14:paraId="24457FC7" w14:textId="77777777" w:rsidTr="00D72A7D">
        <w:trPr>
          <w:trHeight w:val="880"/>
        </w:trPr>
        <w:tc>
          <w:tcPr>
            <w:tcW w:w="2811" w:type="dxa"/>
          </w:tcPr>
          <w:p w14:paraId="3BCDB9B5" w14:textId="77777777" w:rsidR="00D72A7D" w:rsidRPr="00D72A7D" w:rsidRDefault="00D72A7D" w:rsidP="00D72A7D">
            <w:pPr>
              <w:tabs>
                <w:tab w:val="left" w:pos="993"/>
              </w:tabs>
              <w:suppressAutoHyphens/>
              <w:contextualSpacing/>
              <w:rPr>
                <w:sz w:val="24"/>
                <w:szCs w:val="24"/>
              </w:rPr>
            </w:pPr>
            <w:r w:rsidRPr="00D72A7D">
              <w:rPr>
                <w:sz w:val="24"/>
                <w:szCs w:val="24"/>
              </w:rPr>
              <w:t xml:space="preserve">Ties Lydos g.-M. </w:t>
            </w:r>
            <w:proofErr w:type="spellStart"/>
            <w:r w:rsidRPr="00D72A7D">
              <w:rPr>
                <w:sz w:val="24"/>
                <w:szCs w:val="24"/>
              </w:rPr>
              <w:t>Balinskio</w:t>
            </w:r>
            <w:proofErr w:type="spellEnd"/>
            <w:r w:rsidRPr="00D72A7D">
              <w:rPr>
                <w:sz w:val="24"/>
                <w:szCs w:val="24"/>
              </w:rPr>
              <w:t xml:space="preserve"> g. sankryža, </w:t>
            </w:r>
            <w:proofErr w:type="spellStart"/>
            <w:r w:rsidRPr="00D72A7D">
              <w:rPr>
                <w:sz w:val="24"/>
                <w:szCs w:val="24"/>
              </w:rPr>
              <w:t>Jašiūnų</w:t>
            </w:r>
            <w:proofErr w:type="spellEnd"/>
            <w:r w:rsidRPr="00D72A7D">
              <w:rPr>
                <w:sz w:val="24"/>
                <w:szCs w:val="24"/>
              </w:rPr>
              <w:t xml:space="preserve"> miestelis</w:t>
            </w:r>
          </w:p>
        </w:tc>
        <w:tc>
          <w:tcPr>
            <w:tcW w:w="1719" w:type="dxa"/>
            <w:vMerge/>
          </w:tcPr>
          <w:p w14:paraId="5E5A2440"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432DA0BD"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487C454E"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27BA896"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3CFF67DF"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D40A6A3" w14:textId="77777777" w:rsidR="00D72A7D" w:rsidRPr="00D72A7D" w:rsidRDefault="00D72A7D" w:rsidP="00D72A7D">
            <w:pPr>
              <w:tabs>
                <w:tab w:val="left" w:pos="993"/>
              </w:tabs>
              <w:suppressAutoHyphens/>
              <w:contextualSpacing/>
              <w:jc w:val="center"/>
              <w:rPr>
                <w:sz w:val="24"/>
                <w:szCs w:val="24"/>
              </w:rPr>
            </w:pPr>
          </w:p>
        </w:tc>
      </w:tr>
      <w:tr w:rsidR="00D72A7D" w:rsidRPr="00D72A7D" w14:paraId="706063A5" w14:textId="77777777" w:rsidTr="00D72A7D">
        <w:tc>
          <w:tcPr>
            <w:tcW w:w="2811" w:type="dxa"/>
          </w:tcPr>
          <w:p w14:paraId="1943B07D"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8 lentelėje</w:t>
            </w:r>
          </w:p>
        </w:tc>
        <w:tc>
          <w:tcPr>
            <w:tcW w:w="1719" w:type="dxa"/>
          </w:tcPr>
          <w:p w14:paraId="54D671EB"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18-19 psl.</w:t>
            </w:r>
          </w:p>
        </w:tc>
        <w:tc>
          <w:tcPr>
            <w:tcW w:w="1830" w:type="dxa"/>
          </w:tcPr>
          <w:p w14:paraId="41DD1B4A"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9 lentelėje</w:t>
            </w:r>
          </w:p>
        </w:tc>
        <w:tc>
          <w:tcPr>
            <w:tcW w:w="1327" w:type="dxa"/>
          </w:tcPr>
          <w:p w14:paraId="5A6CB455" w14:textId="77777777" w:rsidR="00D72A7D" w:rsidRPr="00D72A7D" w:rsidRDefault="00D72A7D" w:rsidP="00D72A7D">
            <w:pPr>
              <w:tabs>
                <w:tab w:val="left" w:pos="993"/>
              </w:tabs>
              <w:suppressAutoHyphens/>
              <w:contextualSpacing/>
              <w:rPr>
                <w:b/>
                <w:bCs/>
              </w:rPr>
            </w:pPr>
          </w:p>
        </w:tc>
        <w:tc>
          <w:tcPr>
            <w:tcW w:w="696" w:type="dxa"/>
          </w:tcPr>
          <w:p w14:paraId="174F018A" w14:textId="77777777" w:rsidR="00D72A7D" w:rsidRPr="00D72A7D" w:rsidRDefault="00D72A7D" w:rsidP="00D72A7D">
            <w:pPr>
              <w:tabs>
                <w:tab w:val="left" w:pos="993"/>
              </w:tabs>
              <w:suppressAutoHyphens/>
              <w:contextualSpacing/>
              <w:rPr>
                <w:b/>
                <w:bCs/>
              </w:rPr>
            </w:pPr>
          </w:p>
        </w:tc>
        <w:tc>
          <w:tcPr>
            <w:tcW w:w="696" w:type="dxa"/>
          </w:tcPr>
          <w:p w14:paraId="4CFACABF" w14:textId="77777777" w:rsidR="00D72A7D" w:rsidRPr="00D72A7D" w:rsidRDefault="00D72A7D" w:rsidP="00D72A7D">
            <w:pPr>
              <w:tabs>
                <w:tab w:val="left" w:pos="993"/>
              </w:tabs>
              <w:suppressAutoHyphens/>
              <w:contextualSpacing/>
              <w:rPr>
                <w:b/>
                <w:bCs/>
              </w:rPr>
            </w:pPr>
          </w:p>
        </w:tc>
        <w:tc>
          <w:tcPr>
            <w:tcW w:w="696" w:type="dxa"/>
          </w:tcPr>
          <w:p w14:paraId="4C40E364" w14:textId="77777777" w:rsidR="00D72A7D" w:rsidRPr="00D72A7D" w:rsidRDefault="00D72A7D" w:rsidP="00D72A7D">
            <w:pPr>
              <w:tabs>
                <w:tab w:val="left" w:pos="993"/>
              </w:tabs>
              <w:suppressAutoHyphens/>
              <w:contextualSpacing/>
              <w:rPr>
                <w:b/>
                <w:bCs/>
              </w:rPr>
            </w:pPr>
          </w:p>
        </w:tc>
      </w:tr>
      <w:tr w:rsidR="00D72A7D" w:rsidRPr="00D72A7D" w14:paraId="495208AE" w14:textId="77777777" w:rsidTr="00D72A7D">
        <w:tc>
          <w:tcPr>
            <w:tcW w:w="7687" w:type="dxa"/>
            <w:gridSpan w:val="4"/>
          </w:tcPr>
          <w:p w14:paraId="3CDB957F" w14:textId="77777777" w:rsidR="00D72A7D" w:rsidRPr="00D72A7D" w:rsidRDefault="00D72A7D" w:rsidP="00D72A7D">
            <w:pPr>
              <w:tabs>
                <w:tab w:val="left" w:pos="993"/>
              </w:tabs>
              <w:suppressAutoHyphens/>
              <w:spacing w:before="120" w:after="120"/>
              <w:contextualSpacing/>
              <w:jc w:val="center"/>
              <w:rPr>
                <w:b/>
                <w:bCs/>
                <w:sz w:val="24"/>
                <w:szCs w:val="24"/>
              </w:rPr>
            </w:pPr>
          </w:p>
          <w:p w14:paraId="4F02F9FC" w14:textId="77777777" w:rsidR="00D72A7D" w:rsidRPr="00D72A7D" w:rsidRDefault="00D72A7D" w:rsidP="00D72A7D">
            <w:pPr>
              <w:tabs>
                <w:tab w:val="left" w:pos="993"/>
              </w:tabs>
              <w:suppressAutoHyphens/>
              <w:spacing w:before="120" w:after="120"/>
              <w:contextualSpacing/>
              <w:jc w:val="center"/>
              <w:rPr>
                <w:b/>
                <w:bCs/>
                <w:sz w:val="24"/>
                <w:szCs w:val="24"/>
              </w:rPr>
            </w:pPr>
            <w:r w:rsidRPr="00D72A7D">
              <w:rPr>
                <w:b/>
                <w:bCs/>
                <w:sz w:val="24"/>
                <w:szCs w:val="24"/>
              </w:rPr>
              <w:t>Paviršinio vandens monitoringas</w:t>
            </w:r>
          </w:p>
          <w:p w14:paraId="403D1203" w14:textId="77777777" w:rsidR="00D72A7D" w:rsidRPr="00D72A7D" w:rsidRDefault="00D72A7D" w:rsidP="00D72A7D">
            <w:pPr>
              <w:tabs>
                <w:tab w:val="left" w:pos="993"/>
              </w:tabs>
              <w:suppressAutoHyphens/>
              <w:spacing w:before="120" w:after="120"/>
              <w:contextualSpacing/>
              <w:jc w:val="center"/>
              <w:rPr>
                <w:b/>
                <w:bCs/>
                <w:sz w:val="24"/>
                <w:szCs w:val="24"/>
              </w:rPr>
            </w:pPr>
          </w:p>
        </w:tc>
        <w:tc>
          <w:tcPr>
            <w:tcW w:w="696" w:type="dxa"/>
          </w:tcPr>
          <w:p w14:paraId="01E8D24A" w14:textId="77777777" w:rsidR="00D72A7D" w:rsidRPr="00D72A7D" w:rsidRDefault="00D72A7D" w:rsidP="00D72A7D">
            <w:pPr>
              <w:tabs>
                <w:tab w:val="left" w:pos="993"/>
              </w:tabs>
              <w:suppressAutoHyphens/>
              <w:spacing w:before="120" w:after="120"/>
              <w:contextualSpacing/>
              <w:jc w:val="center"/>
              <w:rPr>
                <w:b/>
                <w:bCs/>
                <w:sz w:val="24"/>
                <w:szCs w:val="24"/>
              </w:rPr>
            </w:pPr>
          </w:p>
        </w:tc>
        <w:tc>
          <w:tcPr>
            <w:tcW w:w="696" w:type="dxa"/>
          </w:tcPr>
          <w:p w14:paraId="5BD80226" w14:textId="77777777" w:rsidR="00D72A7D" w:rsidRPr="00D72A7D" w:rsidRDefault="00D72A7D" w:rsidP="00D72A7D">
            <w:pPr>
              <w:tabs>
                <w:tab w:val="left" w:pos="993"/>
              </w:tabs>
              <w:suppressAutoHyphens/>
              <w:spacing w:before="120" w:after="120"/>
              <w:contextualSpacing/>
              <w:jc w:val="center"/>
              <w:rPr>
                <w:b/>
                <w:bCs/>
                <w:sz w:val="24"/>
                <w:szCs w:val="24"/>
              </w:rPr>
            </w:pPr>
          </w:p>
        </w:tc>
        <w:tc>
          <w:tcPr>
            <w:tcW w:w="696" w:type="dxa"/>
          </w:tcPr>
          <w:p w14:paraId="08D75E87" w14:textId="77777777" w:rsidR="00D72A7D" w:rsidRPr="00D72A7D" w:rsidRDefault="00D72A7D" w:rsidP="00D72A7D">
            <w:pPr>
              <w:tabs>
                <w:tab w:val="left" w:pos="993"/>
              </w:tabs>
              <w:suppressAutoHyphens/>
              <w:spacing w:before="120" w:after="120"/>
              <w:contextualSpacing/>
              <w:jc w:val="center"/>
              <w:rPr>
                <w:b/>
                <w:bCs/>
                <w:sz w:val="24"/>
                <w:szCs w:val="24"/>
              </w:rPr>
            </w:pPr>
          </w:p>
        </w:tc>
      </w:tr>
      <w:tr w:rsidR="00D72A7D" w:rsidRPr="00D72A7D" w14:paraId="305F7C10" w14:textId="77777777" w:rsidTr="00D72A7D">
        <w:trPr>
          <w:trHeight w:val="690"/>
        </w:trPr>
        <w:tc>
          <w:tcPr>
            <w:tcW w:w="2811" w:type="dxa"/>
            <w:vMerge w:val="restart"/>
          </w:tcPr>
          <w:p w14:paraId="6B23D86B" w14:textId="77777777" w:rsidR="00D72A7D" w:rsidRPr="00D72A7D" w:rsidRDefault="00D72A7D" w:rsidP="00D72A7D">
            <w:pPr>
              <w:tabs>
                <w:tab w:val="left" w:pos="993"/>
              </w:tabs>
              <w:suppressAutoHyphens/>
              <w:contextualSpacing/>
              <w:rPr>
                <w:sz w:val="24"/>
                <w:szCs w:val="24"/>
              </w:rPr>
            </w:pPr>
            <w:r w:rsidRPr="00D72A7D">
              <w:rPr>
                <w:sz w:val="24"/>
                <w:szCs w:val="24"/>
              </w:rPr>
              <w:t xml:space="preserve">Šalčios upė žemiau Didžiųjų </w:t>
            </w:r>
            <w:proofErr w:type="spellStart"/>
            <w:r w:rsidRPr="00D72A7D">
              <w:rPr>
                <w:sz w:val="24"/>
                <w:szCs w:val="24"/>
              </w:rPr>
              <w:t>Baušių</w:t>
            </w:r>
            <w:proofErr w:type="spellEnd"/>
            <w:r w:rsidRPr="00D72A7D">
              <w:rPr>
                <w:sz w:val="24"/>
                <w:szCs w:val="24"/>
              </w:rPr>
              <w:t xml:space="preserve"> kaimo</w:t>
            </w:r>
          </w:p>
        </w:tc>
        <w:tc>
          <w:tcPr>
            <w:tcW w:w="1719" w:type="dxa"/>
            <w:vMerge w:val="restart"/>
          </w:tcPr>
          <w:p w14:paraId="59327F93" w14:textId="77777777" w:rsidR="00D72A7D" w:rsidRPr="00D72A7D" w:rsidRDefault="00D72A7D" w:rsidP="00D72A7D">
            <w:pPr>
              <w:tabs>
                <w:tab w:val="left" w:pos="993"/>
              </w:tabs>
              <w:suppressAutoHyphens/>
              <w:contextualSpacing/>
              <w:rPr>
                <w:sz w:val="24"/>
                <w:szCs w:val="24"/>
              </w:rPr>
            </w:pPr>
            <w:r w:rsidRPr="00D72A7D">
              <w:rPr>
                <w:sz w:val="24"/>
                <w:szCs w:val="24"/>
              </w:rPr>
              <w:t>nitratų azotas (NO</w:t>
            </w:r>
            <w:r w:rsidRPr="00D72A7D">
              <w:rPr>
                <w:sz w:val="24"/>
                <w:szCs w:val="24"/>
                <w:vertAlign w:val="subscript"/>
              </w:rPr>
              <w:t>3</w:t>
            </w:r>
            <w:r w:rsidRPr="00D72A7D">
              <w:rPr>
                <w:sz w:val="24"/>
                <w:szCs w:val="24"/>
              </w:rPr>
              <w:t>-N), amonio azotas (NH</w:t>
            </w:r>
            <w:r w:rsidRPr="00D72A7D">
              <w:rPr>
                <w:sz w:val="24"/>
                <w:szCs w:val="24"/>
                <w:vertAlign w:val="subscript"/>
              </w:rPr>
              <w:t>4</w:t>
            </w:r>
            <w:r w:rsidRPr="00D72A7D">
              <w:rPr>
                <w:sz w:val="24"/>
                <w:szCs w:val="24"/>
              </w:rPr>
              <w:t xml:space="preserve">-N), </w:t>
            </w:r>
            <w:proofErr w:type="spellStart"/>
            <w:r w:rsidRPr="00D72A7D">
              <w:rPr>
                <w:sz w:val="24"/>
                <w:szCs w:val="24"/>
              </w:rPr>
              <w:t>bendrąsis</w:t>
            </w:r>
            <w:proofErr w:type="spellEnd"/>
            <w:r w:rsidRPr="00D72A7D">
              <w:rPr>
                <w:sz w:val="24"/>
                <w:szCs w:val="24"/>
              </w:rPr>
              <w:t xml:space="preserve"> azotas (</w:t>
            </w:r>
            <w:proofErr w:type="spellStart"/>
            <w:r w:rsidRPr="00D72A7D">
              <w:rPr>
                <w:sz w:val="24"/>
                <w:szCs w:val="24"/>
              </w:rPr>
              <w:t>Nb</w:t>
            </w:r>
            <w:proofErr w:type="spellEnd"/>
            <w:r w:rsidRPr="00D72A7D">
              <w:rPr>
                <w:sz w:val="24"/>
                <w:szCs w:val="24"/>
              </w:rPr>
              <w:t>), fosfatų fosforas (PO</w:t>
            </w:r>
            <w:r w:rsidRPr="00D72A7D">
              <w:rPr>
                <w:sz w:val="24"/>
                <w:szCs w:val="24"/>
                <w:vertAlign w:val="subscript"/>
              </w:rPr>
              <w:t>4</w:t>
            </w:r>
            <w:r w:rsidRPr="00D72A7D">
              <w:rPr>
                <w:sz w:val="24"/>
                <w:szCs w:val="24"/>
              </w:rPr>
              <w:t xml:space="preserve">-P), </w:t>
            </w:r>
            <w:proofErr w:type="spellStart"/>
            <w:r w:rsidRPr="00D72A7D">
              <w:rPr>
                <w:sz w:val="24"/>
                <w:szCs w:val="24"/>
              </w:rPr>
              <w:t>bendrąsis</w:t>
            </w:r>
            <w:proofErr w:type="spellEnd"/>
            <w:r w:rsidRPr="00D72A7D">
              <w:rPr>
                <w:sz w:val="24"/>
                <w:szCs w:val="24"/>
              </w:rPr>
              <w:t xml:space="preserve"> fosforas (</w:t>
            </w:r>
            <w:proofErr w:type="spellStart"/>
            <w:r w:rsidRPr="00D72A7D">
              <w:rPr>
                <w:sz w:val="24"/>
                <w:szCs w:val="24"/>
              </w:rPr>
              <w:t>Pb</w:t>
            </w:r>
            <w:proofErr w:type="spellEnd"/>
            <w:r w:rsidRPr="00D72A7D">
              <w:rPr>
                <w:sz w:val="24"/>
                <w:szCs w:val="24"/>
              </w:rPr>
              <w:t>), biocheminis deguonies suvartojimas per 7 paras (BDS</w:t>
            </w:r>
            <w:r w:rsidRPr="00D72A7D">
              <w:rPr>
                <w:sz w:val="24"/>
                <w:szCs w:val="24"/>
                <w:vertAlign w:val="subscript"/>
              </w:rPr>
              <w:t>7</w:t>
            </w:r>
            <w:r w:rsidRPr="00D72A7D">
              <w:rPr>
                <w:sz w:val="24"/>
                <w:szCs w:val="24"/>
              </w:rPr>
              <w:t xml:space="preserve">) ir ištirpusio </w:t>
            </w:r>
            <w:r w:rsidRPr="00D72A7D">
              <w:rPr>
                <w:sz w:val="24"/>
                <w:szCs w:val="24"/>
              </w:rPr>
              <w:lastRenderedPageBreak/>
              <w:t>deguonies kiekis vandenyje (O</w:t>
            </w:r>
            <w:r w:rsidRPr="00D72A7D">
              <w:rPr>
                <w:sz w:val="24"/>
                <w:szCs w:val="24"/>
                <w:vertAlign w:val="subscript"/>
              </w:rPr>
              <w:t>2</w:t>
            </w:r>
            <w:r w:rsidRPr="00D72A7D">
              <w:rPr>
                <w:sz w:val="24"/>
                <w:szCs w:val="24"/>
              </w:rPr>
              <w:t>)</w:t>
            </w:r>
          </w:p>
        </w:tc>
        <w:tc>
          <w:tcPr>
            <w:tcW w:w="1830" w:type="dxa"/>
          </w:tcPr>
          <w:p w14:paraId="01550A3D" w14:textId="77777777" w:rsidR="00D72A7D" w:rsidRPr="00D72A7D" w:rsidRDefault="00D72A7D" w:rsidP="00D72A7D">
            <w:pPr>
              <w:tabs>
                <w:tab w:val="left" w:pos="993"/>
              </w:tabs>
              <w:suppressAutoHyphens/>
              <w:contextualSpacing/>
              <w:jc w:val="center"/>
              <w:rPr>
                <w:sz w:val="24"/>
                <w:szCs w:val="24"/>
              </w:rPr>
            </w:pPr>
            <w:r w:rsidRPr="00D72A7D">
              <w:rPr>
                <w:sz w:val="24"/>
                <w:szCs w:val="24"/>
              </w:rPr>
              <w:lastRenderedPageBreak/>
              <w:t xml:space="preserve">I </w:t>
            </w:r>
            <w:proofErr w:type="spellStart"/>
            <w:r w:rsidRPr="00D72A7D">
              <w:rPr>
                <w:sz w:val="24"/>
                <w:szCs w:val="24"/>
              </w:rPr>
              <w:t>ketv</w:t>
            </w:r>
            <w:proofErr w:type="spellEnd"/>
            <w:r w:rsidRPr="00D72A7D">
              <w:rPr>
                <w:sz w:val="24"/>
                <w:szCs w:val="24"/>
              </w:rPr>
              <w:t>.</w:t>
            </w:r>
          </w:p>
        </w:tc>
        <w:tc>
          <w:tcPr>
            <w:tcW w:w="1327" w:type="dxa"/>
            <w:vMerge w:val="restart"/>
          </w:tcPr>
          <w:p w14:paraId="367685DA" w14:textId="77777777" w:rsidR="00D72A7D" w:rsidRPr="00D72A7D" w:rsidRDefault="00D72A7D" w:rsidP="00D72A7D">
            <w:pPr>
              <w:tabs>
                <w:tab w:val="left" w:pos="993"/>
              </w:tabs>
              <w:suppressAutoHyphens/>
              <w:contextualSpacing/>
              <w:jc w:val="center"/>
              <w:rPr>
                <w:sz w:val="24"/>
                <w:szCs w:val="24"/>
              </w:rPr>
            </w:pPr>
            <w:r w:rsidRPr="00D72A7D">
              <w:rPr>
                <w:sz w:val="24"/>
                <w:szCs w:val="24"/>
              </w:rPr>
              <w:t>Ne daugiau nei 10 k.</w:t>
            </w:r>
          </w:p>
        </w:tc>
        <w:tc>
          <w:tcPr>
            <w:tcW w:w="696" w:type="dxa"/>
            <w:vMerge w:val="restart"/>
          </w:tcPr>
          <w:p w14:paraId="7BF9BECE" w14:textId="77777777" w:rsidR="00D72A7D" w:rsidRPr="00D72A7D" w:rsidRDefault="00D72A7D" w:rsidP="00D72A7D">
            <w:pPr>
              <w:tabs>
                <w:tab w:val="left" w:pos="993"/>
              </w:tabs>
              <w:suppressAutoHyphens/>
              <w:contextualSpacing/>
              <w:jc w:val="center"/>
              <w:rPr>
                <w:sz w:val="24"/>
                <w:szCs w:val="24"/>
              </w:rPr>
            </w:pPr>
            <w:r w:rsidRPr="00D72A7D">
              <w:rPr>
                <w:sz w:val="24"/>
                <w:szCs w:val="24"/>
              </w:rPr>
              <w:t>2k.</w:t>
            </w:r>
          </w:p>
        </w:tc>
        <w:tc>
          <w:tcPr>
            <w:tcW w:w="696" w:type="dxa"/>
            <w:vMerge w:val="restart"/>
          </w:tcPr>
          <w:p w14:paraId="3719DC7F" w14:textId="77777777" w:rsidR="00D72A7D" w:rsidRPr="00D72A7D" w:rsidRDefault="00D72A7D" w:rsidP="00D72A7D">
            <w:pPr>
              <w:tabs>
                <w:tab w:val="left" w:pos="993"/>
              </w:tabs>
              <w:suppressAutoHyphens/>
              <w:contextualSpacing/>
              <w:jc w:val="center"/>
              <w:rPr>
                <w:sz w:val="24"/>
                <w:szCs w:val="24"/>
              </w:rPr>
            </w:pPr>
            <w:r w:rsidRPr="00D72A7D">
              <w:rPr>
                <w:sz w:val="24"/>
                <w:szCs w:val="24"/>
              </w:rPr>
              <w:t>4k.</w:t>
            </w:r>
          </w:p>
        </w:tc>
        <w:tc>
          <w:tcPr>
            <w:tcW w:w="696" w:type="dxa"/>
            <w:vMerge w:val="restart"/>
          </w:tcPr>
          <w:p w14:paraId="762CD11F" w14:textId="77777777" w:rsidR="00D72A7D" w:rsidRPr="00D72A7D" w:rsidRDefault="00D72A7D" w:rsidP="00D72A7D">
            <w:pPr>
              <w:tabs>
                <w:tab w:val="left" w:pos="993"/>
              </w:tabs>
              <w:suppressAutoHyphens/>
              <w:contextualSpacing/>
              <w:jc w:val="center"/>
              <w:rPr>
                <w:sz w:val="24"/>
                <w:szCs w:val="24"/>
              </w:rPr>
            </w:pPr>
            <w:r w:rsidRPr="00D72A7D">
              <w:rPr>
                <w:sz w:val="24"/>
                <w:szCs w:val="24"/>
              </w:rPr>
              <w:t>4k.</w:t>
            </w:r>
          </w:p>
        </w:tc>
      </w:tr>
      <w:tr w:rsidR="00D72A7D" w:rsidRPr="00D72A7D" w14:paraId="5D98E3B6" w14:textId="77777777" w:rsidTr="00D72A7D">
        <w:trPr>
          <w:trHeight w:val="690"/>
        </w:trPr>
        <w:tc>
          <w:tcPr>
            <w:tcW w:w="2811" w:type="dxa"/>
            <w:vMerge/>
          </w:tcPr>
          <w:p w14:paraId="5A273792" w14:textId="77777777" w:rsidR="00D72A7D" w:rsidRPr="00D72A7D" w:rsidRDefault="00D72A7D" w:rsidP="00D72A7D">
            <w:pPr>
              <w:tabs>
                <w:tab w:val="left" w:pos="993"/>
              </w:tabs>
              <w:suppressAutoHyphens/>
              <w:contextualSpacing/>
              <w:rPr>
                <w:sz w:val="24"/>
                <w:szCs w:val="24"/>
              </w:rPr>
            </w:pPr>
          </w:p>
        </w:tc>
        <w:tc>
          <w:tcPr>
            <w:tcW w:w="1719" w:type="dxa"/>
            <w:vMerge/>
          </w:tcPr>
          <w:p w14:paraId="2D8BBA00" w14:textId="77777777" w:rsidR="00D72A7D" w:rsidRPr="00D72A7D" w:rsidRDefault="00D72A7D" w:rsidP="00D72A7D">
            <w:pPr>
              <w:tabs>
                <w:tab w:val="left" w:pos="993"/>
              </w:tabs>
              <w:suppressAutoHyphens/>
              <w:contextualSpacing/>
              <w:rPr>
                <w:sz w:val="24"/>
                <w:szCs w:val="24"/>
              </w:rPr>
            </w:pPr>
          </w:p>
        </w:tc>
        <w:tc>
          <w:tcPr>
            <w:tcW w:w="1830" w:type="dxa"/>
          </w:tcPr>
          <w:p w14:paraId="646B634C" w14:textId="77777777" w:rsidR="00D72A7D" w:rsidRPr="00D72A7D" w:rsidRDefault="00D72A7D" w:rsidP="00D72A7D">
            <w:pPr>
              <w:tabs>
                <w:tab w:val="left" w:pos="993"/>
              </w:tabs>
              <w:suppressAutoHyphens/>
              <w:contextualSpacing/>
              <w:jc w:val="center"/>
              <w:rPr>
                <w:sz w:val="24"/>
                <w:szCs w:val="24"/>
              </w:rPr>
            </w:pPr>
            <w:r w:rsidRPr="00D72A7D">
              <w:rPr>
                <w:sz w:val="24"/>
                <w:szCs w:val="24"/>
              </w:rPr>
              <w:t xml:space="preserve">II </w:t>
            </w:r>
            <w:proofErr w:type="spellStart"/>
            <w:r w:rsidRPr="00D72A7D">
              <w:rPr>
                <w:sz w:val="24"/>
                <w:szCs w:val="24"/>
              </w:rPr>
              <w:t>ketv</w:t>
            </w:r>
            <w:proofErr w:type="spellEnd"/>
            <w:r w:rsidRPr="00D72A7D">
              <w:rPr>
                <w:sz w:val="24"/>
                <w:szCs w:val="24"/>
              </w:rPr>
              <w:t>.</w:t>
            </w:r>
          </w:p>
        </w:tc>
        <w:tc>
          <w:tcPr>
            <w:tcW w:w="1327" w:type="dxa"/>
            <w:vMerge/>
          </w:tcPr>
          <w:p w14:paraId="06CD3786"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09D7CC27"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36BF97AF"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F2AF228" w14:textId="77777777" w:rsidR="00D72A7D" w:rsidRPr="00D72A7D" w:rsidRDefault="00D72A7D" w:rsidP="00D72A7D">
            <w:pPr>
              <w:tabs>
                <w:tab w:val="left" w:pos="993"/>
              </w:tabs>
              <w:suppressAutoHyphens/>
              <w:contextualSpacing/>
              <w:jc w:val="center"/>
              <w:rPr>
                <w:sz w:val="24"/>
                <w:szCs w:val="24"/>
              </w:rPr>
            </w:pPr>
          </w:p>
        </w:tc>
      </w:tr>
      <w:tr w:rsidR="00D72A7D" w:rsidRPr="00D72A7D" w14:paraId="1C9F9E35" w14:textId="77777777" w:rsidTr="00D72A7D">
        <w:trPr>
          <w:trHeight w:val="690"/>
        </w:trPr>
        <w:tc>
          <w:tcPr>
            <w:tcW w:w="2811" w:type="dxa"/>
            <w:vMerge/>
          </w:tcPr>
          <w:p w14:paraId="4D64AEA2" w14:textId="77777777" w:rsidR="00D72A7D" w:rsidRPr="00D72A7D" w:rsidRDefault="00D72A7D" w:rsidP="00D72A7D">
            <w:pPr>
              <w:tabs>
                <w:tab w:val="left" w:pos="993"/>
              </w:tabs>
              <w:suppressAutoHyphens/>
              <w:contextualSpacing/>
              <w:rPr>
                <w:sz w:val="24"/>
                <w:szCs w:val="24"/>
              </w:rPr>
            </w:pPr>
          </w:p>
        </w:tc>
        <w:tc>
          <w:tcPr>
            <w:tcW w:w="1719" w:type="dxa"/>
            <w:vMerge/>
          </w:tcPr>
          <w:p w14:paraId="2A8C5DCF" w14:textId="77777777" w:rsidR="00D72A7D" w:rsidRPr="00D72A7D" w:rsidRDefault="00D72A7D" w:rsidP="00D72A7D">
            <w:pPr>
              <w:tabs>
                <w:tab w:val="left" w:pos="993"/>
              </w:tabs>
              <w:suppressAutoHyphens/>
              <w:contextualSpacing/>
              <w:rPr>
                <w:sz w:val="24"/>
                <w:szCs w:val="24"/>
              </w:rPr>
            </w:pPr>
          </w:p>
        </w:tc>
        <w:tc>
          <w:tcPr>
            <w:tcW w:w="1830" w:type="dxa"/>
          </w:tcPr>
          <w:p w14:paraId="65F7A9AF" w14:textId="77777777" w:rsidR="00D72A7D" w:rsidRPr="00D72A7D" w:rsidRDefault="00D72A7D" w:rsidP="00D72A7D">
            <w:pPr>
              <w:tabs>
                <w:tab w:val="left" w:pos="993"/>
              </w:tabs>
              <w:suppressAutoHyphens/>
              <w:contextualSpacing/>
              <w:jc w:val="center"/>
              <w:rPr>
                <w:sz w:val="24"/>
                <w:szCs w:val="24"/>
              </w:rPr>
            </w:pPr>
            <w:r w:rsidRPr="00D72A7D">
              <w:rPr>
                <w:sz w:val="24"/>
                <w:szCs w:val="24"/>
              </w:rPr>
              <w:t xml:space="preserve">III </w:t>
            </w:r>
            <w:proofErr w:type="spellStart"/>
            <w:r w:rsidRPr="00D72A7D">
              <w:rPr>
                <w:sz w:val="24"/>
                <w:szCs w:val="24"/>
              </w:rPr>
              <w:t>ketv</w:t>
            </w:r>
            <w:proofErr w:type="spellEnd"/>
            <w:r w:rsidRPr="00D72A7D">
              <w:rPr>
                <w:sz w:val="24"/>
                <w:szCs w:val="24"/>
              </w:rPr>
              <w:t>.</w:t>
            </w:r>
          </w:p>
        </w:tc>
        <w:tc>
          <w:tcPr>
            <w:tcW w:w="1327" w:type="dxa"/>
            <w:vMerge/>
          </w:tcPr>
          <w:p w14:paraId="69359675"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7D9F852"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0183842"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0C3306FC" w14:textId="77777777" w:rsidR="00D72A7D" w:rsidRPr="00D72A7D" w:rsidRDefault="00D72A7D" w:rsidP="00D72A7D">
            <w:pPr>
              <w:tabs>
                <w:tab w:val="left" w:pos="993"/>
              </w:tabs>
              <w:suppressAutoHyphens/>
              <w:contextualSpacing/>
              <w:jc w:val="center"/>
              <w:rPr>
                <w:sz w:val="24"/>
                <w:szCs w:val="24"/>
              </w:rPr>
            </w:pPr>
          </w:p>
        </w:tc>
      </w:tr>
      <w:tr w:rsidR="00D72A7D" w:rsidRPr="00D72A7D" w14:paraId="11BEEDAC" w14:textId="77777777" w:rsidTr="00D72A7D">
        <w:trPr>
          <w:trHeight w:val="690"/>
        </w:trPr>
        <w:tc>
          <w:tcPr>
            <w:tcW w:w="2811" w:type="dxa"/>
            <w:vMerge/>
          </w:tcPr>
          <w:p w14:paraId="3285149F" w14:textId="77777777" w:rsidR="00D72A7D" w:rsidRPr="00D72A7D" w:rsidRDefault="00D72A7D" w:rsidP="00D72A7D">
            <w:pPr>
              <w:tabs>
                <w:tab w:val="left" w:pos="993"/>
              </w:tabs>
              <w:suppressAutoHyphens/>
              <w:contextualSpacing/>
              <w:rPr>
                <w:sz w:val="24"/>
                <w:szCs w:val="24"/>
              </w:rPr>
            </w:pPr>
          </w:p>
        </w:tc>
        <w:tc>
          <w:tcPr>
            <w:tcW w:w="1719" w:type="dxa"/>
            <w:vMerge/>
          </w:tcPr>
          <w:p w14:paraId="3674E889" w14:textId="77777777" w:rsidR="00D72A7D" w:rsidRPr="00D72A7D" w:rsidRDefault="00D72A7D" w:rsidP="00D72A7D">
            <w:pPr>
              <w:tabs>
                <w:tab w:val="left" w:pos="993"/>
              </w:tabs>
              <w:suppressAutoHyphens/>
              <w:contextualSpacing/>
              <w:rPr>
                <w:sz w:val="24"/>
                <w:szCs w:val="24"/>
              </w:rPr>
            </w:pPr>
          </w:p>
        </w:tc>
        <w:tc>
          <w:tcPr>
            <w:tcW w:w="1830" w:type="dxa"/>
          </w:tcPr>
          <w:p w14:paraId="3E09A244" w14:textId="77777777" w:rsidR="00D72A7D" w:rsidRPr="00D72A7D" w:rsidRDefault="00D72A7D" w:rsidP="00D72A7D">
            <w:pPr>
              <w:tabs>
                <w:tab w:val="left" w:pos="993"/>
              </w:tabs>
              <w:suppressAutoHyphens/>
              <w:contextualSpacing/>
              <w:jc w:val="center"/>
              <w:rPr>
                <w:sz w:val="24"/>
                <w:szCs w:val="24"/>
              </w:rPr>
            </w:pPr>
            <w:r w:rsidRPr="00D72A7D">
              <w:rPr>
                <w:sz w:val="24"/>
                <w:szCs w:val="24"/>
              </w:rPr>
              <w:t xml:space="preserve">IV </w:t>
            </w:r>
            <w:proofErr w:type="spellStart"/>
            <w:r w:rsidRPr="00D72A7D">
              <w:rPr>
                <w:sz w:val="24"/>
                <w:szCs w:val="24"/>
              </w:rPr>
              <w:t>ketv</w:t>
            </w:r>
            <w:proofErr w:type="spellEnd"/>
            <w:r w:rsidRPr="00D72A7D">
              <w:rPr>
                <w:sz w:val="24"/>
                <w:szCs w:val="24"/>
              </w:rPr>
              <w:t>.</w:t>
            </w:r>
          </w:p>
        </w:tc>
        <w:tc>
          <w:tcPr>
            <w:tcW w:w="1327" w:type="dxa"/>
            <w:vMerge/>
          </w:tcPr>
          <w:p w14:paraId="12A2E405"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0E125B14"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13CB7C6"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16318E5" w14:textId="77777777" w:rsidR="00D72A7D" w:rsidRPr="00D72A7D" w:rsidRDefault="00D72A7D" w:rsidP="00D72A7D">
            <w:pPr>
              <w:tabs>
                <w:tab w:val="left" w:pos="993"/>
              </w:tabs>
              <w:suppressAutoHyphens/>
              <w:contextualSpacing/>
              <w:jc w:val="center"/>
              <w:rPr>
                <w:sz w:val="24"/>
                <w:szCs w:val="24"/>
              </w:rPr>
            </w:pPr>
          </w:p>
        </w:tc>
      </w:tr>
      <w:tr w:rsidR="00D72A7D" w:rsidRPr="00D72A7D" w14:paraId="0FF8A39F" w14:textId="77777777" w:rsidTr="00D72A7D">
        <w:tc>
          <w:tcPr>
            <w:tcW w:w="2811" w:type="dxa"/>
          </w:tcPr>
          <w:p w14:paraId="64B0A936" w14:textId="77777777" w:rsidR="00D72A7D" w:rsidRPr="00D72A7D" w:rsidRDefault="00D72A7D" w:rsidP="00D72A7D">
            <w:pPr>
              <w:tabs>
                <w:tab w:val="left" w:pos="993"/>
              </w:tabs>
              <w:suppressAutoHyphens/>
              <w:contextualSpacing/>
              <w:rPr>
                <w:sz w:val="24"/>
                <w:szCs w:val="24"/>
              </w:rPr>
            </w:pPr>
            <w:r w:rsidRPr="00D72A7D">
              <w:rPr>
                <w:sz w:val="24"/>
                <w:szCs w:val="24"/>
              </w:rPr>
              <w:t>Šalčininkų tvenkinys I</w:t>
            </w:r>
          </w:p>
        </w:tc>
        <w:tc>
          <w:tcPr>
            <w:tcW w:w="1719" w:type="dxa"/>
            <w:vMerge w:val="restart"/>
          </w:tcPr>
          <w:p w14:paraId="685872A1" w14:textId="77777777" w:rsidR="00D72A7D" w:rsidRPr="00D72A7D" w:rsidRDefault="00D72A7D" w:rsidP="00D72A7D">
            <w:pPr>
              <w:tabs>
                <w:tab w:val="left" w:pos="993"/>
              </w:tabs>
              <w:suppressAutoHyphens/>
              <w:contextualSpacing/>
              <w:rPr>
                <w:sz w:val="24"/>
                <w:szCs w:val="24"/>
              </w:rPr>
            </w:pPr>
            <w:r w:rsidRPr="00D72A7D">
              <w:rPr>
                <w:color w:val="000000"/>
                <w:sz w:val="24"/>
                <w:szCs w:val="24"/>
              </w:rPr>
              <w:t>bendras azotas (</w:t>
            </w:r>
            <w:proofErr w:type="spellStart"/>
            <w:r w:rsidRPr="00D72A7D">
              <w:rPr>
                <w:color w:val="000000"/>
                <w:sz w:val="24"/>
                <w:szCs w:val="24"/>
              </w:rPr>
              <w:t>Nb</w:t>
            </w:r>
            <w:proofErr w:type="spellEnd"/>
            <w:r w:rsidRPr="00D72A7D">
              <w:rPr>
                <w:color w:val="000000"/>
                <w:sz w:val="24"/>
                <w:szCs w:val="24"/>
              </w:rPr>
              <w:t>), bendras fosforas (</w:t>
            </w:r>
            <w:proofErr w:type="spellStart"/>
            <w:r w:rsidRPr="00D72A7D">
              <w:rPr>
                <w:color w:val="000000"/>
                <w:sz w:val="24"/>
                <w:szCs w:val="24"/>
              </w:rPr>
              <w:t>Pb</w:t>
            </w:r>
            <w:proofErr w:type="spellEnd"/>
            <w:r w:rsidRPr="00D72A7D">
              <w:rPr>
                <w:color w:val="000000"/>
                <w:sz w:val="24"/>
                <w:szCs w:val="24"/>
              </w:rPr>
              <w:t>), biocheminis deguonies suvartojimas per 7 paras (BDS</w:t>
            </w:r>
            <w:r w:rsidRPr="00D72A7D">
              <w:rPr>
                <w:color w:val="000000"/>
                <w:sz w:val="24"/>
                <w:szCs w:val="24"/>
                <w:vertAlign w:val="subscript"/>
              </w:rPr>
              <w:t>7</w:t>
            </w:r>
            <w:r w:rsidRPr="00D72A7D">
              <w:rPr>
                <w:color w:val="000000"/>
                <w:sz w:val="24"/>
                <w:szCs w:val="24"/>
              </w:rPr>
              <w:t>), vandens skaidrumas (Seki gylis (S))</w:t>
            </w:r>
          </w:p>
        </w:tc>
        <w:tc>
          <w:tcPr>
            <w:tcW w:w="1830" w:type="dxa"/>
            <w:vMerge w:val="restart"/>
          </w:tcPr>
          <w:p w14:paraId="2432678D" w14:textId="77777777" w:rsidR="00D72A7D" w:rsidRPr="00D72A7D" w:rsidRDefault="00D72A7D" w:rsidP="00D72A7D">
            <w:pPr>
              <w:tabs>
                <w:tab w:val="left" w:pos="993"/>
              </w:tabs>
              <w:suppressAutoHyphens/>
              <w:contextualSpacing/>
              <w:jc w:val="center"/>
              <w:rPr>
                <w:sz w:val="24"/>
                <w:szCs w:val="24"/>
              </w:rPr>
            </w:pPr>
            <w:r w:rsidRPr="00D72A7D">
              <w:rPr>
                <w:sz w:val="24"/>
                <w:szCs w:val="24"/>
              </w:rPr>
              <w:t>balandžio mėn. II pusėje- gegužės mėn.</w:t>
            </w:r>
          </w:p>
        </w:tc>
        <w:tc>
          <w:tcPr>
            <w:tcW w:w="1327" w:type="dxa"/>
            <w:vMerge w:val="restart"/>
          </w:tcPr>
          <w:p w14:paraId="3CBB56A1" w14:textId="77777777" w:rsidR="00D72A7D" w:rsidRPr="00D72A7D" w:rsidRDefault="00D72A7D" w:rsidP="00D72A7D">
            <w:pPr>
              <w:tabs>
                <w:tab w:val="left" w:pos="993"/>
              </w:tabs>
              <w:suppressAutoHyphens/>
              <w:contextualSpacing/>
              <w:jc w:val="center"/>
              <w:rPr>
                <w:sz w:val="24"/>
                <w:szCs w:val="24"/>
              </w:rPr>
            </w:pPr>
            <w:r w:rsidRPr="00D72A7D">
              <w:rPr>
                <w:sz w:val="24"/>
                <w:szCs w:val="24"/>
              </w:rPr>
              <w:t>Ne daugiau nei 90 k.</w:t>
            </w:r>
          </w:p>
        </w:tc>
        <w:tc>
          <w:tcPr>
            <w:tcW w:w="696" w:type="dxa"/>
            <w:vMerge w:val="restart"/>
          </w:tcPr>
          <w:p w14:paraId="79F7201F" w14:textId="77777777" w:rsidR="00D72A7D" w:rsidRPr="00D72A7D" w:rsidRDefault="00D72A7D" w:rsidP="00D72A7D">
            <w:pPr>
              <w:tabs>
                <w:tab w:val="left" w:pos="993"/>
              </w:tabs>
              <w:suppressAutoHyphens/>
              <w:contextualSpacing/>
              <w:jc w:val="center"/>
              <w:rPr>
                <w:sz w:val="24"/>
                <w:szCs w:val="24"/>
              </w:rPr>
            </w:pPr>
            <w:r w:rsidRPr="00D72A7D">
              <w:rPr>
                <w:sz w:val="24"/>
                <w:szCs w:val="24"/>
              </w:rPr>
              <w:t>18k.</w:t>
            </w:r>
          </w:p>
        </w:tc>
        <w:tc>
          <w:tcPr>
            <w:tcW w:w="696" w:type="dxa"/>
            <w:vMerge w:val="restart"/>
          </w:tcPr>
          <w:p w14:paraId="189849F6" w14:textId="77777777" w:rsidR="00D72A7D" w:rsidRPr="00D72A7D" w:rsidRDefault="00D72A7D" w:rsidP="00D72A7D">
            <w:pPr>
              <w:tabs>
                <w:tab w:val="left" w:pos="993"/>
              </w:tabs>
              <w:suppressAutoHyphens/>
              <w:contextualSpacing/>
              <w:jc w:val="center"/>
              <w:rPr>
                <w:sz w:val="24"/>
                <w:szCs w:val="24"/>
              </w:rPr>
            </w:pPr>
            <w:r w:rsidRPr="00D72A7D">
              <w:rPr>
                <w:sz w:val="24"/>
                <w:szCs w:val="24"/>
              </w:rPr>
              <w:t>36k.</w:t>
            </w:r>
          </w:p>
        </w:tc>
        <w:tc>
          <w:tcPr>
            <w:tcW w:w="696" w:type="dxa"/>
            <w:vMerge w:val="restart"/>
          </w:tcPr>
          <w:p w14:paraId="255A3038" w14:textId="77777777" w:rsidR="00D72A7D" w:rsidRPr="00D72A7D" w:rsidRDefault="00D72A7D" w:rsidP="00D72A7D">
            <w:pPr>
              <w:tabs>
                <w:tab w:val="left" w:pos="993"/>
              </w:tabs>
              <w:suppressAutoHyphens/>
              <w:contextualSpacing/>
              <w:jc w:val="center"/>
              <w:rPr>
                <w:sz w:val="24"/>
                <w:szCs w:val="24"/>
              </w:rPr>
            </w:pPr>
            <w:r w:rsidRPr="00D72A7D">
              <w:rPr>
                <w:sz w:val="24"/>
                <w:szCs w:val="24"/>
              </w:rPr>
              <w:t>36k.</w:t>
            </w:r>
          </w:p>
        </w:tc>
      </w:tr>
      <w:tr w:rsidR="00D72A7D" w:rsidRPr="00D72A7D" w14:paraId="20946691" w14:textId="77777777" w:rsidTr="00D72A7D">
        <w:tc>
          <w:tcPr>
            <w:tcW w:w="2811" w:type="dxa"/>
          </w:tcPr>
          <w:p w14:paraId="50A9C4FB" w14:textId="77777777" w:rsidR="00D72A7D" w:rsidRPr="00D72A7D" w:rsidRDefault="00D72A7D" w:rsidP="00D72A7D">
            <w:pPr>
              <w:tabs>
                <w:tab w:val="left" w:pos="993"/>
              </w:tabs>
              <w:suppressAutoHyphens/>
              <w:contextualSpacing/>
              <w:rPr>
                <w:sz w:val="24"/>
                <w:szCs w:val="24"/>
              </w:rPr>
            </w:pPr>
            <w:r w:rsidRPr="00D72A7D">
              <w:rPr>
                <w:sz w:val="24"/>
                <w:szCs w:val="24"/>
              </w:rPr>
              <w:t xml:space="preserve">Šalčininkų tvenkinys II  </w:t>
            </w:r>
          </w:p>
        </w:tc>
        <w:tc>
          <w:tcPr>
            <w:tcW w:w="1719" w:type="dxa"/>
            <w:vMerge/>
          </w:tcPr>
          <w:p w14:paraId="1BF6B032"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61D22DED"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5738CD0A"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391EE0B5"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09F650E"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DF4BA1B" w14:textId="77777777" w:rsidR="00D72A7D" w:rsidRPr="00D72A7D" w:rsidRDefault="00D72A7D" w:rsidP="00D72A7D">
            <w:pPr>
              <w:tabs>
                <w:tab w:val="left" w:pos="993"/>
              </w:tabs>
              <w:suppressAutoHyphens/>
              <w:contextualSpacing/>
              <w:jc w:val="center"/>
              <w:rPr>
                <w:sz w:val="24"/>
                <w:szCs w:val="24"/>
              </w:rPr>
            </w:pPr>
          </w:p>
        </w:tc>
      </w:tr>
      <w:tr w:rsidR="00D72A7D" w:rsidRPr="00D72A7D" w14:paraId="78C36C90" w14:textId="77777777" w:rsidTr="00D72A7D">
        <w:tc>
          <w:tcPr>
            <w:tcW w:w="2811" w:type="dxa"/>
          </w:tcPr>
          <w:p w14:paraId="782F8A76" w14:textId="77777777" w:rsidR="00D72A7D" w:rsidRPr="00D72A7D" w:rsidRDefault="00D72A7D" w:rsidP="00D72A7D">
            <w:pPr>
              <w:tabs>
                <w:tab w:val="left" w:pos="993"/>
              </w:tabs>
              <w:suppressAutoHyphens/>
              <w:contextualSpacing/>
              <w:rPr>
                <w:sz w:val="24"/>
                <w:szCs w:val="24"/>
              </w:rPr>
            </w:pPr>
            <w:proofErr w:type="spellStart"/>
            <w:r w:rsidRPr="00D72A7D">
              <w:rPr>
                <w:sz w:val="24"/>
                <w:szCs w:val="24"/>
              </w:rPr>
              <w:t>Šalčininkėlių</w:t>
            </w:r>
            <w:proofErr w:type="spellEnd"/>
            <w:r w:rsidRPr="00D72A7D">
              <w:rPr>
                <w:sz w:val="24"/>
                <w:szCs w:val="24"/>
              </w:rPr>
              <w:t xml:space="preserve"> tvenkinys</w:t>
            </w:r>
          </w:p>
        </w:tc>
        <w:tc>
          <w:tcPr>
            <w:tcW w:w="1719" w:type="dxa"/>
            <w:vMerge/>
          </w:tcPr>
          <w:p w14:paraId="52DFBD23"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6C67D3AF"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6630D6F5"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AB374E7"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5198C471"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CB50D12" w14:textId="77777777" w:rsidR="00D72A7D" w:rsidRPr="00D72A7D" w:rsidRDefault="00D72A7D" w:rsidP="00D72A7D">
            <w:pPr>
              <w:tabs>
                <w:tab w:val="left" w:pos="993"/>
              </w:tabs>
              <w:suppressAutoHyphens/>
              <w:contextualSpacing/>
              <w:jc w:val="center"/>
              <w:rPr>
                <w:sz w:val="24"/>
                <w:szCs w:val="24"/>
              </w:rPr>
            </w:pPr>
          </w:p>
        </w:tc>
      </w:tr>
      <w:tr w:rsidR="00D72A7D" w:rsidRPr="00D72A7D" w14:paraId="2080139A" w14:textId="77777777" w:rsidTr="00D72A7D">
        <w:tc>
          <w:tcPr>
            <w:tcW w:w="2811" w:type="dxa"/>
          </w:tcPr>
          <w:p w14:paraId="7C28C86B" w14:textId="77777777" w:rsidR="00D72A7D" w:rsidRPr="00D72A7D" w:rsidRDefault="00D72A7D" w:rsidP="00D72A7D">
            <w:pPr>
              <w:tabs>
                <w:tab w:val="left" w:pos="993"/>
              </w:tabs>
              <w:suppressAutoHyphens/>
              <w:contextualSpacing/>
              <w:rPr>
                <w:sz w:val="24"/>
                <w:szCs w:val="24"/>
              </w:rPr>
            </w:pPr>
            <w:r w:rsidRPr="00D72A7D">
              <w:rPr>
                <w:sz w:val="24"/>
                <w:szCs w:val="24"/>
              </w:rPr>
              <w:t xml:space="preserve">V-2 tvenkinys </w:t>
            </w:r>
            <w:proofErr w:type="spellStart"/>
            <w:r w:rsidRPr="00D72A7D">
              <w:rPr>
                <w:sz w:val="24"/>
                <w:szCs w:val="24"/>
              </w:rPr>
              <w:t>Šalčininkėliuose</w:t>
            </w:r>
            <w:proofErr w:type="spellEnd"/>
          </w:p>
        </w:tc>
        <w:tc>
          <w:tcPr>
            <w:tcW w:w="1719" w:type="dxa"/>
            <w:vMerge/>
          </w:tcPr>
          <w:p w14:paraId="439DB7AB" w14:textId="77777777" w:rsidR="00D72A7D" w:rsidRPr="00D72A7D" w:rsidRDefault="00D72A7D" w:rsidP="00D72A7D">
            <w:pPr>
              <w:tabs>
                <w:tab w:val="left" w:pos="993"/>
              </w:tabs>
              <w:suppressAutoHyphens/>
              <w:contextualSpacing/>
              <w:jc w:val="center"/>
              <w:rPr>
                <w:sz w:val="24"/>
                <w:szCs w:val="24"/>
              </w:rPr>
            </w:pPr>
          </w:p>
        </w:tc>
        <w:tc>
          <w:tcPr>
            <w:tcW w:w="1830" w:type="dxa"/>
          </w:tcPr>
          <w:p w14:paraId="149BEC45" w14:textId="77777777" w:rsidR="00D72A7D" w:rsidRPr="00D72A7D" w:rsidRDefault="00D72A7D" w:rsidP="00D72A7D">
            <w:pPr>
              <w:tabs>
                <w:tab w:val="left" w:pos="993"/>
              </w:tabs>
              <w:suppressAutoHyphens/>
              <w:contextualSpacing/>
              <w:jc w:val="center"/>
              <w:rPr>
                <w:sz w:val="24"/>
                <w:szCs w:val="24"/>
              </w:rPr>
            </w:pPr>
            <w:r w:rsidRPr="00D72A7D">
              <w:rPr>
                <w:sz w:val="24"/>
                <w:szCs w:val="24"/>
              </w:rPr>
              <w:t>liepos mėn. II pusėje</w:t>
            </w:r>
          </w:p>
        </w:tc>
        <w:tc>
          <w:tcPr>
            <w:tcW w:w="1327" w:type="dxa"/>
            <w:vMerge/>
          </w:tcPr>
          <w:p w14:paraId="3CC3E20B"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1C384B5"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04C6DCE3"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5C14AEBB" w14:textId="77777777" w:rsidR="00D72A7D" w:rsidRPr="00D72A7D" w:rsidRDefault="00D72A7D" w:rsidP="00D72A7D">
            <w:pPr>
              <w:tabs>
                <w:tab w:val="left" w:pos="993"/>
              </w:tabs>
              <w:suppressAutoHyphens/>
              <w:contextualSpacing/>
              <w:jc w:val="center"/>
              <w:rPr>
                <w:sz w:val="24"/>
                <w:szCs w:val="24"/>
              </w:rPr>
            </w:pPr>
          </w:p>
        </w:tc>
      </w:tr>
      <w:tr w:rsidR="00D72A7D" w:rsidRPr="00D72A7D" w14:paraId="3A477DD0" w14:textId="77777777" w:rsidTr="00D72A7D">
        <w:tc>
          <w:tcPr>
            <w:tcW w:w="2811" w:type="dxa"/>
          </w:tcPr>
          <w:p w14:paraId="6C7CC259" w14:textId="77777777" w:rsidR="00D72A7D" w:rsidRPr="00D72A7D" w:rsidRDefault="00D72A7D" w:rsidP="00D72A7D">
            <w:pPr>
              <w:tabs>
                <w:tab w:val="left" w:pos="993"/>
              </w:tabs>
              <w:suppressAutoHyphens/>
              <w:contextualSpacing/>
              <w:rPr>
                <w:sz w:val="24"/>
                <w:szCs w:val="24"/>
              </w:rPr>
            </w:pPr>
            <w:proofErr w:type="spellStart"/>
            <w:r w:rsidRPr="00D72A7D">
              <w:rPr>
                <w:sz w:val="24"/>
                <w:szCs w:val="24"/>
              </w:rPr>
              <w:t>Poškonių</w:t>
            </w:r>
            <w:proofErr w:type="spellEnd"/>
            <w:r w:rsidRPr="00D72A7D">
              <w:rPr>
                <w:sz w:val="24"/>
                <w:szCs w:val="24"/>
              </w:rPr>
              <w:t xml:space="preserve"> tvenkinys</w:t>
            </w:r>
          </w:p>
        </w:tc>
        <w:tc>
          <w:tcPr>
            <w:tcW w:w="1719" w:type="dxa"/>
            <w:vMerge/>
          </w:tcPr>
          <w:p w14:paraId="0938D482" w14:textId="77777777" w:rsidR="00D72A7D" w:rsidRPr="00D72A7D" w:rsidRDefault="00D72A7D" w:rsidP="00D72A7D">
            <w:pPr>
              <w:tabs>
                <w:tab w:val="left" w:pos="993"/>
              </w:tabs>
              <w:suppressAutoHyphens/>
              <w:contextualSpacing/>
              <w:jc w:val="center"/>
              <w:rPr>
                <w:sz w:val="24"/>
                <w:szCs w:val="24"/>
              </w:rPr>
            </w:pPr>
          </w:p>
        </w:tc>
        <w:tc>
          <w:tcPr>
            <w:tcW w:w="1830" w:type="dxa"/>
            <w:vMerge w:val="restart"/>
            <w:vAlign w:val="center"/>
          </w:tcPr>
          <w:p w14:paraId="643D4296" w14:textId="77777777" w:rsidR="00D72A7D" w:rsidRPr="00D72A7D" w:rsidRDefault="00D72A7D" w:rsidP="00D72A7D">
            <w:pPr>
              <w:tabs>
                <w:tab w:val="left" w:pos="993"/>
              </w:tabs>
              <w:suppressAutoHyphens/>
              <w:contextualSpacing/>
              <w:jc w:val="center"/>
              <w:rPr>
                <w:sz w:val="24"/>
                <w:szCs w:val="24"/>
              </w:rPr>
            </w:pPr>
            <w:r w:rsidRPr="00D72A7D">
              <w:rPr>
                <w:noProof/>
                <w:sz w:val="24"/>
                <w:szCs w:val="24"/>
              </w:rPr>
              <w:t>rūgpjūčio</w:t>
            </w:r>
            <w:r w:rsidRPr="00D72A7D">
              <w:rPr>
                <w:sz w:val="24"/>
                <w:szCs w:val="24"/>
              </w:rPr>
              <w:t xml:space="preserve"> mėn. II pusėje</w:t>
            </w:r>
          </w:p>
        </w:tc>
        <w:tc>
          <w:tcPr>
            <w:tcW w:w="1327" w:type="dxa"/>
            <w:vMerge/>
          </w:tcPr>
          <w:p w14:paraId="1D3059A6" w14:textId="77777777" w:rsidR="00D72A7D" w:rsidRPr="00D72A7D" w:rsidRDefault="00D72A7D" w:rsidP="00D72A7D">
            <w:pPr>
              <w:tabs>
                <w:tab w:val="left" w:pos="993"/>
              </w:tabs>
              <w:suppressAutoHyphens/>
              <w:contextualSpacing/>
              <w:jc w:val="center"/>
              <w:rPr>
                <w:noProof/>
                <w:sz w:val="24"/>
                <w:szCs w:val="24"/>
              </w:rPr>
            </w:pPr>
          </w:p>
        </w:tc>
        <w:tc>
          <w:tcPr>
            <w:tcW w:w="696" w:type="dxa"/>
            <w:vMerge/>
          </w:tcPr>
          <w:p w14:paraId="62EBF105" w14:textId="77777777" w:rsidR="00D72A7D" w:rsidRPr="00D72A7D" w:rsidRDefault="00D72A7D" w:rsidP="00D72A7D">
            <w:pPr>
              <w:tabs>
                <w:tab w:val="left" w:pos="993"/>
              </w:tabs>
              <w:suppressAutoHyphens/>
              <w:contextualSpacing/>
              <w:jc w:val="center"/>
              <w:rPr>
                <w:noProof/>
                <w:sz w:val="24"/>
                <w:szCs w:val="24"/>
              </w:rPr>
            </w:pPr>
          </w:p>
        </w:tc>
        <w:tc>
          <w:tcPr>
            <w:tcW w:w="696" w:type="dxa"/>
            <w:vMerge/>
          </w:tcPr>
          <w:p w14:paraId="108A441B" w14:textId="77777777" w:rsidR="00D72A7D" w:rsidRPr="00D72A7D" w:rsidRDefault="00D72A7D" w:rsidP="00D72A7D">
            <w:pPr>
              <w:tabs>
                <w:tab w:val="left" w:pos="993"/>
              </w:tabs>
              <w:suppressAutoHyphens/>
              <w:contextualSpacing/>
              <w:jc w:val="center"/>
              <w:rPr>
                <w:noProof/>
                <w:sz w:val="24"/>
                <w:szCs w:val="24"/>
              </w:rPr>
            </w:pPr>
          </w:p>
        </w:tc>
        <w:tc>
          <w:tcPr>
            <w:tcW w:w="696" w:type="dxa"/>
            <w:vMerge/>
          </w:tcPr>
          <w:p w14:paraId="236379E1" w14:textId="77777777" w:rsidR="00D72A7D" w:rsidRPr="00D72A7D" w:rsidRDefault="00D72A7D" w:rsidP="00D72A7D">
            <w:pPr>
              <w:tabs>
                <w:tab w:val="left" w:pos="993"/>
              </w:tabs>
              <w:suppressAutoHyphens/>
              <w:contextualSpacing/>
              <w:jc w:val="center"/>
              <w:rPr>
                <w:noProof/>
                <w:sz w:val="24"/>
                <w:szCs w:val="24"/>
              </w:rPr>
            </w:pPr>
          </w:p>
        </w:tc>
      </w:tr>
      <w:tr w:rsidR="00D72A7D" w:rsidRPr="00D72A7D" w14:paraId="6FD8AB0B" w14:textId="77777777" w:rsidTr="00D72A7D">
        <w:tc>
          <w:tcPr>
            <w:tcW w:w="2811" w:type="dxa"/>
          </w:tcPr>
          <w:p w14:paraId="63B25C91" w14:textId="77777777" w:rsidR="00D72A7D" w:rsidRPr="00D72A7D" w:rsidRDefault="00D72A7D" w:rsidP="00D72A7D">
            <w:pPr>
              <w:tabs>
                <w:tab w:val="left" w:pos="993"/>
              </w:tabs>
              <w:suppressAutoHyphens/>
              <w:contextualSpacing/>
              <w:rPr>
                <w:sz w:val="24"/>
                <w:szCs w:val="24"/>
              </w:rPr>
            </w:pPr>
            <w:proofErr w:type="spellStart"/>
            <w:r w:rsidRPr="00D72A7D">
              <w:rPr>
                <w:sz w:val="24"/>
                <w:szCs w:val="24"/>
              </w:rPr>
              <w:t>Rakliškių</w:t>
            </w:r>
            <w:proofErr w:type="spellEnd"/>
            <w:r w:rsidRPr="00D72A7D">
              <w:rPr>
                <w:sz w:val="24"/>
                <w:szCs w:val="24"/>
              </w:rPr>
              <w:t xml:space="preserve"> tvenkinys</w:t>
            </w:r>
          </w:p>
        </w:tc>
        <w:tc>
          <w:tcPr>
            <w:tcW w:w="1719" w:type="dxa"/>
            <w:vMerge/>
          </w:tcPr>
          <w:p w14:paraId="4C9615DE"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34D1D4C5"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70DC4B5A"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E43A7F7"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48F9AB5"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42EBB6A" w14:textId="77777777" w:rsidR="00D72A7D" w:rsidRPr="00D72A7D" w:rsidRDefault="00D72A7D" w:rsidP="00D72A7D">
            <w:pPr>
              <w:tabs>
                <w:tab w:val="left" w:pos="993"/>
              </w:tabs>
              <w:suppressAutoHyphens/>
              <w:contextualSpacing/>
              <w:jc w:val="center"/>
              <w:rPr>
                <w:sz w:val="24"/>
                <w:szCs w:val="24"/>
              </w:rPr>
            </w:pPr>
          </w:p>
        </w:tc>
      </w:tr>
      <w:tr w:rsidR="00D72A7D" w:rsidRPr="00D72A7D" w14:paraId="10CD1720" w14:textId="77777777" w:rsidTr="00D72A7D">
        <w:tc>
          <w:tcPr>
            <w:tcW w:w="2811" w:type="dxa"/>
          </w:tcPr>
          <w:p w14:paraId="6626C785" w14:textId="77777777" w:rsidR="00D72A7D" w:rsidRPr="00D72A7D" w:rsidRDefault="00D72A7D" w:rsidP="00D72A7D">
            <w:pPr>
              <w:tabs>
                <w:tab w:val="left" w:pos="993"/>
              </w:tabs>
              <w:suppressAutoHyphens/>
              <w:contextualSpacing/>
              <w:rPr>
                <w:sz w:val="24"/>
                <w:szCs w:val="24"/>
              </w:rPr>
            </w:pPr>
            <w:r w:rsidRPr="00D72A7D">
              <w:rPr>
                <w:sz w:val="24"/>
                <w:szCs w:val="24"/>
              </w:rPr>
              <w:t>Eišiškių HE tvenkinys</w:t>
            </w:r>
          </w:p>
        </w:tc>
        <w:tc>
          <w:tcPr>
            <w:tcW w:w="1719" w:type="dxa"/>
            <w:vMerge/>
          </w:tcPr>
          <w:p w14:paraId="78C12356" w14:textId="77777777" w:rsidR="00D72A7D" w:rsidRPr="00D72A7D" w:rsidRDefault="00D72A7D" w:rsidP="00D72A7D">
            <w:pPr>
              <w:tabs>
                <w:tab w:val="left" w:pos="993"/>
              </w:tabs>
              <w:suppressAutoHyphens/>
              <w:contextualSpacing/>
              <w:jc w:val="center"/>
              <w:rPr>
                <w:sz w:val="24"/>
                <w:szCs w:val="24"/>
              </w:rPr>
            </w:pPr>
          </w:p>
        </w:tc>
        <w:tc>
          <w:tcPr>
            <w:tcW w:w="1830" w:type="dxa"/>
            <w:vMerge w:val="restart"/>
          </w:tcPr>
          <w:p w14:paraId="24759B45" w14:textId="77777777" w:rsidR="00D72A7D" w:rsidRPr="00D72A7D" w:rsidRDefault="00D72A7D" w:rsidP="00D72A7D">
            <w:pPr>
              <w:tabs>
                <w:tab w:val="left" w:pos="993"/>
              </w:tabs>
              <w:suppressAutoHyphens/>
              <w:contextualSpacing/>
              <w:jc w:val="center"/>
              <w:rPr>
                <w:sz w:val="24"/>
                <w:szCs w:val="24"/>
              </w:rPr>
            </w:pPr>
            <w:r w:rsidRPr="00D72A7D">
              <w:rPr>
                <w:sz w:val="24"/>
                <w:szCs w:val="24"/>
              </w:rPr>
              <w:t>rugsėjo mėn. II pusėje- spalio mėn. I pusėje</w:t>
            </w:r>
          </w:p>
        </w:tc>
        <w:tc>
          <w:tcPr>
            <w:tcW w:w="1327" w:type="dxa"/>
            <w:vMerge/>
          </w:tcPr>
          <w:p w14:paraId="4ED277D0"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B4B46EB"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1EC95D7"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3C3D254F" w14:textId="77777777" w:rsidR="00D72A7D" w:rsidRPr="00D72A7D" w:rsidRDefault="00D72A7D" w:rsidP="00D72A7D">
            <w:pPr>
              <w:tabs>
                <w:tab w:val="left" w:pos="993"/>
              </w:tabs>
              <w:suppressAutoHyphens/>
              <w:contextualSpacing/>
              <w:jc w:val="center"/>
              <w:rPr>
                <w:sz w:val="24"/>
                <w:szCs w:val="24"/>
              </w:rPr>
            </w:pPr>
          </w:p>
        </w:tc>
      </w:tr>
      <w:tr w:rsidR="00D72A7D" w:rsidRPr="00D72A7D" w14:paraId="37E28651" w14:textId="77777777" w:rsidTr="00D72A7D">
        <w:tc>
          <w:tcPr>
            <w:tcW w:w="2811" w:type="dxa"/>
          </w:tcPr>
          <w:p w14:paraId="26FCEEC8" w14:textId="77777777" w:rsidR="00D72A7D" w:rsidRPr="00D72A7D" w:rsidRDefault="00D72A7D" w:rsidP="00D72A7D">
            <w:pPr>
              <w:tabs>
                <w:tab w:val="left" w:pos="993"/>
              </w:tabs>
              <w:suppressAutoHyphens/>
              <w:contextualSpacing/>
              <w:rPr>
                <w:sz w:val="24"/>
                <w:szCs w:val="24"/>
              </w:rPr>
            </w:pPr>
            <w:r w:rsidRPr="00D72A7D">
              <w:rPr>
                <w:sz w:val="24"/>
                <w:szCs w:val="24"/>
              </w:rPr>
              <w:t>Gojaus tvenkinys</w:t>
            </w:r>
          </w:p>
        </w:tc>
        <w:tc>
          <w:tcPr>
            <w:tcW w:w="1719" w:type="dxa"/>
            <w:vMerge/>
          </w:tcPr>
          <w:p w14:paraId="5061456C"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3EB1271C"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2D364613"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62B05C5"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0B891942"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59A9F6B" w14:textId="77777777" w:rsidR="00D72A7D" w:rsidRPr="00D72A7D" w:rsidRDefault="00D72A7D" w:rsidP="00D72A7D">
            <w:pPr>
              <w:tabs>
                <w:tab w:val="left" w:pos="993"/>
              </w:tabs>
              <w:suppressAutoHyphens/>
              <w:contextualSpacing/>
              <w:jc w:val="center"/>
              <w:rPr>
                <w:sz w:val="24"/>
                <w:szCs w:val="24"/>
              </w:rPr>
            </w:pPr>
          </w:p>
        </w:tc>
      </w:tr>
      <w:tr w:rsidR="00D72A7D" w:rsidRPr="00D72A7D" w14:paraId="15A06EAC" w14:textId="77777777" w:rsidTr="00D72A7D">
        <w:tc>
          <w:tcPr>
            <w:tcW w:w="2811" w:type="dxa"/>
          </w:tcPr>
          <w:p w14:paraId="08479EFB" w14:textId="77777777" w:rsidR="00D72A7D" w:rsidRPr="00D72A7D" w:rsidRDefault="00D72A7D" w:rsidP="00D72A7D">
            <w:pPr>
              <w:tabs>
                <w:tab w:val="left" w:pos="993"/>
              </w:tabs>
              <w:suppressAutoHyphens/>
              <w:contextualSpacing/>
              <w:rPr>
                <w:sz w:val="24"/>
                <w:szCs w:val="24"/>
              </w:rPr>
            </w:pPr>
            <w:proofErr w:type="spellStart"/>
            <w:r w:rsidRPr="00D72A7D">
              <w:rPr>
                <w:sz w:val="24"/>
                <w:szCs w:val="24"/>
              </w:rPr>
              <w:t>Andriškių</w:t>
            </w:r>
            <w:proofErr w:type="spellEnd"/>
            <w:r w:rsidRPr="00D72A7D">
              <w:rPr>
                <w:sz w:val="24"/>
                <w:szCs w:val="24"/>
              </w:rPr>
              <w:t xml:space="preserve"> tvenkinys</w:t>
            </w:r>
          </w:p>
        </w:tc>
        <w:tc>
          <w:tcPr>
            <w:tcW w:w="1719" w:type="dxa"/>
            <w:vMerge/>
          </w:tcPr>
          <w:p w14:paraId="3EAAB696"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362B6332"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398952AD"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43584B2"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430964C"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0702E88F" w14:textId="77777777" w:rsidR="00D72A7D" w:rsidRPr="00D72A7D" w:rsidRDefault="00D72A7D" w:rsidP="00D72A7D">
            <w:pPr>
              <w:tabs>
                <w:tab w:val="left" w:pos="993"/>
              </w:tabs>
              <w:suppressAutoHyphens/>
              <w:contextualSpacing/>
              <w:jc w:val="center"/>
              <w:rPr>
                <w:sz w:val="24"/>
                <w:szCs w:val="24"/>
              </w:rPr>
            </w:pPr>
          </w:p>
        </w:tc>
      </w:tr>
      <w:tr w:rsidR="00D72A7D" w:rsidRPr="00D72A7D" w14:paraId="67793006" w14:textId="77777777" w:rsidTr="00D72A7D">
        <w:tc>
          <w:tcPr>
            <w:tcW w:w="2811" w:type="dxa"/>
          </w:tcPr>
          <w:p w14:paraId="46C28337"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16 lentelėje</w:t>
            </w:r>
          </w:p>
        </w:tc>
        <w:tc>
          <w:tcPr>
            <w:tcW w:w="1719" w:type="dxa"/>
          </w:tcPr>
          <w:p w14:paraId="2F30C0CE"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29 psl.</w:t>
            </w:r>
          </w:p>
        </w:tc>
        <w:tc>
          <w:tcPr>
            <w:tcW w:w="1830" w:type="dxa"/>
          </w:tcPr>
          <w:p w14:paraId="7C6160EB"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17 lentelėje</w:t>
            </w:r>
          </w:p>
        </w:tc>
        <w:tc>
          <w:tcPr>
            <w:tcW w:w="1327" w:type="dxa"/>
          </w:tcPr>
          <w:p w14:paraId="3ED01F84" w14:textId="77777777" w:rsidR="00D72A7D" w:rsidRPr="00D72A7D" w:rsidRDefault="00D72A7D" w:rsidP="00D72A7D">
            <w:pPr>
              <w:tabs>
                <w:tab w:val="left" w:pos="993"/>
              </w:tabs>
              <w:suppressAutoHyphens/>
              <w:contextualSpacing/>
              <w:rPr>
                <w:b/>
                <w:bCs/>
              </w:rPr>
            </w:pPr>
          </w:p>
        </w:tc>
        <w:tc>
          <w:tcPr>
            <w:tcW w:w="696" w:type="dxa"/>
          </w:tcPr>
          <w:p w14:paraId="5155E671" w14:textId="77777777" w:rsidR="00D72A7D" w:rsidRPr="00D72A7D" w:rsidRDefault="00D72A7D" w:rsidP="00D72A7D">
            <w:pPr>
              <w:tabs>
                <w:tab w:val="left" w:pos="993"/>
              </w:tabs>
              <w:suppressAutoHyphens/>
              <w:contextualSpacing/>
              <w:rPr>
                <w:b/>
                <w:bCs/>
              </w:rPr>
            </w:pPr>
          </w:p>
        </w:tc>
        <w:tc>
          <w:tcPr>
            <w:tcW w:w="696" w:type="dxa"/>
          </w:tcPr>
          <w:p w14:paraId="67764E92" w14:textId="77777777" w:rsidR="00D72A7D" w:rsidRPr="00D72A7D" w:rsidRDefault="00D72A7D" w:rsidP="00D72A7D">
            <w:pPr>
              <w:tabs>
                <w:tab w:val="left" w:pos="993"/>
              </w:tabs>
              <w:suppressAutoHyphens/>
              <w:contextualSpacing/>
              <w:rPr>
                <w:b/>
                <w:bCs/>
              </w:rPr>
            </w:pPr>
          </w:p>
        </w:tc>
        <w:tc>
          <w:tcPr>
            <w:tcW w:w="696" w:type="dxa"/>
          </w:tcPr>
          <w:p w14:paraId="40B128DB" w14:textId="77777777" w:rsidR="00D72A7D" w:rsidRPr="00D72A7D" w:rsidRDefault="00D72A7D" w:rsidP="00D72A7D">
            <w:pPr>
              <w:tabs>
                <w:tab w:val="left" w:pos="993"/>
              </w:tabs>
              <w:suppressAutoHyphens/>
              <w:contextualSpacing/>
              <w:rPr>
                <w:b/>
                <w:bCs/>
              </w:rPr>
            </w:pPr>
          </w:p>
        </w:tc>
      </w:tr>
      <w:tr w:rsidR="00D72A7D" w:rsidRPr="00D72A7D" w14:paraId="636F735D" w14:textId="77777777" w:rsidTr="00D72A7D">
        <w:tc>
          <w:tcPr>
            <w:tcW w:w="9775" w:type="dxa"/>
            <w:gridSpan w:val="7"/>
          </w:tcPr>
          <w:p w14:paraId="2F34478C" w14:textId="77777777" w:rsidR="00D72A7D" w:rsidRPr="00D72A7D" w:rsidRDefault="00D72A7D" w:rsidP="00D72A7D">
            <w:pPr>
              <w:tabs>
                <w:tab w:val="left" w:pos="993"/>
              </w:tabs>
              <w:suppressAutoHyphens/>
              <w:contextualSpacing/>
              <w:jc w:val="center"/>
              <w:rPr>
                <w:b/>
                <w:bCs/>
                <w:sz w:val="24"/>
                <w:szCs w:val="24"/>
              </w:rPr>
            </w:pPr>
          </w:p>
          <w:p w14:paraId="03A998E2" w14:textId="77777777" w:rsidR="00D72A7D" w:rsidRPr="00D72A7D" w:rsidRDefault="00D72A7D" w:rsidP="00D72A7D">
            <w:pPr>
              <w:tabs>
                <w:tab w:val="left" w:pos="993"/>
              </w:tabs>
              <w:suppressAutoHyphens/>
              <w:contextualSpacing/>
              <w:jc w:val="center"/>
              <w:rPr>
                <w:b/>
                <w:bCs/>
                <w:sz w:val="24"/>
                <w:szCs w:val="24"/>
              </w:rPr>
            </w:pPr>
            <w:r w:rsidRPr="00D72A7D">
              <w:rPr>
                <w:b/>
                <w:bCs/>
                <w:sz w:val="24"/>
                <w:szCs w:val="24"/>
              </w:rPr>
              <w:t>Požeminio vandens monitoringas</w:t>
            </w:r>
          </w:p>
          <w:p w14:paraId="1C5AD378" w14:textId="77777777" w:rsidR="00D72A7D" w:rsidRPr="00D72A7D" w:rsidRDefault="00D72A7D" w:rsidP="00D72A7D">
            <w:pPr>
              <w:tabs>
                <w:tab w:val="left" w:pos="993"/>
              </w:tabs>
              <w:suppressAutoHyphens/>
              <w:contextualSpacing/>
              <w:jc w:val="center"/>
              <w:rPr>
                <w:b/>
                <w:bCs/>
                <w:sz w:val="24"/>
                <w:szCs w:val="24"/>
              </w:rPr>
            </w:pPr>
          </w:p>
        </w:tc>
      </w:tr>
      <w:tr w:rsidR="00D72A7D" w:rsidRPr="00D72A7D" w14:paraId="15183AB1" w14:textId="77777777" w:rsidTr="00D72A7D">
        <w:tc>
          <w:tcPr>
            <w:tcW w:w="2811" w:type="dxa"/>
            <w:vAlign w:val="center"/>
          </w:tcPr>
          <w:p w14:paraId="45A9AFA5" w14:textId="77777777" w:rsidR="00D72A7D" w:rsidRPr="00D72A7D" w:rsidRDefault="00D72A7D" w:rsidP="00D72A7D">
            <w:pPr>
              <w:tabs>
                <w:tab w:val="left" w:pos="993"/>
              </w:tabs>
              <w:suppressAutoHyphens/>
              <w:contextualSpacing/>
              <w:rPr>
                <w:sz w:val="24"/>
                <w:szCs w:val="24"/>
              </w:rPr>
            </w:pPr>
            <w:r w:rsidRPr="00D72A7D">
              <w:rPr>
                <w:sz w:val="24"/>
                <w:szCs w:val="24"/>
              </w:rPr>
              <w:t>A. Mickevičiaus g. 4A, Baltoji Vokė</w:t>
            </w:r>
          </w:p>
        </w:tc>
        <w:tc>
          <w:tcPr>
            <w:tcW w:w="1719" w:type="dxa"/>
            <w:vMerge w:val="restart"/>
          </w:tcPr>
          <w:p w14:paraId="19C42642" w14:textId="77777777" w:rsidR="00D72A7D" w:rsidRPr="00D72A7D" w:rsidRDefault="00D72A7D" w:rsidP="00D72A7D">
            <w:pPr>
              <w:tabs>
                <w:tab w:val="left" w:pos="993"/>
              </w:tabs>
              <w:suppressAutoHyphens/>
              <w:contextualSpacing/>
              <w:jc w:val="center"/>
              <w:rPr>
                <w:color w:val="000000"/>
                <w:sz w:val="24"/>
                <w:szCs w:val="24"/>
              </w:rPr>
            </w:pPr>
            <w:r w:rsidRPr="00D72A7D">
              <w:rPr>
                <w:color w:val="000000"/>
                <w:sz w:val="24"/>
                <w:szCs w:val="24"/>
              </w:rPr>
              <w:t>Ištirpęs deguonis</w:t>
            </w:r>
          </w:p>
          <w:p w14:paraId="14FC793C" w14:textId="77777777" w:rsidR="00D72A7D" w:rsidRPr="00D72A7D" w:rsidRDefault="00D72A7D" w:rsidP="00D72A7D">
            <w:pPr>
              <w:tabs>
                <w:tab w:val="left" w:pos="993"/>
              </w:tabs>
              <w:suppressAutoHyphens/>
              <w:contextualSpacing/>
              <w:jc w:val="center"/>
              <w:rPr>
                <w:sz w:val="24"/>
                <w:szCs w:val="24"/>
              </w:rPr>
            </w:pPr>
            <w:r w:rsidRPr="00D72A7D">
              <w:rPr>
                <w:sz w:val="24"/>
                <w:szCs w:val="24"/>
              </w:rPr>
              <w:t xml:space="preserve">savitasis elektros </w:t>
            </w:r>
            <w:proofErr w:type="spellStart"/>
            <w:r w:rsidRPr="00D72A7D">
              <w:rPr>
                <w:sz w:val="24"/>
                <w:szCs w:val="24"/>
              </w:rPr>
              <w:t>laidis</w:t>
            </w:r>
            <w:proofErr w:type="spellEnd"/>
            <w:r w:rsidRPr="00D72A7D">
              <w:rPr>
                <w:sz w:val="24"/>
                <w:szCs w:val="24"/>
              </w:rPr>
              <w:t xml:space="preserve"> (SEL), Vandenilio jonų koncentracija (pH)</w:t>
            </w:r>
          </w:p>
          <w:p w14:paraId="34C3C2AC" w14:textId="77777777" w:rsidR="00D72A7D" w:rsidRPr="00D72A7D" w:rsidRDefault="00D72A7D" w:rsidP="00D72A7D">
            <w:pPr>
              <w:tabs>
                <w:tab w:val="left" w:pos="993"/>
              </w:tabs>
              <w:suppressAutoHyphens/>
              <w:contextualSpacing/>
              <w:jc w:val="center"/>
              <w:rPr>
                <w:sz w:val="24"/>
                <w:szCs w:val="24"/>
                <w:vertAlign w:val="subscript"/>
              </w:rPr>
            </w:pPr>
            <w:r w:rsidRPr="00D72A7D">
              <w:rPr>
                <w:sz w:val="24"/>
                <w:szCs w:val="24"/>
              </w:rPr>
              <w:t>NO</w:t>
            </w:r>
            <w:r w:rsidRPr="00D72A7D">
              <w:rPr>
                <w:sz w:val="24"/>
                <w:szCs w:val="24"/>
                <w:vertAlign w:val="subscript"/>
              </w:rPr>
              <w:t>3</w:t>
            </w:r>
            <w:r w:rsidRPr="00D72A7D">
              <w:rPr>
                <w:sz w:val="24"/>
                <w:szCs w:val="24"/>
              </w:rPr>
              <w:t>, NO</w:t>
            </w:r>
            <w:r w:rsidRPr="00D72A7D">
              <w:rPr>
                <w:sz w:val="24"/>
                <w:szCs w:val="24"/>
                <w:vertAlign w:val="subscript"/>
              </w:rPr>
              <w:t>2</w:t>
            </w:r>
            <w:r w:rsidRPr="00D72A7D">
              <w:rPr>
                <w:sz w:val="24"/>
                <w:szCs w:val="24"/>
              </w:rPr>
              <w:t>, NH</w:t>
            </w:r>
            <w:r w:rsidRPr="00D72A7D">
              <w:rPr>
                <w:sz w:val="24"/>
                <w:szCs w:val="24"/>
                <w:vertAlign w:val="subscript"/>
              </w:rPr>
              <w:t>4</w:t>
            </w:r>
            <w:r w:rsidRPr="00D72A7D">
              <w:rPr>
                <w:sz w:val="24"/>
                <w:szCs w:val="24"/>
              </w:rPr>
              <w:t>, PO</w:t>
            </w:r>
            <w:r w:rsidRPr="00D72A7D">
              <w:rPr>
                <w:sz w:val="24"/>
                <w:szCs w:val="24"/>
                <w:vertAlign w:val="subscript"/>
              </w:rPr>
              <w:t>4</w:t>
            </w:r>
          </w:p>
          <w:p w14:paraId="55100C16" w14:textId="77777777" w:rsidR="00D72A7D" w:rsidRPr="00D72A7D" w:rsidRDefault="00D72A7D" w:rsidP="00D72A7D">
            <w:pPr>
              <w:tabs>
                <w:tab w:val="left" w:pos="993"/>
              </w:tabs>
              <w:suppressAutoHyphens/>
              <w:contextualSpacing/>
              <w:jc w:val="center"/>
              <w:rPr>
                <w:sz w:val="24"/>
                <w:szCs w:val="24"/>
              </w:rPr>
            </w:pPr>
            <w:r w:rsidRPr="00D72A7D">
              <w:rPr>
                <w:sz w:val="24"/>
                <w:szCs w:val="24"/>
              </w:rPr>
              <w:t>Permanganato indeksas (PI)</w:t>
            </w:r>
          </w:p>
          <w:p w14:paraId="63AC8C65" w14:textId="77777777" w:rsidR="00D72A7D" w:rsidRPr="00D72A7D" w:rsidRDefault="00D72A7D" w:rsidP="00D72A7D">
            <w:pPr>
              <w:tabs>
                <w:tab w:val="left" w:pos="993"/>
              </w:tabs>
              <w:suppressAutoHyphens/>
              <w:contextualSpacing/>
              <w:jc w:val="center"/>
              <w:rPr>
                <w:sz w:val="24"/>
                <w:szCs w:val="24"/>
              </w:rPr>
            </w:pPr>
            <w:r w:rsidRPr="00D72A7D">
              <w:rPr>
                <w:sz w:val="24"/>
                <w:szCs w:val="24"/>
              </w:rPr>
              <w:t>Žarninės lazdelės (</w:t>
            </w:r>
            <w:proofErr w:type="spellStart"/>
            <w:r w:rsidRPr="00D72A7D">
              <w:rPr>
                <w:i/>
                <w:iCs/>
                <w:sz w:val="24"/>
                <w:szCs w:val="24"/>
              </w:rPr>
              <w:t>Escherichia</w:t>
            </w:r>
            <w:proofErr w:type="spellEnd"/>
            <w:r w:rsidRPr="00D72A7D">
              <w:rPr>
                <w:i/>
                <w:iCs/>
                <w:sz w:val="24"/>
                <w:szCs w:val="24"/>
              </w:rPr>
              <w:t xml:space="preserve"> coli</w:t>
            </w:r>
            <w:r w:rsidRPr="00D72A7D">
              <w:rPr>
                <w:sz w:val="24"/>
                <w:szCs w:val="24"/>
              </w:rPr>
              <w:t>)</w:t>
            </w:r>
          </w:p>
          <w:p w14:paraId="6D92E7D0" w14:textId="77777777" w:rsidR="00D72A7D" w:rsidRPr="00D72A7D" w:rsidRDefault="00D72A7D" w:rsidP="00D72A7D">
            <w:pPr>
              <w:tabs>
                <w:tab w:val="left" w:pos="993"/>
              </w:tabs>
              <w:suppressAutoHyphens/>
              <w:contextualSpacing/>
              <w:jc w:val="center"/>
              <w:rPr>
                <w:sz w:val="24"/>
                <w:szCs w:val="24"/>
              </w:rPr>
            </w:pPr>
            <w:r w:rsidRPr="00D72A7D">
              <w:rPr>
                <w:sz w:val="24"/>
                <w:szCs w:val="24"/>
              </w:rPr>
              <w:t xml:space="preserve">Žarniniai </w:t>
            </w:r>
            <w:proofErr w:type="spellStart"/>
            <w:r w:rsidRPr="00D72A7D">
              <w:rPr>
                <w:sz w:val="24"/>
                <w:szCs w:val="24"/>
              </w:rPr>
              <w:t>enterokokai</w:t>
            </w:r>
            <w:proofErr w:type="spellEnd"/>
          </w:p>
        </w:tc>
        <w:tc>
          <w:tcPr>
            <w:tcW w:w="1830" w:type="dxa"/>
            <w:vMerge w:val="restart"/>
          </w:tcPr>
          <w:p w14:paraId="37D410B2" w14:textId="77777777" w:rsidR="00D72A7D" w:rsidRPr="00D72A7D" w:rsidRDefault="00D72A7D" w:rsidP="00D72A7D">
            <w:pPr>
              <w:tabs>
                <w:tab w:val="left" w:pos="993"/>
              </w:tabs>
              <w:suppressAutoHyphens/>
              <w:contextualSpacing/>
              <w:jc w:val="center"/>
              <w:rPr>
                <w:sz w:val="24"/>
                <w:szCs w:val="24"/>
              </w:rPr>
            </w:pPr>
            <w:bookmarkStart w:id="2" w:name="_Hlk201050218"/>
            <w:r w:rsidRPr="00D72A7D">
              <w:rPr>
                <w:sz w:val="24"/>
                <w:szCs w:val="24"/>
              </w:rPr>
              <w:t>kovo-gegužės mėn.</w:t>
            </w:r>
          </w:p>
          <w:p w14:paraId="5D915980" w14:textId="77777777" w:rsidR="00D72A7D" w:rsidRPr="00D72A7D" w:rsidRDefault="00D72A7D" w:rsidP="00D72A7D">
            <w:pPr>
              <w:tabs>
                <w:tab w:val="left" w:pos="993"/>
              </w:tabs>
              <w:suppressAutoHyphens/>
              <w:contextualSpacing/>
              <w:jc w:val="center"/>
              <w:rPr>
                <w:sz w:val="24"/>
                <w:szCs w:val="24"/>
              </w:rPr>
            </w:pPr>
            <w:r w:rsidRPr="00D72A7D">
              <w:rPr>
                <w:sz w:val="24"/>
                <w:szCs w:val="24"/>
              </w:rPr>
              <w:t>rugsėjo-lapkričio mėn.</w:t>
            </w:r>
            <w:bookmarkEnd w:id="2"/>
          </w:p>
        </w:tc>
        <w:tc>
          <w:tcPr>
            <w:tcW w:w="1327" w:type="dxa"/>
            <w:vMerge w:val="restart"/>
          </w:tcPr>
          <w:p w14:paraId="2C235F5D" w14:textId="77777777" w:rsidR="00D72A7D" w:rsidRPr="00D72A7D" w:rsidRDefault="00D72A7D" w:rsidP="00D72A7D">
            <w:pPr>
              <w:tabs>
                <w:tab w:val="left" w:pos="993"/>
              </w:tabs>
              <w:suppressAutoHyphens/>
              <w:contextualSpacing/>
              <w:jc w:val="center"/>
              <w:rPr>
                <w:sz w:val="24"/>
                <w:szCs w:val="24"/>
              </w:rPr>
            </w:pPr>
            <w:r w:rsidRPr="00D72A7D">
              <w:rPr>
                <w:sz w:val="24"/>
                <w:szCs w:val="24"/>
              </w:rPr>
              <w:t xml:space="preserve">Ne daugiau nei 50 k. </w:t>
            </w:r>
          </w:p>
        </w:tc>
        <w:tc>
          <w:tcPr>
            <w:tcW w:w="696" w:type="dxa"/>
            <w:vMerge w:val="restart"/>
          </w:tcPr>
          <w:p w14:paraId="640E40C9" w14:textId="77777777" w:rsidR="00D72A7D" w:rsidRPr="00D72A7D" w:rsidRDefault="00D72A7D" w:rsidP="00D72A7D">
            <w:pPr>
              <w:tabs>
                <w:tab w:val="left" w:pos="993"/>
              </w:tabs>
              <w:suppressAutoHyphens/>
              <w:contextualSpacing/>
              <w:jc w:val="center"/>
              <w:rPr>
                <w:sz w:val="24"/>
                <w:szCs w:val="24"/>
              </w:rPr>
            </w:pPr>
            <w:r w:rsidRPr="00D72A7D">
              <w:rPr>
                <w:sz w:val="24"/>
                <w:szCs w:val="24"/>
              </w:rPr>
              <w:t>10k.</w:t>
            </w:r>
          </w:p>
        </w:tc>
        <w:tc>
          <w:tcPr>
            <w:tcW w:w="696" w:type="dxa"/>
            <w:vMerge w:val="restart"/>
          </w:tcPr>
          <w:p w14:paraId="11D83C3C" w14:textId="77777777" w:rsidR="00D72A7D" w:rsidRPr="00D72A7D" w:rsidRDefault="00D72A7D" w:rsidP="00D72A7D">
            <w:pPr>
              <w:tabs>
                <w:tab w:val="left" w:pos="993"/>
              </w:tabs>
              <w:suppressAutoHyphens/>
              <w:contextualSpacing/>
              <w:jc w:val="center"/>
              <w:rPr>
                <w:sz w:val="24"/>
                <w:szCs w:val="24"/>
              </w:rPr>
            </w:pPr>
            <w:r w:rsidRPr="00D72A7D">
              <w:rPr>
                <w:sz w:val="24"/>
                <w:szCs w:val="24"/>
              </w:rPr>
              <w:t>20k.</w:t>
            </w:r>
          </w:p>
        </w:tc>
        <w:tc>
          <w:tcPr>
            <w:tcW w:w="696" w:type="dxa"/>
            <w:vMerge w:val="restart"/>
          </w:tcPr>
          <w:p w14:paraId="2F8B7BC6" w14:textId="77777777" w:rsidR="00D72A7D" w:rsidRPr="00D72A7D" w:rsidRDefault="00D72A7D" w:rsidP="00D72A7D">
            <w:pPr>
              <w:tabs>
                <w:tab w:val="left" w:pos="993"/>
              </w:tabs>
              <w:suppressAutoHyphens/>
              <w:contextualSpacing/>
              <w:jc w:val="center"/>
              <w:rPr>
                <w:sz w:val="24"/>
                <w:szCs w:val="24"/>
              </w:rPr>
            </w:pPr>
            <w:r w:rsidRPr="00D72A7D">
              <w:rPr>
                <w:sz w:val="24"/>
                <w:szCs w:val="24"/>
              </w:rPr>
              <w:t>20k.</w:t>
            </w:r>
          </w:p>
        </w:tc>
      </w:tr>
      <w:tr w:rsidR="00D72A7D" w:rsidRPr="00D72A7D" w14:paraId="56F21659" w14:textId="77777777" w:rsidTr="00D72A7D">
        <w:tc>
          <w:tcPr>
            <w:tcW w:w="2811" w:type="dxa"/>
            <w:vAlign w:val="center"/>
          </w:tcPr>
          <w:p w14:paraId="5D905105" w14:textId="77777777" w:rsidR="00D72A7D" w:rsidRPr="00D72A7D" w:rsidRDefault="00D72A7D" w:rsidP="00D72A7D">
            <w:pPr>
              <w:tabs>
                <w:tab w:val="left" w:pos="993"/>
              </w:tabs>
              <w:suppressAutoHyphens/>
              <w:contextualSpacing/>
              <w:rPr>
                <w:sz w:val="24"/>
                <w:szCs w:val="24"/>
              </w:rPr>
            </w:pPr>
            <w:r w:rsidRPr="00D72A7D">
              <w:rPr>
                <w:sz w:val="24"/>
                <w:szCs w:val="24"/>
              </w:rPr>
              <w:t>Žalioji g. 6,  Baltoji Vokė</w:t>
            </w:r>
          </w:p>
        </w:tc>
        <w:tc>
          <w:tcPr>
            <w:tcW w:w="1719" w:type="dxa"/>
            <w:vMerge/>
          </w:tcPr>
          <w:p w14:paraId="048119EA"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67CBEB77"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15151CAF"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5FA20FE"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7D08BB0"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68BA97E" w14:textId="77777777" w:rsidR="00D72A7D" w:rsidRPr="00D72A7D" w:rsidRDefault="00D72A7D" w:rsidP="00D72A7D">
            <w:pPr>
              <w:tabs>
                <w:tab w:val="left" w:pos="993"/>
              </w:tabs>
              <w:suppressAutoHyphens/>
              <w:contextualSpacing/>
              <w:jc w:val="center"/>
              <w:rPr>
                <w:sz w:val="24"/>
                <w:szCs w:val="24"/>
              </w:rPr>
            </w:pPr>
          </w:p>
        </w:tc>
      </w:tr>
      <w:tr w:rsidR="00D72A7D" w:rsidRPr="00D72A7D" w14:paraId="37B3C4DC" w14:textId="77777777" w:rsidTr="00D72A7D">
        <w:tc>
          <w:tcPr>
            <w:tcW w:w="2811" w:type="dxa"/>
          </w:tcPr>
          <w:p w14:paraId="20502A6D" w14:textId="77777777" w:rsidR="00D72A7D" w:rsidRPr="00D72A7D" w:rsidRDefault="00D72A7D" w:rsidP="00D72A7D">
            <w:pPr>
              <w:tabs>
                <w:tab w:val="left" w:pos="993"/>
              </w:tabs>
              <w:suppressAutoHyphens/>
              <w:contextualSpacing/>
              <w:rPr>
                <w:sz w:val="24"/>
                <w:szCs w:val="24"/>
              </w:rPr>
            </w:pPr>
            <w:r w:rsidRPr="00D72A7D">
              <w:rPr>
                <w:sz w:val="24"/>
                <w:szCs w:val="24"/>
              </w:rPr>
              <w:t xml:space="preserve">Pasienio g. 20, </w:t>
            </w:r>
            <w:proofErr w:type="spellStart"/>
            <w:r w:rsidRPr="00D72A7D">
              <w:rPr>
                <w:sz w:val="24"/>
                <w:szCs w:val="24"/>
              </w:rPr>
              <w:t>Sakalinės</w:t>
            </w:r>
            <w:proofErr w:type="spellEnd"/>
            <w:r w:rsidRPr="00D72A7D">
              <w:rPr>
                <w:sz w:val="24"/>
                <w:szCs w:val="24"/>
              </w:rPr>
              <w:t xml:space="preserve"> kaimas</w:t>
            </w:r>
          </w:p>
        </w:tc>
        <w:tc>
          <w:tcPr>
            <w:tcW w:w="1719" w:type="dxa"/>
            <w:vMerge/>
          </w:tcPr>
          <w:p w14:paraId="3E78661F"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2BF29AE4"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152CD853"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473A42B"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36DF26C"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BF9C2D1" w14:textId="77777777" w:rsidR="00D72A7D" w:rsidRPr="00D72A7D" w:rsidRDefault="00D72A7D" w:rsidP="00D72A7D">
            <w:pPr>
              <w:tabs>
                <w:tab w:val="left" w:pos="993"/>
              </w:tabs>
              <w:suppressAutoHyphens/>
              <w:contextualSpacing/>
              <w:jc w:val="center"/>
              <w:rPr>
                <w:sz w:val="24"/>
                <w:szCs w:val="24"/>
              </w:rPr>
            </w:pPr>
          </w:p>
        </w:tc>
      </w:tr>
      <w:tr w:rsidR="00D72A7D" w:rsidRPr="00D72A7D" w14:paraId="02601C02" w14:textId="77777777" w:rsidTr="00D72A7D">
        <w:tc>
          <w:tcPr>
            <w:tcW w:w="2811" w:type="dxa"/>
          </w:tcPr>
          <w:p w14:paraId="06940C5C" w14:textId="77777777" w:rsidR="00D72A7D" w:rsidRPr="00D72A7D" w:rsidRDefault="00D72A7D" w:rsidP="00D72A7D">
            <w:pPr>
              <w:tabs>
                <w:tab w:val="left" w:pos="993"/>
              </w:tabs>
              <w:suppressAutoHyphens/>
              <w:contextualSpacing/>
              <w:rPr>
                <w:sz w:val="24"/>
                <w:szCs w:val="24"/>
              </w:rPr>
            </w:pPr>
            <w:r w:rsidRPr="00D72A7D">
              <w:rPr>
                <w:sz w:val="24"/>
                <w:szCs w:val="24"/>
              </w:rPr>
              <w:t xml:space="preserve">Pasienio g. 32, </w:t>
            </w:r>
            <w:proofErr w:type="spellStart"/>
            <w:r w:rsidRPr="00D72A7D">
              <w:rPr>
                <w:sz w:val="24"/>
                <w:szCs w:val="24"/>
              </w:rPr>
              <w:t>Sakalinės</w:t>
            </w:r>
            <w:proofErr w:type="spellEnd"/>
            <w:r w:rsidRPr="00D72A7D">
              <w:rPr>
                <w:sz w:val="24"/>
                <w:szCs w:val="24"/>
              </w:rPr>
              <w:t xml:space="preserve"> kaimas</w:t>
            </w:r>
          </w:p>
        </w:tc>
        <w:tc>
          <w:tcPr>
            <w:tcW w:w="1719" w:type="dxa"/>
            <w:vMerge/>
          </w:tcPr>
          <w:p w14:paraId="78AAD021"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4BFF705B"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21864254"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36AB603D"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797E830"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9B36615" w14:textId="77777777" w:rsidR="00D72A7D" w:rsidRPr="00D72A7D" w:rsidRDefault="00D72A7D" w:rsidP="00D72A7D">
            <w:pPr>
              <w:tabs>
                <w:tab w:val="left" w:pos="993"/>
              </w:tabs>
              <w:suppressAutoHyphens/>
              <w:contextualSpacing/>
              <w:jc w:val="center"/>
              <w:rPr>
                <w:sz w:val="24"/>
                <w:szCs w:val="24"/>
              </w:rPr>
            </w:pPr>
          </w:p>
        </w:tc>
      </w:tr>
      <w:tr w:rsidR="00D72A7D" w:rsidRPr="00D72A7D" w14:paraId="7790DDF2" w14:textId="77777777" w:rsidTr="00D72A7D">
        <w:tc>
          <w:tcPr>
            <w:tcW w:w="2811" w:type="dxa"/>
          </w:tcPr>
          <w:p w14:paraId="3C1F2D2D" w14:textId="77777777" w:rsidR="00D72A7D" w:rsidRPr="00D72A7D" w:rsidRDefault="00D72A7D" w:rsidP="00D72A7D">
            <w:pPr>
              <w:tabs>
                <w:tab w:val="left" w:pos="993"/>
              </w:tabs>
              <w:suppressAutoHyphens/>
              <w:contextualSpacing/>
              <w:rPr>
                <w:sz w:val="24"/>
                <w:szCs w:val="24"/>
              </w:rPr>
            </w:pPr>
            <w:r w:rsidRPr="00D72A7D">
              <w:rPr>
                <w:sz w:val="24"/>
                <w:szCs w:val="24"/>
              </w:rPr>
              <w:t>Ūtos kaimas 11</w:t>
            </w:r>
          </w:p>
        </w:tc>
        <w:tc>
          <w:tcPr>
            <w:tcW w:w="1719" w:type="dxa"/>
            <w:vMerge/>
          </w:tcPr>
          <w:p w14:paraId="1314F6E3"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26501D49"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6A80438C"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55AC3D61"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BBBA52E"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8BCA19C" w14:textId="77777777" w:rsidR="00D72A7D" w:rsidRPr="00D72A7D" w:rsidRDefault="00D72A7D" w:rsidP="00D72A7D">
            <w:pPr>
              <w:tabs>
                <w:tab w:val="left" w:pos="993"/>
              </w:tabs>
              <w:suppressAutoHyphens/>
              <w:contextualSpacing/>
              <w:jc w:val="center"/>
              <w:rPr>
                <w:sz w:val="24"/>
                <w:szCs w:val="24"/>
              </w:rPr>
            </w:pPr>
          </w:p>
        </w:tc>
      </w:tr>
      <w:tr w:rsidR="00D72A7D" w:rsidRPr="00D72A7D" w14:paraId="2636E23E" w14:textId="77777777" w:rsidTr="00D72A7D">
        <w:tc>
          <w:tcPr>
            <w:tcW w:w="2811" w:type="dxa"/>
          </w:tcPr>
          <w:p w14:paraId="0B9F8BEC" w14:textId="77777777" w:rsidR="00D72A7D" w:rsidRPr="00D72A7D" w:rsidRDefault="00D72A7D" w:rsidP="00D72A7D">
            <w:pPr>
              <w:tabs>
                <w:tab w:val="left" w:pos="993"/>
              </w:tabs>
              <w:suppressAutoHyphens/>
              <w:contextualSpacing/>
              <w:rPr>
                <w:sz w:val="24"/>
                <w:szCs w:val="24"/>
              </w:rPr>
            </w:pPr>
            <w:r w:rsidRPr="00D72A7D">
              <w:rPr>
                <w:sz w:val="24"/>
                <w:szCs w:val="24"/>
              </w:rPr>
              <w:t>Ūtos kaimas 3</w:t>
            </w:r>
          </w:p>
        </w:tc>
        <w:tc>
          <w:tcPr>
            <w:tcW w:w="1719" w:type="dxa"/>
            <w:vMerge/>
          </w:tcPr>
          <w:p w14:paraId="02C78BB8"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3C47C10D"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27C5D3D6"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B5C877D"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57C6C2F1"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F316D31" w14:textId="77777777" w:rsidR="00D72A7D" w:rsidRPr="00D72A7D" w:rsidRDefault="00D72A7D" w:rsidP="00D72A7D">
            <w:pPr>
              <w:tabs>
                <w:tab w:val="left" w:pos="993"/>
              </w:tabs>
              <w:suppressAutoHyphens/>
              <w:contextualSpacing/>
              <w:jc w:val="center"/>
              <w:rPr>
                <w:sz w:val="24"/>
                <w:szCs w:val="24"/>
              </w:rPr>
            </w:pPr>
          </w:p>
        </w:tc>
      </w:tr>
      <w:tr w:rsidR="00D72A7D" w:rsidRPr="00D72A7D" w14:paraId="10F27179" w14:textId="77777777" w:rsidTr="00D72A7D">
        <w:tc>
          <w:tcPr>
            <w:tcW w:w="2811" w:type="dxa"/>
          </w:tcPr>
          <w:p w14:paraId="22923EAA" w14:textId="77777777" w:rsidR="00D72A7D" w:rsidRPr="00D72A7D" w:rsidRDefault="00D72A7D" w:rsidP="00D72A7D">
            <w:pPr>
              <w:tabs>
                <w:tab w:val="left" w:pos="993"/>
              </w:tabs>
              <w:suppressAutoHyphens/>
              <w:contextualSpacing/>
              <w:rPr>
                <w:sz w:val="24"/>
                <w:szCs w:val="24"/>
              </w:rPr>
            </w:pPr>
            <w:proofErr w:type="spellStart"/>
            <w:r w:rsidRPr="00D72A7D">
              <w:rPr>
                <w:sz w:val="24"/>
                <w:szCs w:val="24"/>
              </w:rPr>
              <w:t>Kurmelionių</w:t>
            </w:r>
            <w:proofErr w:type="spellEnd"/>
            <w:r w:rsidRPr="00D72A7D">
              <w:rPr>
                <w:sz w:val="24"/>
                <w:szCs w:val="24"/>
              </w:rPr>
              <w:t xml:space="preserve"> g. 29, </w:t>
            </w:r>
            <w:proofErr w:type="spellStart"/>
            <w:r w:rsidRPr="00D72A7D">
              <w:rPr>
                <w:sz w:val="24"/>
                <w:szCs w:val="24"/>
              </w:rPr>
              <w:t>Kurmelionių</w:t>
            </w:r>
            <w:proofErr w:type="spellEnd"/>
            <w:r w:rsidRPr="00D72A7D">
              <w:rPr>
                <w:sz w:val="24"/>
                <w:szCs w:val="24"/>
              </w:rPr>
              <w:t xml:space="preserve"> kaimas</w:t>
            </w:r>
          </w:p>
        </w:tc>
        <w:tc>
          <w:tcPr>
            <w:tcW w:w="1719" w:type="dxa"/>
            <w:vMerge/>
          </w:tcPr>
          <w:p w14:paraId="5F7AC6F0"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042ED476"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13995C3B"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7D740119"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65B08BA"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4D6AB018" w14:textId="77777777" w:rsidR="00D72A7D" w:rsidRPr="00D72A7D" w:rsidRDefault="00D72A7D" w:rsidP="00D72A7D">
            <w:pPr>
              <w:tabs>
                <w:tab w:val="left" w:pos="993"/>
              </w:tabs>
              <w:suppressAutoHyphens/>
              <w:contextualSpacing/>
              <w:jc w:val="center"/>
              <w:rPr>
                <w:sz w:val="24"/>
                <w:szCs w:val="24"/>
              </w:rPr>
            </w:pPr>
          </w:p>
        </w:tc>
      </w:tr>
      <w:tr w:rsidR="00D72A7D" w:rsidRPr="00D72A7D" w14:paraId="1E910A21" w14:textId="77777777" w:rsidTr="00D72A7D">
        <w:tc>
          <w:tcPr>
            <w:tcW w:w="2811" w:type="dxa"/>
          </w:tcPr>
          <w:p w14:paraId="3FF7DFE3" w14:textId="77777777" w:rsidR="00D72A7D" w:rsidRPr="00D72A7D" w:rsidRDefault="00D72A7D" w:rsidP="00D72A7D">
            <w:pPr>
              <w:tabs>
                <w:tab w:val="left" w:pos="993"/>
              </w:tabs>
              <w:suppressAutoHyphens/>
              <w:contextualSpacing/>
              <w:rPr>
                <w:sz w:val="24"/>
                <w:szCs w:val="24"/>
              </w:rPr>
            </w:pPr>
            <w:proofErr w:type="spellStart"/>
            <w:r w:rsidRPr="00D72A7D">
              <w:rPr>
                <w:sz w:val="24"/>
                <w:szCs w:val="24"/>
              </w:rPr>
              <w:t>Kurmelionių</w:t>
            </w:r>
            <w:proofErr w:type="spellEnd"/>
            <w:r w:rsidRPr="00D72A7D">
              <w:rPr>
                <w:sz w:val="24"/>
                <w:szCs w:val="24"/>
              </w:rPr>
              <w:t xml:space="preserve"> g. 49, </w:t>
            </w:r>
            <w:proofErr w:type="spellStart"/>
            <w:r w:rsidRPr="00D72A7D">
              <w:rPr>
                <w:sz w:val="24"/>
                <w:szCs w:val="24"/>
              </w:rPr>
              <w:t>Kurmelionių</w:t>
            </w:r>
            <w:proofErr w:type="spellEnd"/>
            <w:r w:rsidRPr="00D72A7D">
              <w:rPr>
                <w:sz w:val="24"/>
                <w:szCs w:val="24"/>
              </w:rPr>
              <w:t xml:space="preserve"> kaimas</w:t>
            </w:r>
          </w:p>
        </w:tc>
        <w:tc>
          <w:tcPr>
            <w:tcW w:w="1719" w:type="dxa"/>
            <w:vMerge/>
          </w:tcPr>
          <w:p w14:paraId="2354D265"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081838BF"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2445B8E0"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1D239C6"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8FF36F3"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1EBCFD6" w14:textId="77777777" w:rsidR="00D72A7D" w:rsidRPr="00D72A7D" w:rsidRDefault="00D72A7D" w:rsidP="00D72A7D">
            <w:pPr>
              <w:tabs>
                <w:tab w:val="left" w:pos="993"/>
              </w:tabs>
              <w:suppressAutoHyphens/>
              <w:contextualSpacing/>
              <w:jc w:val="center"/>
              <w:rPr>
                <w:sz w:val="24"/>
                <w:szCs w:val="24"/>
              </w:rPr>
            </w:pPr>
          </w:p>
        </w:tc>
      </w:tr>
      <w:tr w:rsidR="00D72A7D" w:rsidRPr="00D72A7D" w14:paraId="3FB7B3C5" w14:textId="77777777" w:rsidTr="00D72A7D">
        <w:tc>
          <w:tcPr>
            <w:tcW w:w="2811" w:type="dxa"/>
          </w:tcPr>
          <w:p w14:paraId="3D3E4F1B" w14:textId="77777777" w:rsidR="00D72A7D" w:rsidRPr="00D72A7D" w:rsidRDefault="00D72A7D" w:rsidP="00D72A7D">
            <w:pPr>
              <w:tabs>
                <w:tab w:val="left" w:pos="993"/>
              </w:tabs>
              <w:suppressAutoHyphens/>
              <w:contextualSpacing/>
              <w:rPr>
                <w:sz w:val="24"/>
                <w:szCs w:val="24"/>
              </w:rPr>
            </w:pPr>
            <w:r w:rsidRPr="00D72A7D">
              <w:rPr>
                <w:sz w:val="24"/>
                <w:szCs w:val="24"/>
              </w:rPr>
              <w:t xml:space="preserve">Parko g. 2, </w:t>
            </w:r>
            <w:proofErr w:type="spellStart"/>
            <w:r w:rsidRPr="00D72A7D">
              <w:rPr>
                <w:sz w:val="24"/>
                <w:szCs w:val="24"/>
              </w:rPr>
              <w:t>Jašiūnų</w:t>
            </w:r>
            <w:proofErr w:type="spellEnd"/>
            <w:r w:rsidRPr="00D72A7D">
              <w:rPr>
                <w:sz w:val="24"/>
                <w:szCs w:val="24"/>
              </w:rPr>
              <w:t xml:space="preserve"> mstl. </w:t>
            </w:r>
          </w:p>
        </w:tc>
        <w:tc>
          <w:tcPr>
            <w:tcW w:w="1719" w:type="dxa"/>
            <w:vMerge/>
          </w:tcPr>
          <w:p w14:paraId="1A6DA4B7"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7B54B527"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7BB68D9A"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56357A4"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6F25EA71"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C9FF647" w14:textId="77777777" w:rsidR="00D72A7D" w:rsidRPr="00D72A7D" w:rsidRDefault="00D72A7D" w:rsidP="00D72A7D">
            <w:pPr>
              <w:tabs>
                <w:tab w:val="left" w:pos="993"/>
              </w:tabs>
              <w:suppressAutoHyphens/>
              <w:contextualSpacing/>
              <w:jc w:val="center"/>
              <w:rPr>
                <w:sz w:val="24"/>
                <w:szCs w:val="24"/>
              </w:rPr>
            </w:pPr>
          </w:p>
        </w:tc>
      </w:tr>
      <w:tr w:rsidR="00D72A7D" w:rsidRPr="00D72A7D" w14:paraId="7D8D5910" w14:textId="77777777" w:rsidTr="00D72A7D">
        <w:tc>
          <w:tcPr>
            <w:tcW w:w="2811" w:type="dxa"/>
          </w:tcPr>
          <w:p w14:paraId="05786C54" w14:textId="77777777" w:rsidR="00D72A7D" w:rsidRPr="00D72A7D" w:rsidRDefault="00D72A7D" w:rsidP="00D72A7D">
            <w:pPr>
              <w:tabs>
                <w:tab w:val="left" w:pos="993"/>
              </w:tabs>
              <w:suppressAutoHyphens/>
              <w:contextualSpacing/>
              <w:rPr>
                <w:sz w:val="24"/>
                <w:szCs w:val="24"/>
              </w:rPr>
            </w:pPr>
            <w:r w:rsidRPr="00D72A7D">
              <w:rPr>
                <w:sz w:val="24"/>
                <w:szCs w:val="24"/>
              </w:rPr>
              <w:t xml:space="preserve">J. </w:t>
            </w:r>
            <w:proofErr w:type="spellStart"/>
            <w:r w:rsidRPr="00D72A7D">
              <w:rPr>
                <w:sz w:val="24"/>
                <w:szCs w:val="24"/>
              </w:rPr>
              <w:t>Sniadeckio</w:t>
            </w:r>
            <w:proofErr w:type="spellEnd"/>
            <w:r w:rsidRPr="00D72A7D">
              <w:rPr>
                <w:sz w:val="24"/>
                <w:szCs w:val="24"/>
              </w:rPr>
              <w:t xml:space="preserve"> g. 13, </w:t>
            </w:r>
            <w:proofErr w:type="spellStart"/>
            <w:r w:rsidRPr="00D72A7D">
              <w:rPr>
                <w:sz w:val="24"/>
                <w:szCs w:val="24"/>
              </w:rPr>
              <w:t>Jašiūnų</w:t>
            </w:r>
            <w:proofErr w:type="spellEnd"/>
            <w:r w:rsidRPr="00D72A7D">
              <w:rPr>
                <w:sz w:val="24"/>
                <w:szCs w:val="24"/>
              </w:rPr>
              <w:t xml:space="preserve"> mstl. </w:t>
            </w:r>
          </w:p>
        </w:tc>
        <w:tc>
          <w:tcPr>
            <w:tcW w:w="1719" w:type="dxa"/>
            <w:vMerge/>
          </w:tcPr>
          <w:p w14:paraId="77E08B3C"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7C4A69E4"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4DCD3BA6"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557637D4"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3348A8C4"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057F3E80" w14:textId="77777777" w:rsidR="00D72A7D" w:rsidRPr="00D72A7D" w:rsidRDefault="00D72A7D" w:rsidP="00D72A7D">
            <w:pPr>
              <w:tabs>
                <w:tab w:val="left" w:pos="993"/>
              </w:tabs>
              <w:suppressAutoHyphens/>
              <w:contextualSpacing/>
              <w:jc w:val="center"/>
              <w:rPr>
                <w:sz w:val="24"/>
                <w:szCs w:val="24"/>
              </w:rPr>
            </w:pPr>
          </w:p>
        </w:tc>
      </w:tr>
      <w:tr w:rsidR="00D72A7D" w:rsidRPr="00D72A7D" w14:paraId="2A7C370A" w14:textId="77777777" w:rsidTr="00D72A7D">
        <w:tc>
          <w:tcPr>
            <w:tcW w:w="2811" w:type="dxa"/>
          </w:tcPr>
          <w:p w14:paraId="329EAD3B"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21 lentelėje</w:t>
            </w:r>
          </w:p>
        </w:tc>
        <w:tc>
          <w:tcPr>
            <w:tcW w:w="1719" w:type="dxa"/>
          </w:tcPr>
          <w:p w14:paraId="0C687200"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40-43 psl.</w:t>
            </w:r>
          </w:p>
        </w:tc>
        <w:tc>
          <w:tcPr>
            <w:tcW w:w="1830" w:type="dxa"/>
          </w:tcPr>
          <w:p w14:paraId="1DEA1B01"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22 lentelėje</w:t>
            </w:r>
          </w:p>
        </w:tc>
        <w:tc>
          <w:tcPr>
            <w:tcW w:w="1327" w:type="dxa"/>
          </w:tcPr>
          <w:p w14:paraId="391AC743" w14:textId="77777777" w:rsidR="00D72A7D" w:rsidRPr="00D72A7D" w:rsidRDefault="00D72A7D" w:rsidP="00D72A7D">
            <w:pPr>
              <w:tabs>
                <w:tab w:val="left" w:pos="993"/>
              </w:tabs>
              <w:suppressAutoHyphens/>
              <w:contextualSpacing/>
              <w:rPr>
                <w:b/>
                <w:bCs/>
              </w:rPr>
            </w:pPr>
          </w:p>
        </w:tc>
        <w:tc>
          <w:tcPr>
            <w:tcW w:w="696" w:type="dxa"/>
          </w:tcPr>
          <w:p w14:paraId="535B1D45" w14:textId="77777777" w:rsidR="00D72A7D" w:rsidRPr="00D72A7D" w:rsidRDefault="00D72A7D" w:rsidP="00D72A7D">
            <w:pPr>
              <w:tabs>
                <w:tab w:val="left" w:pos="993"/>
              </w:tabs>
              <w:suppressAutoHyphens/>
              <w:contextualSpacing/>
              <w:rPr>
                <w:b/>
                <w:bCs/>
              </w:rPr>
            </w:pPr>
          </w:p>
        </w:tc>
        <w:tc>
          <w:tcPr>
            <w:tcW w:w="696" w:type="dxa"/>
          </w:tcPr>
          <w:p w14:paraId="697EC84A" w14:textId="77777777" w:rsidR="00D72A7D" w:rsidRPr="00D72A7D" w:rsidRDefault="00D72A7D" w:rsidP="00D72A7D">
            <w:pPr>
              <w:tabs>
                <w:tab w:val="left" w:pos="993"/>
              </w:tabs>
              <w:suppressAutoHyphens/>
              <w:contextualSpacing/>
              <w:rPr>
                <w:b/>
                <w:bCs/>
              </w:rPr>
            </w:pPr>
          </w:p>
        </w:tc>
        <w:tc>
          <w:tcPr>
            <w:tcW w:w="696" w:type="dxa"/>
          </w:tcPr>
          <w:p w14:paraId="3FD6B21F" w14:textId="77777777" w:rsidR="00D72A7D" w:rsidRPr="00D72A7D" w:rsidRDefault="00D72A7D" w:rsidP="00D72A7D">
            <w:pPr>
              <w:tabs>
                <w:tab w:val="left" w:pos="993"/>
              </w:tabs>
              <w:suppressAutoHyphens/>
              <w:contextualSpacing/>
              <w:rPr>
                <w:b/>
                <w:bCs/>
              </w:rPr>
            </w:pPr>
          </w:p>
        </w:tc>
      </w:tr>
      <w:tr w:rsidR="00D72A7D" w:rsidRPr="00D72A7D" w14:paraId="355AAD6E" w14:textId="77777777" w:rsidTr="00D72A7D">
        <w:tc>
          <w:tcPr>
            <w:tcW w:w="9775" w:type="dxa"/>
            <w:gridSpan w:val="7"/>
          </w:tcPr>
          <w:p w14:paraId="7A58440F" w14:textId="77777777" w:rsidR="00D72A7D" w:rsidRPr="00D72A7D" w:rsidRDefault="00D72A7D" w:rsidP="00D72A7D">
            <w:pPr>
              <w:tabs>
                <w:tab w:val="left" w:pos="993"/>
              </w:tabs>
              <w:suppressAutoHyphens/>
              <w:contextualSpacing/>
              <w:jc w:val="center"/>
              <w:rPr>
                <w:b/>
                <w:bCs/>
                <w:sz w:val="24"/>
                <w:szCs w:val="24"/>
              </w:rPr>
            </w:pPr>
          </w:p>
          <w:p w14:paraId="2737F3F4" w14:textId="77777777" w:rsidR="00D72A7D" w:rsidRPr="00D72A7D" w:rsidRDefault="00D72A7D" w:rsidP="00D72A7D">
            <w:pPr>
              <w:tabs>
                <w:tab w:val="left" w:pos="993"/>
              </w:tabs>
              <w:suppressAutoHyphens/>
              <w:contextualSpacing/>
              <w:jc w:val="center"/>
              <w:rPr>
                <w:b/>
                <w:bCs/>
                <w:sz w:val="24"/>
                <w:szCs w:val="24"/>
              </w:rPr>
            </w:pPr>
            <w:r w:rsidRPr="00D72A7D">
              <w:rPr>
                <w:b/>
                <w:bCs/>
                <w:sz w:val="24"/>
                <w:szCs w:val="24"/>
              </w:rPr>
              <w:t>Aplinkos triukšmo monitoringas</w:t>
            </w:r>
          </w:p>
          <w:p w14:paraId="28969EE6" w14:textId="77777777" w:rsidR="00D72A7D" w:rsidRPr="00D72A7D" w:rsidRDefault="00D72A7D" w:rsidP="00D72A7D">
            <w:pPr>
              <w:tabs>
                <w:tab w:val="left" w:pos="993"/>
              </w:tabs>
              <w:suppressAutoHyphens/>
              <w:contextualSpacing/>
              <w:jc w:val="center"/>
              <w:rPr>
                <w:b/>
                <w:bCs/>
                <w:sz w:val="24"/>
                <w:szCs w:val="24"/>
              </w:rPr>
            </w:pPr>
          </w:p>
        </w:tc>
      </w:tr>
      <w:tr w:rsidR="00D72A7D" w:rsidRPr="00D72A7D" w14:paraId="6247903D" w14:textId="77777777" w:rsidTr="00D72A7D">
        <w:tc>
          <w:tcPr>
            <w:tcW w:w="2811" w:type="dxa"/>
          </w:tcPr>
          <w:p w14:paraId="72BC2090" w14:textId="77777777" w:rsidR="00D72A7D" w:rsidRPr="00D72A7D" w:rsidRDefault="00D72A7D" w:rsidP="00D72A7D">
            <w:pPr>
              <w:tabs>
                <w:tab w:val="left" w:pos="993"/>
              </w:tabs>
              <w:suppressAutoHyphens/>
              <w:contextualSpacing/>
              <w:rPr>
                <w:sz w:val="24"/>
                <w:szCs w:val="24"/>
              </w:rPr>
            </w:pPr>
            <w:r w:rsidRPr="00D72A7D">
              <w:rPr>
                <w:sz w:val="24"/>
                <w:szCs w:val="24"/>
              </w:rPr>
              <w:t>Ties Plento g.-Nepriklausomybės g.-Saulėtoji g. sankryža</w:t>
            </w:r>
          </w:p>
        </w:tc>
        <w:tc>
          <w:tcPr>
            <w:tcW w:w="1719" w:type="dxa"/>
            <w:vMerge w:val="restart"/>
          </w:tcPr>
          <w:p w14:paraId="363A18B8" w14:textId="77777777" w:rsidR="00D72A7D" w:rsidRPr="00D72A7D" w:rsidRDefault="00D72A7D" w:rsidP="00D72A7D">
            <w:pPr>
              <w:tabs>
                <w:tab w:val="left" w:pos="993"/>
              </w:tabs>
              <w:suppressAutoHyphens/>
              <w:contextualSpacing/>
              <w:jc w:val="center"/>
              <w:rPr>
                <w:sz w:val="24"/>
                <w:szCs w:val="24"/>
              </w:rPr>
            </w:pPr>
            <w:r w:rsidRPr="00D72A7D">
              <w:rPr>
                <w:sz w:val="24"/>
                <w:szCs w:val="24"/>
              </w:rPr>
              <w:t>Ekvivalentinis ir maksimalus triukšmo lygis</w:t>
            </w:r>
          </w:p>
        </w:tc>
        <w:tc>
          <w:tcPr>
            <w:tcW w:w="1830" w:type="dxa"/>
            <w:vMerge w:val="restart"/>
          </w:tcPr>
          <w:p w14:paraId="6DD30D9A" w14:textId="77777777" w:rsidR="00D72A7D" w:rsidRPr="00D72A7D" w:rsidRDefault="00D72A7D" w:rsidP="00D72A7D">
            <w:pPr>
              <w:tabs>
                <w:tab w:val="left" w:pos="993"/>
              </w:tabs>
              <w:suppressAutoHyphens/>
              <w:contextualSpacing/>
              <w:jc w:val="center"/>
              <w:rPr>
                <w:sz w:val="24"/>
                <w:szCs w:val="24"/>
              </w:rPr>
            </w:pPr>
            <w:r w:rsidRPr="00D72A7D">
              <w:rPr>
                <w:sz w:val="24"/>
                <w:szCs w:val="24"/>
              </w:rPr>
              <w:t>06 – 18 val., 18 – 22 val. ir  22 – 06 val. pavasario, vasaros ir rudens sezonais</w:t>
            </w:r>
          </w:p>
        </w:tc>
        <w:tc>
          <w:tcPr>
            <w:tcW w:w="1327" w:type="dxa"/>
            <w:vMerge w:val="restart"/>
          </w:tcPr>
          <w:p w14:paraId="54BDC714" w14:textId="77777777" w:rsidR="00D72A7D" w:rsidRPr="00D72A7D" w:rsidRDefault="00D72A7D" w:rsidP="00D72A7D">
            <w:pPr>
              <w:tabs>
                <w:tab w:val="left" w:pos="993"/>
              </w:tabs>
              <w:suppressAutoHyphens/>
              <w:contextualSpacing/>
              <w:jc w:val="center"/>
              <w:rPr>
                <w:sz w:val="24"/>
                <w:szCs w:val="24"/>
              </w:rPr>
            </w:pPr>
            <w:r w:rsidRPr="00D72A7D">
              <w:rPr>
                <w:sz w:val="24"/>
                <w:szCs w:val="24"/>
              </w:rPr>
              <w:t>Ne daugiau nei 16 k.</w:t>
            </w:r>
          </w:p>
        </w:tc>
        <w:tc>
          <w:tcPr>
            <w:tcW w:w="696" w:type="dxa"/>
            <w:vMerge w:val="restart"/>
          </w:tcPr>
          <w:p w14:paraId="0F8B271B" w14:textId="77777777" w:rsidR="00D72A7D" w:rsidRPr="00D72A7D" w:rsidRDefault="00D72A7D" w:rsidP="00D72A7D">
            <w:pPr>
              <w:tabs>
                <w:tab w:val="left" w:pos="993"/>
              </w:tabs>
              <w:suppressAutoHyphens/>
              <w:contextualSpacing/>
              <w:jc w:val="center"/>
              <w:rPr>
                <w:sz w:val="24"/>
                <w:szCs w:val="24"/>
              </w:rPr>
            </w:pPr>
            <w:r w:rsidRPr="00D72A7D">
              <w:rPr>
                <w:sz w:val="24"/>
                <w:szCs w:val="24"/>
              </w:rPr>
              <w:t>4k.</w:t>
            </w:r>
          </w:p>
        </w:tc>
        <w:tc>
          <w:tcPr>
            <w:tcW w:w="696" w:type="dxa"/>
            <w:vMerge w:val="restart"/>
          </w:tcPr>
          <w:p w14:paraId="6867EC4E" w14:textId="77777777" w:rsidR="00D72A7D" w:rsidRPr="00D72A7D" w:rsidRDefault="00D72A7D" w:rsidP="00D72A7D">
            <w:pPr>
              <w:tabs>
                <w:tab w:val="left" w:pos="993"/>
              </w:tabs>
              <w:suppressAutoHyphens/>
              <w:contextualSpacing/>
              <w:jc w:val="center"/>
              <w:rPr>
                <w:sz w:val="24"/>
                <w:szCs w:val="24"/>
              </w:rPr>
            </w:pPr>
            <w:r w:rsidRPr="00D72A7D">
              <w:rPr>
                <w:sz w:val="24"/>
                <w:szCs w:val="24"/>
              </w:rPr>
              <w:t>6k.</w:t>
            </w:r>
          </w:p>
        </w:tc>
        <w:tc>
          <w:tcPr>
            <w:tcW w:w="696" w:type="dxa"/>
            <w:vMerge w:val="restart"/>
          </w:tcPr>
          <w:p w14:paraId="75E160B2" w14:textId="77777777" w:rsidR="00D72A7D" w:rsidRPr="00D72A7D" w:rsidRDefault="00D72A7D" w:rsidP="00D72A7D">
            <w:pPr>
              <w:tabs>
                <w:tab w:val="left" w:pos="993"/>
              </w:tabs>
              <w:suppressAutoHyphens/>
              <w:contextualSpacing/>
              <w:jc w:val="center"/>
              <w:rPr>
                <w:sz w:val="24"/>
                <w:szCs w:val="24"/>
              </w:rPr>
            </w:pPr>
            <w:r w:rsidRPr="00D72A7D">
              <w:rPr>
                <w:sz w:val="24"/>
                <w:szCs w:val="24"/>
              </w:rPr>
              <w:t>6k.</w:t>
            </w:r>
          </w:p>
        </w:tc>
      </w:tr>
      <w:tr w:rsidR="00D72A7D" w:rsidRPr="00D72A7D" w14:paraId="503496C2" w14:textId="77777777" w:rsidTr="00D72A7D">
        <w:tc>
          <w:tcPr>
            <w:tcW w:w="2811" w:type="dxa"/>
          </w:tcPr>
          <w:p w14:paraId="6E754C80" w14:textId="77777777" w:rsidR="00D72A7D" w:rsidRPr="00D72A7D" w:rsidRDefault="00D72A7D" w:rsidP="00D72A7D">
            <w:pPr>
              <w:tabs>
                <w:tab w:val="left" w:pos="993"/>
              </w:tabs>
              <w:suppressAutoHyphens/>
              <w:contextualSpacing/>
              <w:rPr>
                <w:sz w:val="24"/>
                <w:szCs w:val="24"/>
              </w:rPr>
            </w:pPr>
            <w:r w:rsidRPr="00D72A7D">
              <w:rPr>
                <w:sz w:val="24"/>
                <w:szCs w:val="24"/>
              </w:rPr>
              <w:t>Ties Vilniaus g.-Mokyklos g. sankryža</w:t>
            </w:r>
          </w:p>
        </w:tc>
        <w:tc>
          <w:tcPr>
            <w:tcW w:w="1719" w:type="dxa"/>
            <w:vMerge/>
          </w:tcPr>
          <w:p w14:paraId="2504AA43" w14:textId="77777777" w:rsidR="00D72A7D" w:rsidRPr="00D72A7D" w:rsidRDefault="00D72A7D" w:rsidP="00D72A7D">
            <w:pPr>
              <w:tabs>
                <w:tab w:val="left" w:pos="993"/>
              </w:tabs>
              <w:suppressAutoHyphens/>
              <w:contextualSpacing/>
              <w:jc w:val="center"/>
              <w:rPr>
                <w:sz w:val="24"/>
                <w:szCs w:val="24"/>
              </w:rPr>
            </w:pPr>
          </w:p>
        </w:tc>
        <w:tc>
          <w:tcPr>
            <w:tcW w:w="1830" w:type="dxa"/>
            <w:vMerge/>
          </w:tcPr>
          <w:p w14:paraId="3F048536" w14:textId="77777777" w:rsidR="00D72A7D" w:rsidRPr="00D72A7D" w:rsidRDefault="00D72A7D" w:rsidP="00D72A7D">
            <w:pPr>
              <w:tabs>
                <w:tab w:val="left" w:pos="993"/>
              </w:tabs>
              <w:suppressAutoHyphens/>
              <w:contextualSpacing/>
              <w:jc w:val="center"/>
              <w:rPr>
                <w:sz w:val="24"/>
                <w:szCs w:val="24"/>
              </w:rPr>
            </w:pPr>
          </w:p>
        </w:tc>
        <w:tc>
          <w:tcPr>
            <w:tcW w:w="1327" w:type="dxa"/>
            <w:vMerge/>
          </w:tcPr>
          <w:p w14:paraId="2B773D4A"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1876FD1A"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27D89148" w14:textId="77777777" w:rsidR="00D72A7D" w:rsidRPr="00D72A7D" w:rsidRDefault="00D72A7D" w:rsidP="00D72A7D">
            <w:pPr>
              <w:tabs>
                <w:tab w:val="left" w:pos="993"/>
              </w:tabs>
              <w:suppressAutoHyphens/>
              <w:contextualSpacing/>
              <w:jc w:val="center"/>
              <w:rPr>
                <w:sz w:val="24"/>
                <w:szCs w:val="24"/>
              </w:rPr>
            </w:pPr>
          </w:p>
        </w:tc>
        <w:tc>
          <w:tcPr>
            <w:tcW w:w="696" w:type="dxa"/>
            <w:vMerge/>
          </w:tcPr>
          <w:p w14:paraId="3A4A51E5" w14:textId="77777777" w:rsidR="00D72A7D" w:rsidRPr="00D72A7D" w:rsidRDefault="00D72A7D" w:rsidP="00D72A7D">
            <w:pPr>
              <w:tabs>
                <w:tab w:val="left" w:pos="993"/>
              </w:tabs>
              <w:suppressAutoHyphens/>
              <w:contextualSpacing/>
              <w:jc w:val="center"/>
              <w:rPr>
                <w:sz w:val="24"/>
                <w:szCs w:val="24"/>
              </w:rPr>
            </w:pPr>
          </w:p>
        </w:tc>
      </w:tr>
      <w:tr w:rsidR="00D72A7D" w:rsidRPr="00D72A7D" w14:paraId="7A9A7F5F" w14:textId="77777777" w:rsidTr="00D72A7D">
        <w:tc>
          <w:tcPr>
            <w:tcW w:w="2811" w:type="dxa"/>
          </w:tcPr>
          <w:p w14:paraId="0C885EC8" w14:textId="77777777" w:rsidR="00D72A7D" w:rsidRPr="00D72A7D" w:rsidRDefault="00D72A7D" w:rsidP="00D72A7D">
            <w:pPr>
              <w:tabs>
                <w:tab w:val="left" w:pos="993"/>
              </w:tabs>
              <w:suppressAutoHyphens/>
              <w:contextualSpacing/>
              <w:rPr>
                <w:sz w:val="24"/>
                <w:szCs w:val="24"/>
              </w:rPr>
            </w:pPr>
            <w:r w:rsidRPr="00D72A7D">
              <w:rPr>
                <w:b/>
                <w:bCs/>
              </w:rPr>
              <w:lastRenderedPageBreak/>
              <w:t>*išsamesnė informacija Programos 32 lentelėje</w:t>
            </w:r>
          </w:p>
        </w:tc>
        <w:tc>
          <w:tcPr>
            <w:tcW w:w="1719" w:type="dxa"/>
          </w:tcPr>
          <w:p w14:paraId="66A8CB03"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31 lentelėje</w:t>
            </w:r>
          </w:p>
        </w:tc>
        <w:tc>
          <w:tcPr>
            <w:tcW w:w="1830" w:type="dxa"/>
          </w:tcPr>
          <w:p w14:paraId="7481204E" w14:textId="77777777" w:rsidR="00D72A7D" w:rsidRPr="00D72A7D" w:rsidRDefault="00D72A7D" w:rsidP="00D72A7D">
            <w:pPr>
              <w:tabs>
                <w:tab w:val="left" w:pos="993"/>
              </w:tabs>
              <w:suppressAutoHyphens/>
              <w:contextualSpacing/>
              <w:rPr>
                <w:sz w:val="24"/>
                <w:szCs w:val="24"/>
              </w:rPr>
            </w:pPr>
            <w:r w:rsidRPr="00D72A7D">
              <w:rPr>
                <w:b/>
                <w:bCs/>
              </w:rPr>
              <w:t>*išsamesnė informacija Programos 69-70 psl.</w:t>
            </w:r>
          </w:p>
        </w:tc>
        <w:tc>
          <w:tcPr>
            <w:tcW w:w="1327" w:type="dxa"/>
          </w:tcPr>
          <w:p w14:paraId="18C157F5" w14:textId="77777777" w:rsidR="00D72A7D" w:rsidRPr="00D72A7D" w:rsidRDefault="00D72A7D" w:rsidP="00D72A7D">
            <w:pPr>
              <w:tabs>
                <w:tab w:val="left" w:pos="993"/>
              </w:tabs>
              <w:suppressAutoHyphens/>
              <w:contextualSpacing/>
              <w:rPr>
                <w:b/>
                <w:bCs/>
              </w:rPr>
            </w:pPr>
          </w:p>
        </w:tc>
        <w:tc>
          <w:tcPr>
            <w:tcW w:w="696" w:type="dxa"/>
          </w:tcPr>
          <w:p w14:paraId="4C582327" w14:textId="77777777" w:rsidR="00D72A7D" w:rsidRPr="00D72A7D" w:rsidRDefault="00D72A7D" w:rsidP="00D72A7D">
            <w:pPr>
              <w:tabs>
                <w:tab w:val="left" w:pos="993"/>
              </w:tabs>
              <w:suppressAutoHyphens/>
              <w:contextualSpacing/>
              <w:rPr>
                <w:b/>
                <w:bCs/>
              </w:rPr>
            </w:pPr>
          </w:p>
        </w:tc>
        <w:tc>
          <w:tcPr>
            <w:tcW w:w="696" w:type="dxa"/>
          </w:tcPr>
          <w:p w14:paraId="6C495E24" w14:textId="77777777" w:rsidR="00D72A7D" w:rsidRPr="00D72A7D" w:rsidRDefault="00D72A7D" w:rsidP="00D72A7D">
            <w:pPr>
              <w:tabs>
                <w:tab w:val="left" w:pos="993"/>
              </w:tabs>
              <w:suppressAutoHyphens/>
              <w:contextualSpacing/>
              <w:rPr>
                <w:b/>
                <w:bCs/>
              </w:rPr>
            </w:pPr>
          </w:p>
        </w:tc>
        <w:tc>
          <w:tcPr>
            <w:tcW w:w="696" w:type="dxa"/>
          </w:tcPr>
          <w:p w14:paraId="55AD7626" w14:textId="77777777" w:rsidR="00D72A7D" w:rsidRPr="00D72A7D" w:rsidRDefault="00D72A7D" w:rsidP="00D72A7D">
            <w:pPr>
              <w:tabs>
                <w:tab w:val="left" w:pos="993"/>
              </w:tabs>
              <w:suppressAutoHyphens/>
              <w:contextualSpacing/>
              <w:rPr>
                <w:b/>
                <w:bCs/>
              </w:rPr>
            </w:pPr>
          </w:p>
        </w:tc>
      </w:tr>
    </w:tbl>
    <w:p w14:paraId="21251DF8" w14:textId="77777777" w:rsidR="00290A08" w:rsidRPr="00D72A7D" w:rsidRDefault="00290A08" w:rsidP="00D72A7D">
      <w:pPr>
        <w:tabs>
          <w:tab w:val="left" w:pos="993"/>
        </w:tabs>
        <w:suppressAutoHyphens/>
        <w:spacing w:after="0" w:line="240" w:lineRule="auto"/>
        <w:ind w:left="567"/>
        <w:contextualSpacing/>
        <w:rPr>
          <w:rFonts w:ascii="Times New Roman" w:hAnsi="Times New Roman"/>
          <w:sz w:val="24"/>
          <w:szCs w:val="24"/>
        </w:rPr>
      </w:pPr>
    </w:p>
    <w:p w14:paraId="1786C00C" w14:textId="77777777" w:rsidR="003E735E" w:rsidRPr="00D72A7D" w:rsidRDefault="003E735E" w:rsidP="00E14918">
      <w:pPr>
        <w:tabs>
          <w:tab w:val="left" w:pos="993"/>
        </w:tabs>
        <w:suppressAutoHyphens/>
        <w:spacing w:after="0" w:line="240" w:lineRule="auto"/>
        <w:ind w:left="567"/>
        <w:contextualSpacing/>
        <w:jc w:val="center"/>
        <w:rPr>
          <w:rFonts w:ascii="Times New Roman" w:hAnsi="Times New Roman"/>
          <w:sz w:val="24"/>
          <w:szCs w:val="24"/>
        </w:rPr>
      </w:pPr>
    </w:p>
    <w:p w14:paraId="4F30345D" w14:textId="77777777" w:rsidR="003E735E" w:rsidRPr="00D72A7D" w:rsidRDefault="003E735E" w:rsidP="00E14918">
      <w:pPr>
        <w:tabs>
          <w:tab w:val="left" w:pos="993"/>
        </w:tabs>
        <w:suppressAutoHyphens/>
        <w:spacing w:after="0" w:line="240" w:lineRule="auto"/>
        <w:ind w:left="567"/>
        <w:contextualSpacing/>
        <w:jc w:val="center"/>
        <w:rPr>
          <w:rFonts w:ascii="Times New Roman" w:hAnsi="Times New Roman"/>
          <w:sz w:val="24"/>
          <w:szCs w:val="24"/>
        </w:rPr>
      </w:pPr>
    </w:p>
    <w:p w14:paraId="4F91B0FB" w14:textId="77777777" w:rsidR="003E735E" w:rsidRPr="00D72A7D" w:rsidRDefault="003E735E" w:rsidP="00E14918">
      <w:pPr>
        <w:tabs>
          <w:tab w:val="left" w:pos="993"/>
        </w:tabs>
        <w:suppressAutoHyphens/>
        <w:spacing w:after="0" w:line="240" w:lineRule="auto"/>
        <w:ind w:left="567"/>
        <w:contextualSpacing/>
        <w:jc w:val="center"/>
        <w:rPr>
          <w:rFonts w:ascii="Times New Roman" w:hAnsi="Times New Roman"/>
          <w:sz w:val="24"/>
          <w:szCs w:val="24"/>
        </w:rPr>
      </w:pPr>
    </w:p>
    <w:p w14:paraId="7E397FA5" w14:textId="77777777" w:rsidR="003E735E" w:rsidRPr="00D72A7D" w:rsidRDefault="003E735E" w:rsidP="00E14918">
      <w:pPr>
        <w:tabs>
          <w:tab w:val="left" w:pos="993"/>
        </w:tabs>
        <w:suppressAutoHyphens/>
        <w:spacing w:after="0" w:line="240" w:lineRule="auto"/>
        <w:ind w:left="567"/>
        <w:contextualSpacing/>
        <w:jc w:val="center"/>
        <w:rPr>
          <w:rFonts w:ascii="Times New Roman" w:hAnsi="Times New Roman"/>
          <w:sz w:val="24"/>
          <w:szCs w:val="24"/>
        </w:rPr>
      </w:pPr>
    </w:p>
    <w:p w14:paraId="04042F33" w14:textId="77777777" w:rsidR="003E735E" w:rsidRPr="00D72A7D" w:rsidRDefault="003E735E" w:rsidP="00E14918">
      <w:pPr>
        <w:tabs>
          <w:tab w:val="left" w:pos="993"/>
        </w:tabs>
        <w:suppressAutoHyphens/>
        <w:spacing w:after="0" w:line="240" w:lineRule="auto"/>
        <w:ind w:left="567"/>
        <w:contextualSpacing/>
        <w:jc w:val="center"/>
        <w:rPr>
          <w:rFonts w:ascii="Times New Roman" w:hAnsi="Times New Roman"/>
          <w:sz w:val="24"/>
          <w:szCs w:val="24"/>
        </w:rPr>
      </w:pPr>
    </w:p>
    <w:p w14:paraId="5F269E49" w14:textId="77777777" w:rsidR="003E735E" w:rsidRPr="00D72A7D" w:rsidRDefault="003E735E" w:rsidP="00E14918">
      <w:pPr>
        <w:tabs>
          <w:tab w:val="left" w:pos="993"/>
        </w:tabs>
        <w:suppressAutoHyphens/>
        <w:spacing w:after="0" w:line="240" w:lineRule="auto"/>
        <w:ind w:left="567"/>
        <w:contextualSpacing/>
        <w:jc w:val="center"/>
        <w:rPr>
          <w:rFonts w:ascii="Times New Roman" w:hAnsi="Times New Roman"/>
          <w:sz w:val="24"/>
          <w:szCs w:val="24"/>
        </w:rPr>
      </w:pPr>
    </w:p>
    <w:sectPr w:rsidR="003E735E" w:rsidRPr="00D72A7D" w:rsidSect="004F376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84ECA"/>
    <w:multiLevelType w:val="hybridMultilevel"/>
    <w:tmpl w:val="A4886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C364C6"/>
    <w:multiLevelType w:val="multilevel"/>
    <w:tmpl w:val="BB3A3A44"/>
    <w:lvl w:ilvl="0">
      <w:start w:val="1"/>
      <w:numFmt w:val="decimal"/>
      <w:lvlText w:val="%1."/>
      <w:lvlJc w:val="left"/>
      <w:pPr>
        <w:ind w:left="1341" w:hanging="915"/>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16cid:durableId="598296789">
    <w:abstractNumId w:val="1"/>
  </w:num>
  <w:num w:numId="2" w16cid:durableId="1749573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040"/>
    <w:rsid w:val="0000644A"/>
    <w:rsid w:val="00031B8F"/>
    <w:rsid w:val="0004296B"/>
    <w:rsid w:val="00056AC8"/>
    <w:rsid w:val="000631E4"/>
    <w:rsid w:val="00067625"/>
    <w:rsid w:val="000734CD"/>
    <w:rsid w:val="00077C2B"/>
    <w:rsid w:val="00081FBA"/>
    <w:rsid w:val="00090747"/>
    <w:rsid w:val="0009781F"/>
    <w:rsid w:val="000A0481"/>
    <w:rsid w:val="000C655A"/>
    <w:rsid w:val="000C67EA"/>
    <w:rsid w:val="000D4FD2"/>
    <w:rsid w:val="000D5DF4"/>
    <w:rsid w:val="000E6065"/>
    <w:rsid w:val="001065D8"/>
    <w:rsid w:val="00106E13"/>
    <w:rsid w:val="00144FD9"/>
    <w:rsid w:val="00145006"/>
    <w:rsid w:val="00147745"/>
    <w:rsid w:val="00154B99"/>
    <w:rsid w:val="00160040"/>
    <w:rsid w:val="001662EB"/>
    <w:rsid w:val="00195715"/>
    <w:rsid w:val="001C67CF"/>
    <w:rsid w:val="001C6A08"/>
    <w:rsid w:val="001E7B94"/>
    <w:rsid w:val="00204B9F"/>
    <w:rsid w:val="002112C5"/>
    <w:rsid w:val="002273BD"/>
    <w:rsid w:val="00235610"/>
    <w:rsid w:val="00257C31"/>
    <w:rsid w:val="00261D94"/>
    <w:rsid w:val="00266361"/>
    <w:rsid w:val="002740E7"/>
    <w:rsid w:val="00284075"/>
    <w:rsid w:val="00290A08"/>
    <w:rsid w:val="00297E42"/>
    <w:rsid w:val="002A148F"/>
    <w:rsid w:val="002B3B70"/>
    <w:rsid w:val="002C140C"/>
    <w:rsid w:val="002F28AF"/>
    <w:rsid w:val="002F473A"/>
    <w:rsid w:val="002F740C"/>
    <w:rsid w:val="002F7F3C"/>
    <w:rsid w:val="00302C3D"/>
    <w:rsid w:val="003046FA"/>
    <w:rsid w:val="00321951"/>
    <w:rsid w:val="003225B5"/>
    <w:rsid w:val="00326D66"/>
    <w:rsid w:val="00332B9B"/>
    <w:rsid w:val="003365D9"/>
    <w:rsid w:val="00337A0B"/>
    <w:rsid w:val="00354552"/>
    <w:rsid w:val="003706D2"/>
    <w:rsid w:val="00376DEE"/>
    <w:rsid w:val="0039548F"/>
    <w:rsid w:val="003B0124"/>
    <w:rsid w:val="003B2F33"/>
    <w:rsid w:val="003E735E"/>
    <w:rsid w:val="003F4C81"/>
    <w:rsid w:val="00402CC9"/>
    <w:rsid w:val="004055C1"/>
    <w:rsid w:val="0041080B"/>
    <w:rsid w:val="00435827"/>
    <w:rsid w:val="00445B05"/>
    <w:rsid w:val="00483A9A"/>
    <w:rsid w:val="004907B8"/>
    <w:rsid w:val="004930DC"/>
    <w:rsid w:val="004A2085"/>
    <w:rsid w:val="004A5E76"/>
    <w:rsid w:val="004B23DA"/>
    <w:rsid w:val="004B5ED4"/>
    <w:rsid w:val="004B762B"/>
    <w:rsid w:val="004C08B5"/>
    <w:rsid w:val="004C7887"/>
    <w:rsid w:val="004C7AC6"/>
    <w:rsid w:val="004F0B93"/>
    <w:rsid w:val="004F36FD"/>
    <w:rsid w:val="004F3765"/>
    <w:rsid w:val="004F48FB"/>
    <w:rsid w:val="00505760"/>
    <w:rsid w:val="00511C61"/>
    <w:rsid w:val="00515973"/>
    <w:rsid w:val="00520EE9"/>
    <w:rsid w:val="00522767"/>
    <w:rsid w:val="005243B9"/>
    <w:rsid w:val="005362B5"/>
    <w:rsid w:val="005401A1"/>
    <w:rsid w:val="00540403"/>
    <w:rsid w:val="0054659C"/>
    <w:rsid w:val="0056242E"/>
    <w:rsid w:val="00573BCF"/>
    <w:rsid w:val="0058586E"/>
    <w:rsid w:val="005860B6"/>
    <w:rsid w:val="005909F3"/>
    <w:rsid w:val="005960CB"/>
    <w:rsid w:val="005A4635"/>
    <w:rsid w:val="005D4806"/>
    <w:rsid w:val="005D7146"/>
    <w:rsid w:val="005E2172"/>
    <w:rsid w:val="005E29DD"/>
    <w:rsid w:val="005E4DF7"/>
    <w:rsid w:val="00605EB6"/>
    <w:rsid w:val="006135AA"/>
    <w:rsid w:val="006215D5"/>
    <w:rsid w:val="00626903"/>
    <w:rsid w:val="00630882"/>
    <w:rsid w:val="00632575"/>
    <w:rsid w:val="0063480E"/>
    <w:rsid w:val="00634F6E"/>
    <w:rsid w:val="006368F8"/>
    <w:rsid w:val="0064163A"/>
    <w:rsid w:val="00657B48"/>
    <w:rsid w:val="006644DE"/>
    <w:rsid w:val="00664821"/>
    <w:rsid w:val="006803B7"/>
    <w:rsid w:val="006874EC"/>
    <w:rsid w:val="006A5341"/>
    <w:rsid w:val="006D0F03"/>
    <w:rsid w:val="006D2C9F"/>
    <w:rsid w:val="006D4672"/>
    <w:rsid w:val="006D5029"/>
    <w:rsid w:val="006E264E"/>
    <w:rsid w:val="006E5519"/>
    <w:rsid w:val="006F0BE8"/>
    <w:rsid w:val="006F0DE0"/>
    <w:rsid w:val="00701133"/>
    <w:rsid w:val="007128A6"/>
    <w:rsid w:val="00716EC7"/>
    <w:rsid w:val="007209AC"/>
    <w:rsid w:val="00741EA1"/>
    <w:rsid w:val="0075252D"/>
    <w:rsid w:val="00752BC9"/>
    <w:rsid w:val="00773101"/>
    <w:rsid w:val="00790D3D"/>
    <w:rsid w:val="00794BD6"/>
    <w:rsid w:val="007B0F00"/>
    <w:rsid w:val="007B2564"/>
    <w:rsid w:val="007B2CBA"/>
    <w:rsid w:val="007B7F9A"/>
    <w:rsid w:val="007C0347"/>
    <w:rsid w:val="007D5864"/>
    <w:rsid w:val="007E1C2D"/>
    <w:rsid w:val="007E2020"/>
    <w:rsid w:val="00804103"/>
    <w:rsid w:val="00815C0E"/>
    <w:rsid w:val="00820E95"/>
    <w:rsid w:val="0084401F"/>
    <w:rsid w:val="008864DF"/>
    <w:rsid w:val="008B5085"/>
    <w:rsid w:val="008C1A9D"/>
    <w:rsid w:val="008C721E"/>
    <w:rsid w:val="008E5686"/>
    <w:rsid w:val="008F00F1"/>
    <w:rsid w:val="00910214"/>
    <w:rsid w:val="00910F85"/>
    <w:rsid w:val="00912D51"/>
    <w:rsid w:val="009212E7"/>
    <w:rsid w:val="00936D63"/>
    <w:rsid w:val="00947CCF"/>
    <w:rsid w:val="00960C3E"/>
    <w:rsid w:val="0096343C"/>
    <w:rsid w:val="00964CA3"/>
    <w:rsid w:val="009A6D73"/>
    <w:rsid w:val="009F52CB"/>
    <w:rsid w:val="00A05AAD"/>
    <w:rsid w:val="00A10F0A"/>
    <w:rsid w:val="00A27805"/>
    <w:rsid w:val="00A40ABA"/>
    <w:rsid w:val="00A64E96"/>
    <w:rsid w:val="00A70D95"/>
    <w:rsid w:val="00A72934"/>
    <w:rsid w:val="00A870AF"/>
    <w:rsid w:val="00A929FB"/>
    <w:rsid w:val="00AB18BB"/>
    <w:rsid w:val="00AB78B7"/>
    <w:rsid w:val="00AC2FB6"/>
    <w:rsid w:val="00AC3DCE"/>
    <w:rsid w:val="00AD2513"/>
    <w:rsid w:val="00AF287B"/>
    <w:rsid w:val="00B16D39"/>
    <w:rsid w:val="00B21C5C"/>
    <w:rsid w:val="00B22AFB"/>
    <w:rsid w:val="00B373AA"/>
    <w:rsid w:val="00B43F3C"/>
    <w:rsid w:val="00B52379"/>
    <w:rsid w:val="00B53107"/>
    <w:rsid w:val="00B6334B"/>
    <w:rsid w:val="00B70CBA"/>
    <w:rsid w:val="00B73878"/>
    <w:rsid w:val="00B80810"/>
    <w:rsid w:val="00B93DB3"/>
    <w:rsid w:val="00BA0632"/>
    <w:rsid w:val="00BB38FC"/>
    <w:rsid w:val="00BB7B5F"/>
    <w:rsid w:val="00BC4DC9"/>
    <w:rsid w:val="00C129B6"/>
    <w:rsid w:val="00C42081"/>
    <w:rsid w:val="00C42998"/>
    <w:rsid w:val="00C45CE0"/>
    <w:rsid w:val="00C501B6"/>
    <w:rsid w:val="00C568C8"/>
    <w:rsid w:val="00C96E57"/>
    <w:rsid w:val="00CA4D8E"/>
    <w:rsid w:val="00CD1C16"/>
    <w:rsid w:val="00CD39A2"/>
    <w:rsid w:val="00CE1CEC"/>
    <w:rsid w:val="00CE2042"/>
    <w:rsid w:val="00CE231D"/>
    <w:rsid w:val="00D04431"/>
    <w:rsid w:val="00D508CC"/>
    <w:rsid w:val="00D72A7D"/>
    <w:rsid w:val="00DC52F9"/>
    <w:rsid w:val="00DC6F21"/>
    <w:rsid w:val="00DD0689"/>
    <w:rsid w:val="00DD188B"/>
    <w:rsid w:val="00DD26F6"/>
    <w:rsid w:val="00DE2400"/>
    <w:rsid w:val="00DE3E72"/>
    <w:rsid w:val="00DE4C8F"/>
    <w:rsid w:val="00DF1D06"/>
    <w:rsid w:val="00E02689"/>
    <w:rsid w:val="00E0411F"/>
    <w:rsid w:val="00E05544"/>
    <w:rsid w:val="00E14918"/>
    <w:rsid w:val="00E14B53"/>
    <w:rsid w:val="00E1522F"/>
    <w:rsid w:val="00E15C91"/>
    <w:rsid w:val="00E23123"/>
    <w:rsid w:val="00E46114"/>
    <w:rsid w:val="00E46175"/>
    <w:rsid w:val="00E56650"/>
    <w:rsid w:val="00E67D6C"/>
    <w:rsid w:val="00E867F5"/>
    <w:rsid w:val="00EA225A"/>
    <w:rsid w:val="00EA2AA5"/>
    <w:rsid w:val="00EB1D12"/>
    <w:rsid w:val="00EC6D45"/>
    <w:rsid w:val="00F130E1"/>
    <w:rsid w:val="00F15B88"/>
    <w:rsid w:val="00F304DB"/>
    <w:rsid w:val="00F368C6"/>
    <w:rsid w:val="00F43F12"/>
    <w:rsid w:val="00F619A1"/>
    <w:rsid w:val="00F629AB"/>
    <w:rsid w:val="00F810D6"/>
    <w:rsid w:val="00F8322C"/>
    <w:rsid w:val="00F949EF"/>
    <w:rsid w:val="00FA1BAE"/>
    <w:rsid w:val="00FA21D2"/>
    <w:rsid w:val="00FA54BD"/>
    <w:rsid w:val="00FA75CE"/>
    <w:rsid w:val="00FA78C0"/>
    <w:rsid w:val="00FB2061"/>
    <w:rsid w:val="00FB7D13"/>
    <w:rsid w:val="00FC45FE"/>
    <w:rsid w:val="00FD14A7"/>
    <w:rsid w:val="00FD20D1"/>
    <w:rsid w:val="00FE3287"/>
    <w:rsid w:val="00FE6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1E3C"/>
  <w15:chartTrackingRefBased/>
  <w15:docId w15:val="{0BC76FA1-BF1E-4ADE-96C6-2674556E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D5DF4"/>
    <w:rPr>
      <w:color w:val="0000FF"/>
      <w:u w:val="single"/>
    </w:rPr>
  </w:style>
  <w:style w:type="character" w:styleId="Neapdorotaspaminjimas">
    <w:name w:val="Unresolved Mention"/>
    <w:basedOn w:val="Numatytasispastraiposriftas"/>
    <w:uiPriority w:val="99"/>
    <w:semiHidden/>
    <w:unhideWhenUsed/>
    <w:rsid w:val="008B5085"/>
    <w:rPr>
      <w:color w:val="605E5C"/>
      <w:shd w:val="clear" w:color="auto" w:fill="E1DFDD"/>
    </w:rPr>
  </w:style>
  <w:style w:type="paragraph" w:styleId="Sraopastraipa">
    <w:name w:val="List Paragraph"/>
    <w:basedOn w:val="prastasis"/>
    <w:uiPriority w:val="34"/>
    <w:qFormat/>
    <w:rsid w:val="000C67EA"/>
    <w:pPr>
      <w:ind w:left="720"/>
      <w:contextualSpacing/>
    </w:pPr>
  </w:style>
  <w:style w:type="paragraph" w:styleId="Komentarotekstas">
    <w:name w:val="annotation text"/>
    <w:basedOn w:val="prastasis"/>
    <w:link w:val="KomentarotekstasDiagrama"/>
    <w:uiPriority w:val="99"/>
    <w:unhideWhenUsed/>
    <w:rsid w:val="00EB1D12"/>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EB1D12"/>
    <w:rPr>
      <w:rFonts w:ascii="Times New Roman" w:eastAsia="Calibri" w:hAnsi="Times New Roman" w:cs="Times New Roman"/>
      <w:sz w:val="20"/>
      <w:szCs w:val="20"/>
    </w:rPr>
  </w:style>
  <w:style w:type="character" w:styleId="Komentaronuoroda">
    <w:name w:val="annotation reference"/>
    <w:uiPriority w:val="99"/>
    <w:unhideWhenUsed/>
    <w:rsid w:val="00EB1D12"/>
    <w:rPr>
      <w:sz w:val="16"/>
      <w:szCs w:val="16"/>
    </w:rPr>
  </w:style>
  <w:style w:type="table" w:styleId="Lentelstinklelis">
    <w:name w:val="Table Grid"/>
    <w:basedOn w:val="prastojilentel"/>
    <w:uiPriority w:val="39"/>
    <w:rsid w:val="00435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72A7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EF8A3-0EEE-4A32-9275-79C1EB2D9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4607</Words>
  <Characters>2626</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Inute Neverovskiene</dc:creator>
  <cp:lastModifiedBy>Ana Voitkun</cp:lastModifiedBy>
  <cp:revision>3</cp:revision>
  <cp:lastPrinted>2025-05-22T12:16:00Z</cp:lastPrinted>
  <dcterms:created xsi:type="dcterms:W3CDTF">2025-06-17T12:13:00Z</dcterms:created>
  <dcterms:modified xsi:type="dcterms:W3CDTF">2025-06-17T12:18:00Z</dcterms:modified>
</cp:coreProperties>
</file>