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4E685" w14:textId="3534495A" w:rsidR="0088547C" w:rsidRDefault="0088547C" w:rsidP="00E1324C">
      <w:pPr>
        <w:rPr>
          <w:rFonts w:ascii="Arial" w:hAnsi="Arial" w:cs="Arial"/>
          <w:b/>
        </w:rPr>
      </w:pPr>
      <w:r w:rsidRPr="00D70D12">
        <w:rPr>
          <w:noProof/>
        </w:rPr>
        <w:drawing>
          <wp:inline distT="0" distB="0" distL="0" distR="0" wp14:anchorId="7DCE8266" wp14:editId="0C39A52E">
            <wp:extent cx="1119394" cy="572494"/>
            <wp:effectExtent l="0" t="0" r="5080" b="0"/>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7"/>
                    <a:stretch>
                      <a:fillRect/>
                    </a:stretch>
                  </pic:blipFill>
                  <pic:spPr>
                    <a:xfrm>
                      <a:off x="0" y="0"/>
                      <a:ext cx="1128513" cy="577158"/>
                    </a:xfrm>
                    <a:prstGeom prst="rect">
                      <a:avLst/>
                    </a:prstGeom>
                  </pic:spPr>
                </pic:pic>
              </a:graphicData>
            </a:graphic>
          </wp:inline>
        </w:drawing>
      </w:r>
    </w:p>
    <w:p w14:paraId="2B13C925" w14:textId="349C4BBC" w:rsidR="005D0F76" w:rsidRPr="001E0B0F" w:rsidRDefault="00D62B65" w:rsidP="0028170D">
      <w:pPr>
        <w:jc w:val="center"/>
        <w:rPr>
          <w:rFonts w:ascii="Arial" w:hAnsi="Arial" w:cs="Arial"/>
          <w:b/>
        </w:rPr>
      </w:pPr>
      <w:r w:rsidRPr="00D62B65">
        <w:rPr>
          <w:rFonts w:ascii="Arial" w:hAnsi="Arial" w:cs="Arial"/>
          <w:b/>
        </w:rPr>
        <w:t>ArcGIS licencijų atnaujinim</w:t>
      </w:r>
      <w:r w:rsidR="004D09DF">
        <w:rPr>
          <w:rFonts w:ascii="Arial" w:hAnsi="Arial" w:cs="Arial"/>
          <w:b/>
        </w:rPr>
        <w:t xml:space="preserve">o </w:t>
      </w:r>
      <w:r w:rsidR="0028170D" w:rsidRPr="001E0B0F">
        <w:rPr>
          <w:rFonts w:ascii="Arial" w:hAnsi="Arial" w:cs="Arial"/>
          <w:b/>
        </w:rPr>
        <w:t>techninė specifikacija</w:t>
      </w:r>
    </w:p>
    <w:p w14:paraId="31185EAB" w14:textId="77777777" w:rsidR="0028170D" w:rsidRPr="001E0B0F" w:rsidRDefault="005D0F76" w:rsidP="005D0F76">
      <w:pPr>
        <w:numPr>
          <w:ilvl w:val="0"/>
          <w:numId w:val="1"/>
        </w:numPr>
        <w:rPr>
          <w:rFonts w:ascii="Arial" w:hAnsi="Arial" w:cs="Arial"/>
        </w:rPr>
      </w:pPr>
      <w:r w:rsidRPr="001E0B0F">
        <w:rPr>
          <w:rFonts w:ascii="Arial" w:hAnsi="Arial" w:cs="Arial"/>
          <w:b/>
        </w:rPr>
        <w:t>Įvadinė informacija</w:t>
      </w:r>
    </w:p>
    <w:p w14:paraId="3DC68578" w14:textId="77777777" w:rsidR="00272B7C" w:rsidRPr="00E1324C" w:rsidRDefault="0028170D" w:rsidP="00E1324C">
      <w:pPr>
        <w:ind w:left="720"/>
        <w:rPr>
          <w:rFonts w:ascii="Arial" w:hAnsi="Arial" w:cs="Arial"/>
          <w:b/>
        </w:rPr>
      </w:pPr>
      <w:r w:rsidRPr="001E0B0F">
        <w:rPr>
          <w:rFonts w:ascii="Arial" w:hAnsi="Arial" w:cs="Arial"/>
        </w:rPr>
        <w:t>Perkančioji organizacija – Valstybė</w:t>
      </w:r>
      <w:r w:rsidR="00D83DE3" w:rsidRPr="001E0B0F">
        <w:rPr>
          <w:rFonts w:ascii="Arial" w:hAnsi="Arial" w:cs="Arial"/>
        </w:rPr>
        <w:t>s</w:t>
      </w:r>
      <w:r w:rsidRPr="001E0B0F">
        <w:rPr>
          <w:rFonts w:ascii="Arial" w:hAnsi="Arial" w:cs="Arial"/>
        </w:rPr>
        <w:t xml:space="preserve"> įmonė Valstybinių miškų urėdija. </w:t>
      </w:r>
    </w:p>
    <w:p w14:paraId="578D0A5A" w14:textId="7F8C2078" w:rsidR="005D0F76" w:rsidRPr="001E0B0F" w:rsidRDefault="005D0F76" w:rsidP="005D0F76">
      <w:pPr>
        <w:numPr>
          <w:ilvl w:val="0"/>
          <w:numId w:val="1"/>
        </w:numPr>
        <w:rPr>
          <w:rFonts w:ascii="Arial" w:hAnsi="Arial" w:cs="Arial"/>
          <w:b/>
        </w:rPr>
      </w:pPr>
      <w:r w:rsidRPr="001E0B0F">
        <w:rPr>
          <w:rFonts w:ascii="Arial" w:hAnsi="Arial" w:cs="Arial"/>
          <w:b/>
        </w:rPr>
        <w:t>Pirkimo techninė specifikacija</w:t>
      </w:r>
    </w:p>
    <w:p w14:paraId="58D2FF94" w14:textId="6B123D44" w:rsidR="005D0F76" w:rsidRPr="001E0B0F" w:rsidRDefault="005D0F76" w:rsidP="005D0F76">
      <w:pPr>
        <w:numPr>
          <w:ilvl w:val="1"/>
          <w:numId w:val="1"/>
        </w:numPr>
        <w:rPr>
          <w:rFonts w:ascii="Arial" w:hAnsi="Arial" w:cs="Arial"/>
          <w:b/>
        </w:rPr>
      </w:pPr>
      <w:r w:rsidRPr="001E0B0F">
        <w:rPr>
          <w:rFonts w:ascii="Arial" w:hAnsi="Arial" w:cs="Arial"/>
          <w:b/>
        </w:rPr>
        <w:t xml:space="preserve">Geografinės informacijos sistemų (GIS) </w:t>
      </w:r>
      <w:r w:rsidR="00A41F86" w:rsidRPr="001E0B0F">
        <w:rPr>
          <w:rFonts w:ascii="Arial" w:hAnsi="Arial" w:cs="Arial"/>
          <w:b/>
        </w:rPr>
        <w:t xml:space="preserve">programinės įrangos atnaujinimo </w:t>
      </w:r>
      <w:r w:rsidR="000F259B" w:rsidRPr="000F259B">
        <w:rPr>
          <w:rFonts w:ascii="Arial" w:hAnsi="Arial" w:cs="Arial"/>
          <w:b/>
        </w:rPr>
        <w:t>ir techninės priežiūros paslaug</w:t>
      </w:r>
      <w:r w:rsidR="000F259B">
        <w:rPr>
          <w:rFonts w:ascii="Arial" w:hAnsi="Arial" w:cs="Arial"/>
          <w:b/>
        </w:rPr>
        <w:t>os</w:t>
      </w:r>
    </w:p>
    <w:tbl>
      <w:tblPr>
        <w:tblStyle w:val="Lentelstinklelis"/>
        <w:tblW w:w="0" w:type="auto"/>
        <w:tblInd w:w="-5" w:type="dxa"/>
        <w:tblLook w:val="04A0" w:firstRow="1" w:lastRow="0" w:firstColumn="1" w:lastColumn="0" w:noHBand="0" w:noVBand="1"/>
      </w:tblPr>
      <w:tblGrid>
        <w:gridCol w:w="656"/>
        <w:gridCol w:w="3109"/>
        <w:gridCol w:w="5528"/>
      </w:tblGrid>
      <w:tr w:rsidR="00025A6C" w:rsidRPr="001E0B0F" w14:paraId="233F6A62" w14:textId="77777777" w:rsidTr="000F32DC">
        <w:tc>
          <w:tcPr>
            <w:tcW w:w="656" w:type="dxa"/>
          </w:tcPr>
          <w:p w14:paraId="31A3A549" w14:textId="77777777" w:rsidR="00025A6C" w:rsidRPr="001E0B0F" w:rsidRDefault="00025A6C" w:rsidP="005D0F76">
            <w:pPr>
              <w:spacing w:after="160" w:line="259" w:lineRule="auto"/>
              <w:rPr>
                <w:rFonts w:ascii="Arial" w:hAnsi="Arial" w:cs="Arial"/>
                <w:b/>
              </w:rPr>
            </w:pPr>
            <w:r w:rsidRPr="001E0B0F">
              <w:rPr>
                <w:rFonts w:ascii="Arial" w:hAnsi="Arial" w:cs="Arial"/>
                <w:b/>
              </w:rPr>
              <w:t>Eil. Nr.</w:t>
            </w:r>
          </w:p>
        </w:tc>
        <w:tc>
          <w:tcPr>
            <w:tcW w:w="3109" w:type="dxa"/>
          </w:tcPr>
          <w:p w14:paraId="6E08B729" w14:textId="77777777" w:rsidR="00025A6C" w:rsidRPr="001E0B0F" w:rsidRDefault="00025A6C" w:rsidP="005D0F76">
            <w:pPr>
              <w:spacing w:after="160" w:line="259" w:lineRule="auto"/>
              <w:rPr>
                <w:rFonts w:ascii="Arial" w:hAnsi="Arial" w:cs="Arial"/>
                <w:b/>
              </w:rPr>
            </w:pPr>
            <w:r w:rsidRPr="001E0B0F">
              <w:rPr>
                <w:rFonts w:ascii="Arial" w:hAnsi="Arial" w:cs="Arial"/>
                <w:b/>
              </w:rPr>
              <w:t>Parametras</w:t>
            </w:r>
          </w:p>
        </w:tc>
        <w:tc>
          <w:tcPr>
            <w:tcW w:w="5528" w:type="dxa"/>
          </w:tcPr>
          <w:p w14:paraId="5F679156" w14:textId="77777777" w:rsidR="00025A6C" w:rsidRPr="001E0B0F" w:rsidRDefault="00025A6C" w:rsidP="005D0F76">
            <w:pPr>
              <w:spacing w:after="160" w:line="259" w:lineRule="auto"/>
              <w:rPr>
                <w:rFonts w:ascii="Arial" w:hAnsi="Arial" w:cs="Arial"/>
                <w:b/>
              </w:rPr>
            </w:pPr>
            <w:r w:rsidRPr="001E0B0F">
              <w:rPr>
                <w:rFonts w:ascii="Arial" w:hAnsi="Arial" w:cs="Arial"/>
                <w:b/>
              </w:rPr>
              <w:t>Techninis reikalavimas</w:t>
            </w:r>
          </w:p>
        </w:tc>
      </w:tr>
      <w:tr w:rsidR="00025A6C" w:rsidRPr="001E0B0F" w14:paraId="09CAF6D3" w14:textId="77777777" w:rsidTr="000F32DC">
        <w:tc>
          <w:tcPr>
            <w:tcW w:w="656" w:type="dxa"/>
          </w:tcPr>
          <w:p w14:paraId="52E0F8C8" w14:textId="77777777" w:rsidR="00025A6C" w:rsidRPr="001E0B0F" w:rsidRDefault="00025A6C" w:rsidP="005D0F76">
            <w:pPr>
              <w:spacing w:after="160" w:line="259" w:lineRule="auto"/>
              <w:rPr>
                <w:rFonts w:ascii="Arial" w:hAnsi="Arial" w:cs="Arial"/>
                <w:b/>
              </w:rPr>
            </w:pPr>
            <w:r w:rsidRPr="001E0B0F">
              <w:rPr>
                <w:rFonts w:ascii="Arial" w:hAnsi="Arial" w:cs="Arial"/>
                <w:b/>
              </w:rPr>
              <w:t xml:space="preserve">1. </w:t>
            </w:r>
          </w:p>
        </w:tc>
        <w:tc>
          <w:tcPr>
            <w:tcW w:w="8637" w:type="dxa"/>
            <w:gridSpan w:val="2"/>
          </w:tcPr>
          <w:p w14:paraId="1BB4FFED" w14:textId="7AE6F1DF" w:rsidR="00025A6C" w:rsidRPr="001E0B0F" w:rsidRDefault="00D9349E" w:rsidP="005D0F76">
            <w:pPr>
              <w:rPr>
                <w:rFonts w:ascii="Arial" w:hAnsi="Arial" w:cs="Arial"/>
                <w:b/>
                <w:i/>
              </w:rPr>
            </w:pPr>
            <w:r w:rsidRPr="001E0B0F">
              <w:rPr>
                <w:rFonts w:ascii="Arial" w:hAnsi="Arial" w:cs="Arial"/>
                <w:b/>
                <w:i/>
              </w:rPr>
              <w:t>ArcGIS Enterprise Standard (iki 4 branduolių serveryje) atnaujinimas</w:t>
            </w:r>
          </w:p>
        </w:tc>
      </w:tr>
      <w:tr w:rsidR="00025A6C" w:rsidRPr="001E0B0F" w14:paraId="639F0FD2" w14:textId="77777777" w:rsidTr="000F32DC">
        <w:tc>
          <w:tcPr>
            <w:tcW w:w="656" w:type="dxa"/>
          </w:tcPr>
          <w:p w14:paraId="4A6BBA51" w14:textId="77777777" w:rsidR="00025A6C" w:rsidRPr="001E0B0F" w:rsidRDefault="00025A6C" w:rsidP="008C6B3E">
            <w:pPr>
              <w:spacing w:after="160" w:line="259" w:lineRule="auto"/>
              <w:rPr>
                <w:rFonts w:ascii="Arial" w:hAnsi="Arial" w:cs="Arial"/>
              </w:rPr>
            </w:pPr>
            <w:r w:rsidRPr="001E0B0F">
              <w:rPr>
                <w:rFonts w:ascii="Arial" w:hAnsi="Arial" w:cs="Arial"/>
              </w:rPr>
              <w:t>1.</w:t>
            </w:r>
            <w:r w:rsidR="008C6B3E" w:rsidRPr="001E0B0F">
              <w:rPr>
                <w:rFonts w:ascii="Arial" w:hAnsi="Arial" w:cs="Arial"/>
              </w:rPr>
              <w:t>1</w:t>
            </w:r>
            <w:r w:rsidRPr="001E0B0F">
              <w:rPr>
                <w:rFonts w:ascii="Arial" w:hAnsi="Arial" w:cs="Arial"/>
              </w:rPr>
              <w:t>.</w:t>
            </w:r>
          </w:p>
        </w:tc>
        <w:tc>
          <w:tcPr>
            <w:tcW w:w="3109" w:type="dxa"/>
          </w:tcPr>
          <w:p w14:paraId="21D7A213" w14:textId="78FB0F0F" w:rsidR="00025A6C" w:rsidRPr="001E0B0F" w:rsidRDefault="00025A6C" w:rsidP="005D0F76">
            <w:pPr>
              <w:spacing w:after="160" w:line="259" w:lineRule="auto"/>
              <w:rPr>
                <w:rFonts w:ascii="Arial" w:hAnsi="Arial" w:cs="Arial"/>
              </w:rPr>
            </w:pPr>
            <w:r w:rsidRPr="00895EB8">
              <w:rPr>
                <w:rFonts w:ascii="Arial" w:hAnsi="Arial" w:cs="Arial"/>
              </w:rPr>
              <w:t>P</w:t>
            </w:r>
            <w:r w:rsidR="00D17050" w:rsidRPr="00895EB8">
              <w:rPr>
                <w:rFonts w:ascii="Arial" w:hAnsi="Arial" w:cs="Arial"/>
              </w:rPr>
              <w:t>rograminės įrangos</w:t>
            </w:r>
            <w:r w:rsidRPr="001E0B0F">
              <w:rPr>
                <w:rFonts w:ascii="Arial" w:hAnsi="Arial" w:cs="Arial"/>
              </w:rPr>
              <w:t xml:space="preserve"> licencijos pavadinimas</w:t>
            </w:r>
          </w:p>
        </w:tc>
        <w:tc>
          <w:tcPr>
            <w:tcW w:w="5528" w:type="dxa"/>
          </w:tcPr>
          <w:p w14:paraId="687174E9" w14:textId="0AA94A64" w:rsidR="00025A6C" w:rsidRPr="001E0B0F" w:rsidRDefault="00D9349E" w:rsidP="005D0F76">
            <w:pPr>
              <w:spacing w:after="160" w:line="259" w:lineRule="auto"/>
              <w:rPr>
                <w:rFonts w:ascii="Arial" w:hAnsi="Arial" w:cs="Arial"/>
              </w:rPr>
            </w:pPr>
            <w:r w:rsidRPr="001E0B0F">
              <w:rPr>
                <w:rFonts w:ascii="Arial" w:hAnsi="Arial" w:cs="Arial"/>
              </w:rPr>
              <w:t>ArcGIS Enterprise Standard atnaujinimas į naujausią versiją</w:t>
            </w:r>
          </w:p>
        </w:tc>
      </w:tr>
      <w:tr w:rsidR="00025A6C" w:rsidRPr="001E0B0F" w14:paraId="69F3ACA7" w14:textId="77777777" w:rsidTr="000F32DC">
        <w:tc>
          <w:tcPr>
            <w:tcW w:w="656" w:type="dxa"/>
          </w:tcPr>
          <w:p w14:paraId="682ECAD2" w14:textId="77777777" w:rsidR="00025A6C" w:rsidRPr="001E0B0F" w:rsidRDefault="00025A6C" w:rsidP="008C6B3E">
            <w:pPr>
              <w:spacing w:after="160" w:line="259" w:lineRule="auto"/>
              <w:rPr>
                <w:rFonts w:ascii="Arial" w:hAnsi="Arial" w:cs="Arial"/>
              </w:rPr>
            </w:pPr>
            <w:r w:rsidRPr="001E0B0F">
              <w:rPr>
                <w:rFonts w:ascii="Arial" w:hAnsi="Arial" w:cs="Arial"/>
              </w:rPr>
              <w:t>1.</w:t>
            </w:r>
            <w:r w:rsidR="008C6B3E" w:rsidRPr="001E0B0F">
              <w:rPr>
                <w:rFonts w:ascii="Arial" w:hAnsi="Arial" w:cs="Arial"/>
              </w:rPr>
              <w:t>2</w:t>
            </w:r>
            <w:r w:rsidRPr="001E0B0F">
              <w:rPr>
                <w:rFonts w:ascii="Arial" w:hAnsi="Arial" w:cs="Arial"/>
              </w:rPr>
              <w:t>.</w:t>
            </w:r>
          </w:p>
        </w:tc>
        <w:tc>
          <w:tcPr>
            <w:tcW w:w="3109" w:type="dxa"/>
          </w:tcPr>
          <w:p w14:paraId="6627CAD4" w14:textId="77777777" w:rsidR="00025A6C" w:rsidRPr="001E0B0F" w:rsidRDefault="00025A6C" w:rsidP="005D0F76">
            <w:pPr>
              <w:spacing w:after="160" w:line="259" w:lineRule="auto"/>
              <w:rPr>
                <w:rFonts w:ascii="Arial" w:hAnsi="Arial" w:cs="Arial"/>
              </w:rPr>
            </w:pPr>
            <w:r w:rsidRPr="001E0B0F">
              <w:rPr>
                <w:rFonts w:ascii="Arial" w:hAnsi="Arial" w:cs="Arial"/>
              </w:rPr>
              <w:t>Licencijų kiekis</w:t>
            </w:r>
          </w:p>
        </w:tc>
        <w:tc>
          <w:tcPr>
            <w:tcW w:w="5528" w:type="dxa"/>
          </w:tcPr>
          <w:p w14:paraId="1F9D207A" w14:textId="79C70347" w:rsidR="00025A6C" w:rsidRPr="001E0B0F" w:rsidRDefault="00D9349E" w:rsidP="005D0F76">
            <w:pPr>
              <w:spacing w:after="160" w:line="259" w:lineRule="auto"/>
              <w:rPr>
                <w:rFonts w:ascii="Arial" w:hAnsi="Arial" w:cs="Arial"/>
              </w:rPr>
            </w:pPr>
            <w:r w:rsidRPr="001E0B0F">
              <w:rPr>
                <w:rFonts w:ascii="Arial" w:hAnsi="Arial" w:cs="Arial"/>
              </w:rPr>
              <w:t>1</w:t>
            </w:r>
          </w:p>
        </w:tc>
      </w:tr>
      <w:tr w:rsidR="00025A6C" w:rsidRPr="001E0B0F" w14:paraId="76C2DE44" w14:textId="77777777" w:rsidTr="000F32DC">
        <w:tc>
          <w:tcPr>
            <w:tcW w:w="656" w:type="dxa"/>
          </w:tcPr>
          <w:p w14:paraId="443375AF" w14:textId="77777777" w:rsidR="00025A6C" w:rsidRPr="001E0B0F" w:rsidRDefault="00025A6C" w:rsidP="008C6B3E">
            <w:pPr>
              <w:spacing w:after="160" w:line="259" w:lineRule="auto"/>
              <w:rPr>
                <w:rFonts w:ascii="Arial" w:hAnsi="Arial" w:cs="Arial"/>
              </w:rPr>
            </w:pPr>
            <w:r w:rsidRPr="001E0B0F">
              <w:rPr>
                <w:rFonts w:ascii="Arial" w:hAnsi="Arial" w:cs="Arial"/>
              </w:rPr>
              <w:t>1.</w:t>
            </w:r>
            <w:r w:rsidR="008C6B3E" w:rsidRPr="001E0B0F">
              <w:rPr>
                <w:rFonts w:ascii="Arial" w:hAnsi="Arial" w:cs="Arial"/>
              </w:rPr>
              <w:t>3</w:t>
            </w:r>
            <w:r w:rsidRPr="001E0B0F">
              <w:rPr>
                <w:rFonts w:ascii="Arial" w:hAnsi="Arial" w:cs="Arial"/>
              </w:rPr>
              <w:t>.</w:t>
            </w:r>
          </w:p>
        </w:tc>
        <w:tc>
          <w:tcPr>
            <w:tcW w:w="3109" w:type="dxa"/>
          </w:tcPr>
          <w:p w14:paraId="05368D73" w14:textId="7B413943" w:rsidR="00025A6C" w:rsidRPr="001E0B0F" w:rsidRDefault="00025A6C" w:rsidP="005D0F76">
            <w:pPr>
              <w:spacing w:after="160" w:line="259" w:lineRule="auto"/>
              <w:rPr>
                <w:rFonts w:ascii="Arial" w:hAnsi="Arial" w:cs="Arial"/>
              </w:rPr>
            </w:pPr>
            <w:r w:rsidRPr="001E0B0F">
              <w:rPr>
                <w:rFonts w:ascii="Arial" w:hAnsi="Arial" w:cs="Arial"/>
              </w:rPr>
              <w:t>Naujumo garantijos ir technin</w:t>
            </w:r>
            <w:r w:rsidR="007A3587" w:rsidRPr="001E0B0F">
              <w:rPr>
                <w:rFonts w:ascii="Arial" w:hAnsi="Arial" w:cs="Arial"/>
              </w:rPr>
              <w:t>io</w:t>
            </w:r>
            <w:r w:rsidRPr="001E0B0F">
              <w:rPr>
                <w:rFonts w:ascii="Arial" w:hAnsi="Arial" w:cs="Arial"/>
              </w:rPr>
              <w:t xml:space="preserve"> </w:t>
            </w:r>
            <w:r w:rsidR="007A3587" w:rsidRPr="001E0B0F">
              <w:rPr>
                <w:rFonts w:ascii="Arial" w:hAnsi="Arial" w:cs="Arial"/>
              </w:rPr>
              <w:t>aptarnavimo</w:t>
            </w:r>
            <w:r w:rsidRPr="001E0B0F">
              <w:rPr>
                <w:rFonts w:ascii="Arial" w:hAnsi="Arial" w:cs="Arial"/>
              </w:rPr>
              <w:t xml:space="preserve"> periodas</w:t>
            </w:r>
          </w:p>
        </w:tc>
        <w:tc>
          <w:tcPr>
            <w:tcW w:w="5528" w:type="dxa"/>
          </w:tcPr>
          <w:p w14:paraId="18DD2436" w14:textId="40E95221" w:rsidR="00025A6C" w:rsidRPr="001E0B0F" w:rsidRDefault="00025A6C" w:rsidP="005D0F76">
            <w:pPr>
              <w:spacing w:after="160" w:line="259" w:lineRule="auto"/>
              <w:rPr>
                <w:rFonts w:ascii="Arial" w:hAnsi="Arial" w:cs="Arial"/>
              </w:rPr>
            </w:pPr>
            <w:r w:rsidRPr="001E0B0F">
              <w:rPr>
                <w:rFonts w:ascii="Arial" w:hAnsi="Arial" w:cs="Arial"/>
              </w:rPr>
              <w:t xml:space="preserve">Ne mažiau kaip </w:t>
            </w:r>
            <w:r w:rsidR="00D9349E" w:rsidRPr="001E0B0F">
              <w:rPr>
                <w:rFonts w:ascii="Arial" w:hAnsi="Arial" w:cs="Arial"/>
              </w:rPr>
              <w:t>36 mėnesių laikotarpiui</w:t>
            </w:r>
          </w:p>
        </w:tc>
      </w:tr>
    </w:tbl>
    <w:p w14:paraId="7FBDB9EC" w14:textId="77777777" w:rsidR="005D0F76" w:rsidRPr="001E0B0F" w:rsidRDefault="005D0F76" w:rsidP="00560D59">
      <w:pPr>
        <w:numPr>
          <w:ilvl w:val="0"/>
          <w:numId w:val="1"/>
        </w:numPr>
        <w:spacing w:before="240"/>
        <w:rPr>
          <w:rFonts w:ascii="Arial" w:hAnsi="Arial" w:cs="Arial"/>
          <w:b/>
        </w:rPr>
      </w:pPr>
      <w:r w:rsidRPr="001E0B0F">
        <w:rPr>
          <w:rFonts w:ascii="Arial" w:hAnsi="Arial" w:cs="Arial"/>
          <w:b/>
        </w:rPr>
        <w:t>Bendrieji reikalavimai</w:t>
      </w:r>
    </w:p>
    <w:p w14:paraId="3E0A224C" w14:textId="23050923" w:rsidR="004A30E3" w:rsidRPr="00895EB8" w:rsidRDefault="004A30E3" w:rsidP="00895EB8">
      <w:pPr>
        <w:numPr>
          <w:ilvl w:val="1"/>
          <w:numId w:val="1"/>
        </w:numPr>
        <w:ind w:left="0" w:firstLine="426"/>
        <w:rPr>
          <w:rFonts w:ascii="Arial" w:hAnsi="Arial" w:cs="Arial"/>
          <w:bCs/>
        </w:rPr>
      </w:pPr>
      <w:r w:rsidRPr="00895EB8">
        <w:rPr>
          <w:rFonts w:ascii="Arial" w:hAnsi="Arial" w:cs="Arial"/>
          <w:bCs/>
        </w:rPr>
        <w:t xml:space="preserve">Siūlomos programinės įrangos tiekėjas turi būti gamintojas arba turėti gamintojo arba gamintojo atstovo leidimą prekiauti ir (arba) nuomoti siūlomos programinės įrangos licencijomis ir jų atnaujinamais Lietuvos Respublikoje ar/ir Europos Sąjungoje. </w:t>
      </w:r>
      <w:r w:rsidRPr="003F1F41">
        <w:rPr>
          <w:rFonts w:ascii="Arial" w:hAnsi="Arial" w:cs="Arial"/>
          <w:b/>
        </w:rPr>
        <w:t xml:space="preserve">Kartu su pasiūlymu turi būti pateiktos programinės įrangos gamintojo pažymos, patvirtinančios, kad programinės įrangos tiekėjas yra siūlomos programinės įrangos gamintojo atstovas, įgaliotas pateikti (parduoti) siūlomą programinę įrangą arba turi būti sudaręs sutartį su tokiu atstovu, turinčiu </w:t>
      </w:r>
      <w:r w:rsidRPr="00895EB8">
        <w:rPr>
          <w:rFonts w:ascii="Arial" w:hAnsi="Arial" w:cs="Arial"/>
          <w:b/>
        </w:rPr>
        <w:t>išvardintas teises (turi būti pateikta skaitmeninė</w:t>
      </w:r>
      <w:r w:rsidR="0008554E">
        <w:rPr>
          <w:rFonts w:ascii="Arial" w:hAnsi="Arial" w:cs="Arial"/>
          <w:b/>
        </w:rPr>
        <w:t xml:space="preserve"> dokumento</w:t>
      </w:r>
      <w:r w:rsidRPr="00895EB8">
        <w:rPr>
          <w:rFonts w:ascii="Arial" w:hAnsi="Arial" w:cs="Arial"/>
          <w:b/>
        </w:rPr>
        <w:t xml:space="preserve"> kopija)</w:t>
      </w:r>
      <w:r w:rsidRPr="00895EB8">
        <w:rPr>
          <w:rFonts w:ascii="Arial" w:hAnsi="Arial" w:cs="Arial"/>
          <w:bCs/>
        </w:rPr>
        <w:t>.</w:t>
      </w:r>
    </w:p>
    <w:p w14:paraId="2C928527" w14:textId="7BA32D34" w:rsidR="005D0F76" w:rsidRPr="00895EB8" w:rsidRDefault="005D0F76" w:rsidP="005D0F76">
      <w:pPr>
        <w:numPr>
          <w:ilvl w:val="1"/>
          <w:numId w:val="1"/>
        </w:numPr>
        <w:rPr>
          <w:rFonts w:ascii="Arial" w:hAnsi="Arial" w:cs="Arial"/>
          <w:b/>
        </w:rPr>
      </w:pPr>
      <w:r w:rsidRPr="00895EB8">
        <w:rPr>
          <w:rFonts w:ascii="Arial" w:hAnsi="Arial" w:cs="Arial"/>
          <w:b/>
        </w:rPr>
        <w:t>Reikalavimai pateikimui</w:t>
      </w:r>
    </w:p>
    <w:p w14:paraId="0C0AEABC" w14:textId="44204FC8" w:rsidR="005D0F76" w:rsidRPr="00895EB8" w:rsidRDefault="001E307C" w:rsidP="00A41F86">
      <w:pPr>
        <w:jc w:val="both"/>
        <w:rPr>
          <w:rFonts w:ascii="Arial" w:hAnsi="Arial" w:cs="Arial"/>
        </w:rPr>
      </w:pPr>
      <w:r w:rsidRPr="00895EB8">
        <w:rPr>
          <w:rFonts w:ascii="Arial" w:hAnsi="Arial" w:cs="Arial"/>
        </w:rPr>
        <w:t xml:space="preserve">Licencijos </w:t>
      </w:r>
      <w:r w:rsidR="005D0F76" w:rsidRPr="00895EB8">
        <w:rPr>
          <w:rFonts w:ascii="Arial" w:hAnsi="Arial" w:cs="Arial"/>
        </w:rPr>
        <w:t>gali būti pateikiamos elektroninėmis priemonėmis. Licencijos, arba jos techninės priežiūros naujo laikotarpio patalpinimas gamintojo savitarnos sistemoje</w:t>
      </w:r>
      <w:r w:rsidR="0030494B">
        <w:rPr>
          <w:rFonts w:ascii="Arial" w:hAnsi="Arial" w:cs="Arial"/>
        </w:rPr>
        <w:t>,</w:t>
      </w:r>
      <w:r w:rsidR="005D0F76" w:rsidRPr="00895EB8">
        <w:rPr>
          <w:rFonts w:ascii="Arial" w:hAnsi="Arial" w:cs="Arial"/>
        </w:rPr>
        <w:t xml:space="preserve"> prieinamoje užsakovui, laikomas tinkamu pateikimo būdu.</w:t>
      </w:r>
    </w:p>
    <w:p w14:paraId="19DBDF4D" w14:textId="77777777" w:rsidR="005D0F76" w:rsidRPr="00895EB8" w:rsidRDefault="005D0F76" w:rsidP="00A41F86">
      <w:pPr>
        <w:numPr>
          <w:ilvl w:val="1"/>
          <w:numId w:val="1"/>
        </w:numPr>
        <w:jc w:val="both"/>
        <w:rPr>
          <w:rFonts w:ascii="Arial" w:hAnsi="Arial" w:cs="Arial"/>
          <w:b/>
        </w:rPr>
      </w:pPr>
      <w:r w:rsidRPr="00895EB8">
        <w:rPr>
          <w:rFonts w:ascii="Arial" w:hAnsi="Arial" w:cs="Arial"/>
          <w:b/>
        </w:rPr>
        <w:t xml:space="preserve"> Reikalavimai naujumo garantijai ir techninei priežiūrai</w:t>
      </w:r>
    </w:p>
    <w:p w14:paraId="23125EDF" w14:textId="31D32995" w:rsidR="005D0F76" w:rsidRPr="001E0B0F" w:rsidRDefault="005D0F76" w:rsidP="00A41F86">
      <w:pPr>
        <w:jc w:val="both"/>
        <w:rPr>
          <w:rFonts w:ascii="Arial" w:hAnsi="Arial" w:cs="Arial"/>
        </w:rPr>
      </w:pPr>
      <w:r w:rsidRPr="00895EB8">
        <w:rPr>
          <w:rFonts w:ascii="Arial" w:hAnsi="Arial" w:cs="Arial"/>
        </w:rPr>
        <w:t xml:space="preserve">Tiekėjas </w:t>
      </w:r>
      <w:r w:rsidR="00AB25F7" w:rsidRPr="00895EB8">
        <w:rPr>
          <w:rFonts w:ascii="Arial" w:hAnsi="Arial" w:cs="Arial"/>
        </w:rPr>
        <w:t>nuo užsakymo pateikimo gamintojui datos</w:t>
      </w:r>
      <w:r w:rsidRPr="00895EB8">
        <w:rPr>
          <w:rFonts w:ascii="Arial" w:hAnsi="Arial" w:cs="Arial"/>
        </w:rPr>
        <w:t xml:space="preserve"> privalo suteikti techninėje specifikacijoje numatytos trukmės pateiktos ir/ar atnaujintos programinės įrangos naujumo garantiją ir techninę priežiūrą.</w:t>
      </w:r>
      <w:r w:rsidR="00E96810">
        <w:rPr>
          <w:rFonts w:ascii="Arial" w:hAnsi="Arial" w:cs="Arial"/>
        </w:rPr>
        <w:t xml:space="preserve"> </w:t>
      </w:r>
      <w:r w:rsidR="004E401A" w:rsidRPr="004E401A">
        <w:rPr>
          <w:rFonts w:ascii="Arial" w:hAnsi="Arial" w:cs="Arial"/>
        </w:rPr>
        <w:t xml:space="preserve">Tiekėjas įsipareigoja užtikrinti prieigą </w:t>
      </w:r>
      <w:r w:rsidR="00434317">
        <w:rPr>
          <w:rFonts w:ascii="Arial" w:hAnsi="Arial" w:cs="Arial"/>
        </w:rPr>
        <w:t>užsakovui</w:t>
      </w:r>
      <w:r w:rsidR="004E401A" w:rsidRPr="004E401A">
        <w:rPr>
          <w:rFonts w:ascii="Arial" w:hAnsi="Arial" w:cs="Arial"/>
        </w:rPr>
        <w:t xml:space="preserve"> prie gamintojo numatytos savitarnos sistemos, kurioje </w:t>
      </w:r>
      <w:r w:rsidR="00AB0921">
        <w:rPr>
          <w:rFonts w:ascii="Arial" w:hAnsi="Arial" w:cs="Arial"/>
        </w:rPr>
        <w:t>užsakovas</w:t>
      </w:r>
      <w:r w:rsidR="004E401A" w:rsidRPr="004E401A">
        <w:rPr>
          <w:rFonts w:ascii="Arial" w:hAnsi="Arial" w:cs="Arial"/>
        </w:rPr>
        <w:t xml:space="preserve"> savitarnos principu galės gauti naujas programinės įrangos versijas, pataisymus ar kitus atnaujinimus, kai juos išleis gamintojas. Tiekėjas</w:t>
      </w:r>
      <w:r w:rsidR="00AB0921">
        <w:rPr>
          <w:rFonts w:ascii="Arial" w:hAnsi="Arial" w:cs="Arial"/>
        </w:rPr>
        <w:t>,</w:t>
      </w:r>
      <w:r w:rsidR="004E401A" w:rsidRPr="004E401A">
        <w:rPr>
          <w:rFonts w:ascii="Arial" w:hAnsi="Arial" w:cs="Arial"/>
        </w:rPr>
        <w:t xml:space="preserve"> iškilus poreikiui</w:t>
      </w:r>
      <w:r w:rsidR="00AB0921">
        <w:rPr>
          <w:rFonts w:ascii="Arial" w:hAnsi="Arial" w:cs="Arial"/>
        </w:rPr>
        <w:t>,</w:t>
      </w:r>
      <w:r w:rsidR="004E401A" w:rsidRPr="004E401A">
        <w:rPr>
          <w:rFonts w:ascii="Arial" w:hAnsi="Arial" w:cs="Arial"/>
        </w:rPr>
        <w:t xml:space="preserve"> konsultuoja </w:t>
      </w:r>
      <w:r w:rsidR="00AB0921">
        <w:rPr>
          <w:rFonts w:ascii="Arial" w:hAnsi="Arial" w:cs="Arial"/>
        </w:rPr>
        <w:t>užsakovą</w:t>
      </w:r>
      <w:r w:rsidR="004E401A" w:rsidRPr="004E401A">
        <w:rPr>
          <w:rFonts w:ascii="Arial" w:hAnsi="Arial" w:cs="Arial"/>
        </w:rPr>
        <w:t xml:space="preserve"> dėl naujų versijų, pataisymų ir kitų atnaujinimo diegimo ar programinės įrangos sutrikimų pagal </w:t>
      </w:r>
      <w:r w:rsidR="00C36DF7">
        <w:rPr>
          <w:rFonts w:ascii="Arial" w:hAnsi="Arial" w:cs="Arial"/>
        </w:rPr>
        <w:t>g</w:t>
      </w:r>
      <w:r w:rsidR="004E401A" w:rsidRPr="004E401A">
        <w:rPr>
          <w:rFonts w:ascii="Arial" w:hAnsi="Arial" w:cs="Arial"/>
        </w:rPr>
        <w:t>amintojo nustatytą tvarką.</w:t>
      </w:r>
      <w:r w:rsidR="004E401A">
        <w:rPr>
          <w:rFonts w:ascii="Arial" w:hAnsi="Arial" w:cs="Arial"/>
        </w:rPr>
        <w:t xml:space="preserve"> </w:t>
      </w:r>
      <w:r w:rsidRPr="00E96810">
        <w:rPr>
          <w:rFonts w:ascii="Arial" w:hAnsi="Arial" w:cs="Arial"/>
        </w:rPr>
        <w:t xml:space="preserve">Naujumo garantijos ir techninės priežiūros galiojimo metu turi būti užtikrintas programinės įrangos naujų versijų, pataisymų bei su tuo susijusių visų reikalingų licencijų </w:t>
      </w:r>
      <w:r w:rsidRPr="00E96810">
        <w:rPr>
          <w:rFonts w:ascii="Arial" w:hAnsi="Arial" w:cs="Arial"/>
        </w:rPr>
        <w:lastRenderedPageBreak/>
        <w:t>pateikimas, techninės pagalbos ir konsultacijų teikimas pagal gamintojo nustatytą tvarką, užregistravus problemą/paklausimą internetu, telefonu ar el. paštu be papildomų mokesčių.</w:t>
      </w:r>
    </w:p>
    <w:p w14:paraId="12CE58F2" w14:textId="77777777" w:rsidR="005D0F76" w:rsidRPr="001E0B0F" w:rsidRDefault="005D0F76" w:rsidP="00A41F86">
      <w:pPr>
        <w:jc w:val="both"/>
        <w:rPr>
          <w:rFonts w:ascii="Arial" w:hAnsi="Arial" w:cs="Arial"/>
        </w:rPr>
      </w:pPr>
      <w:r w:rsidRPr="001E0B0F">
        <w:rPr>
          <w:rFonts w:ascii="Arial" w:hAnsi="Arial" w:cs="Arial"/>
        </w:rPr>
        <w:t>Atnaujintos programinės įrangos funkcionalumas neturi sumažėti.</w:t>
      </w:r>
    </w:p>
    <w:p w14:paraId="1136FDC7" w14:textId="77777777" w:rsidR="005D0F76" w:rsidRPr="001E0B0F" w:rsidRDefault="005D0F76" w:rsidP="00A41F86">
      <w:pPr>
        <w:numPr>
          <w:ilvl w:val="1"/>
          <w:numId w:val="1"/>
        </w:numPr>
        <w:jc w:val="both"/>
        <w:rPr>
          <w:rFonts w:ascii="Arial" w:hAnsi="Arial" w:cs="Arial"/>
          <w:b/>
        </w:rPr>
      </w:pPr>
      <w:r w:rsidRPr="001E0B0F">
        <w:rPr>
          <w:rFonts w:ascii="Arial" w:hAnsi="Arial" w:cs="Arial"/>
          <w:b/>
        </w:rPr>
        <w:t xml:space="preserve"> Reikalavimai licencijavimui ir autorių teisėms</w:t>
      </w:r>
    </w:p>
    <w:p w14:paraId="05B2882C" w14:textId="7A5BF8A5" w:rsidR="005D0F76" w:rsidRDefault="005D0F76" w:rsidP="00A41F86">
      <w:pPr>
        <w:jc w:val="both"/>
        <w:rPr>
          <w:rFonts w:ascii="Arial" w:hAnsi="Arial" w:cs="Arial"/>
        </w:rPr>
      </w:pPr>
      <w:r w:rsidRPr="001E0B0F">
        <w:rPr>
          <w:rFonts w:ascii="Arial" w:hAnsi="Arial" w:cs="Arial"/>
        </w:rPr>
        <w:t xml:space="preserve">Tiekėjas turi atsižvelgti į esamos, numatytos įsigyti ar atnaujinti </w:t>
      </w:r>
      <w:r w:rsidR="00D85208">
        <w:rPr>
          <w:rFonts w:ascii="Arial" w:hAnsi="Arial" w:cs="Arial"/>
        </w:rPr>
        <w:t xml:space="preserve">programinės </w:t>
      </w:r>
      <w:r w:rsidRPr="001E0B0F">
        <w:rPr>
          <w:rFonts w:ascii="Arial" w:hAnsi="Arial" w:cs="Arial"/>
        </w:rPr>
        <w:t xml:space="preserve">įrangos reikalavimus ir siūlyti </w:t>
      </w:r>
      <w:r w:rsidR="00D85208">
        <w:rPr>
          <w:rFonts w:ascii="Arial" w:hAnsi="Arial" w:cs="Arial"/>
        </w:rPr>
        <w:t xml:space="preserve">programinę </w:t>
      </w:r>
      <w:r w:rsidRPr="001E0B0F">
        <w:rPr>
          <w:rFonts w:ascii="Arial" w:hAnsi="Arial" w:cs="Arial"/>
        </w:rPr>
        <w:t xml:space="preserve">įrangą, kurios licencijos yra suderinamos su esama, numatyta įsigyti ar atnaujinti </w:t>
      </w:r>
      <w:r w:rsidR="00D85208">
        <w:rPr>
          <w:rFonts w:ascii="Arial" w:hAnsi="Arial" w:cs="Arial"/>
        </w:rPr>
        <w:t xml:space="preserve">programine </w:t>
      </w:r>
      <w:r w:rsidRPr="001E0B0F">
        <w:rPr>
          <w:rFonts w:ascii="Arial" w:hAnsi="Arial" w:cs="Arial"/>
        </w:rPr>
        <w:t xml:space="preserve">įranga. </w:t>
      </w:r>
    </w:p>
    <w:p w14:paraId="3B4F152F" w14:textId="6ED5EB25" w:rsidR="00D85208" w:rsidRPr="00271861" w:rsidRDefault="00951CFC" w:rsidP="00A41F86">
      <w:pPr>
        <w:jc w:val="both"/>
        <w:rPr>
          <w:rFonts w:ascii="Arial" w:hAnsi="Arial" w:cs="Arial"/>
        </w:rPr>
      </w:pPr>
      <w:r w:rsidRPr="00271861">
        <w:rPr>
          <w:rFonts w:ascii="Arial" w:hAnsi="Arial" w:cs="Arial"/>
        </w:rPr>
        <w:t xml:space="preserve">Šioje </w:t>
      </w:r>
      <w:r w:rsidR="00AC7F02" w:rsidRPr="00271861">
        <w:rPr>
          <w:rFonts w:ascii="Arial" w:hAnsi="Arial" w:cs="Arial"/>
        </w:rPr>
        <w:t>t</w:t>
      </w:r>
      <w:r w:rsidRPr="00271861">
        <w:rPr>
          <w:rFonts w:ascii="Arial" w:hAnsi="Arial" w:cs="Arial"/>
        </w:rPr>
        <w:t>echninėje specifikacijoje įvardintos programinės įrangos</w:t>
      </w:r>
      <w:r w:rsidR="00AC7F02" w:rsidRPr="00271861">
        <w:rPr>
          <w:rFonts w:ascii="Arial" w:hAnsi="Arial" w:cs="Arial"/>
        </w:rPr>
        <w:t xml:space="preserve"> </w:t>
      </w:r>
      <w:r w:rsidR="00CA19D5" w:rsidRPr="00271861">
        <w:rPr>
          <w:rFonts w:ascii="Arial" w:hAnsi="Arial" w:cs="Arial"/>
        </w:rPr>
        <w:t>„lygiavert</w:t>
      </w:r>
      <w:r w:rsidR="00AC7F02" w:rsidRPr="00271861">
        <w:rPr>
          <w:rFonts w:ascii="Arial" w:hAnsi="Arial" w:cs="Arial"/>
        </w:rPr>
        <w:t>iškumas</w:t>
      </w:r>
      <w:r w:rsidR="00CA19D5" w:rsidRPr="00271861">
        <w:rPr>
          <w:rFonts w:ascii="Arial" w:hAnsi="Arial" w:cs="Arial"/>
        </w:rPr>
        <w:t>“</w:t>
      </w:r>
      <w:r w:rsidR="00AF5869">
        <w:rPr>
          <w:rFonts w:ascii="Arial" w:hAnsi="Arial" w:cs="Arial"/>
        </w:rPr>
        <w:t xml:space="preserve"> (sąlyga </w:t>
      </w:r>
      <w:r w:rsidR="00726956">
        <w:rPr>
          <w:rFonts w:ascii="Arial" w:hAnsi="Arial" w:cs="Arial"/>
        </w:rPr>
        <w:t>„</w:t>
      </w:r>
      <w:r w:rsidR="00AF5869" w:rsidRPr="00AF5869">
        <w:rPr>
          <w:rFonts w:ascii="Arial" w:hAnsi="Arial" w:cs="Arial"/>
        </w:rPr>
        <w:t>arba lygiavertis</w:t>
      </w:r>
      <w:r w:rsidR="00726956">
        <w:rPr>
          <w:rFonts w:ascii="Arial" w:hAnsi="Arial" w:cs="Arial"/>
        </w:rPr>
        <w:t>“</w:t>
      </w:r>
      <w:r w:rsidR="00AF5869">
        <w:rPr>
          <w:rFonts w:ascii="Arial" w:hAnsi="Arial" w:cs="Arial"/>
        </w:rPr>
        <w:t>)</w:t>
      </w:r>
      <w:r w:rsidR="00CA19D5" w:rsidRPr="00271861">
        <w:rPr>
          <w:rFonts w:ascii="Arial" w:hAnsi="Arial" w:cs="Arial"/>
        </w:rPr>
        <w:t xml:space="preserve"> </w:t>
      </w:r>
      <w:r w:rsidR="00826487" w:rsidRPr="00271861">
        <w:rPr>
          <w:rFonts w:ascii="Arial" w:hAnsi="Arial" w:cs="Arial"/>
        </w:rPr>
        <w:t>įmanomas tik tada</w:t>
      </w:r>
      <w:r w:rsidR="003A4534" w:rsidRPr="00271861">
        <w:rPr>
          <w:rFonts w:ascii="Arial" w:hAnsi="Arial" w:cs="Arial"/>
        </w:rPr>
        <w:t>,</w:t>
      </w:r>
      <w:r w:rsidR="00FE1113" w:rsidRPr="00271861">
        <w:rPr>
          <w:rFonts w:ascii="Arial" w:hAnsi="Arial" w:cs="Arial"/>
        </w:rPr>
        <w:t xml:space="preserve"> </w:t>
      </w:r>
      <w:r w:rsidR="000C085E" w:rsidRPr="00271861">
        <w:rPr>
          <w:rFonts w:ascii="Arial" w:hAnsi="Arial" w:cs="Arial"/>
        </w:rPr>
        <w:t xml:space="preserve">kai siūloma programinė įranga </w:t>
      </w:r>
      <w:r w:rsidR="00CA19D5" w:rsidRPr="00271861">
        <w:rPr>
          <w:rFonts w:ascii="Arial" w:hAnsi="Arial" w:cs="Arial"/>
        </w:rPr>
        <w:t>funkcionalumo, suderinamumo ir licencijavimo su užsakovo jau naudojama</w:t>
      </w:r>
      <w:r w:rsidR="003A4534" w:rsidRPr="00271861">
        <w:rPr>
          <w:rFonts w:ascii="Arial" w:hAnsi="Arial" w:cs="Arial"/>
        </w:rPr>
        <w:t xml:space="preserve"> </w:t>
      </w:r>
      <w:r w:rsidR="00CA19D5" w:rsidRPr="00271861">
        <w:rPr>
          <w:rFonts w:ascii="Arial" w:hAnsi="Arial" w:cs="Arial"/>
        </w:rPr>
        <w:t>programine įranga yra visiškai lygiavertė šioje techninėje specifikacijoje nurodytai programinei įrangai.</w:t>
      </w:r>
      <w:r w:rsidR="004D16E1">
        <w:rPr>
          <w:rFonts w:ascii="Arial" w:hAnsi="Arial" w:cs="Arial"/>
        </w:rPr>
        <w:t xml:space="preserve"> </w:t>
      </w:r>
      <w:r w:rsidR="004D16E1" w:rsidRPr="004D16E1">
        <w:rPr>
          <w:rFonts w:ascii="Arial" w:hAnsi="Arial" w:cs="Arial"/>
        </w:rPr>
        <w:t>Tiekėjas, siūlantis prekę, pasižyminčią lygiavertėmis savybėmis, privalo patikimomis priemonėmis įrodyti</w:t>
      </w:r>
      <w:r w:rsidR="0087645B">
        <w:rPr>
          <w:rFonts w:ascii="Arial" w:hAnsi="Arial" w:cs="Arial"/>
        </w:rPr>
        <w:t xml:space="preserve"> </w:t>
      </w:r>
      <w:r w:rsidR="004D16E1" w:rsidRPr="004D16E1">
        <w:rPr>
          <w:rFonts w:ascii="Arial" w:hAnsi="Arial" w:cs="Arial"/>
        </w:rPr>
        <w:t>siūlom</w:t>
      </w:r>
      <w:r w:rsidR="0087645B">
        <w:rPr>
          <w:rFonts w:ascii="Arial" w:hAnsi="Arial" w:cs="Arial"/>
        </w:rPr>
        <w:t>os</w:t>
      </w:r>
      <w:r w:rsidR="004D16E1" w:rsidRPr="004D16E1">
        <w:rPr>
          <w:rFonts w:ascii="Arial" w:hAnsi="Arial" w:cs="Arial"/>
        </w:rPr>
        <w:t xml:space="preserve"> prekė</w:t>
      </w:r>
      <w:r w:rsidR="0087645B">
        <w:rPr>
          <w:rFonts w:ascii="Arial" w:hAnsi="Arial" w:cs="Arial"/>
        </w:rPr>
        <w:t>s</w:t>
      </w:r>
      <w:r w:rsidR="004D16E1" w:rsidRPr="004D16E1">
        <w:rPr>
          <w:rFonts w:ascii="Arial" w:hAnsi="Arial" w:cs="Arial"/>
        </w:rPr>
        <w:t xml:space="preserve"> </w:t>
      </w:r>
      <w:r w:rsidR="0087645B">
        <w:rPr>
          <w:rFonts w:ascii="Arial" w:hAnsi="Arial" w:cs="Arial"/>
        </w:rPr>
        <w:t>visišką lygiavertiškumą.</w:t>
      </w:r>
    </w:p>
    <w:p w14:paraId="18D5F9DB" w14:textId="1E02DAED" w:rsidR="00FC0269" w:rsidRPr="0070437D" w:rsidRDefault="00E434F0" w:rsidP="00A41F86">
      <w:pPr>
        <w:jc w:val="both"/>
        <w:rPr>
          <w:rFonts w:ascii="Arial" w:hAnsi="Arial" w:cs="Arial"/>
          <w:b/>
          <w:bCs/>
        </w:rPr>
      </w:pPr>
      <w:r w:rsidRPr="0070437D">
        <w:rPr>
          <w:rFonts w:ascii="Arial" w:hAnsi="Arial" w:cs="Arial"/>
          <w:b/>
          <w:bCs/>
        </w:rPr>
        <w:t>Tiekėjas privalo pa</w:t>
      </w:r>
      <w:r w:rsidR="005D0F76" w:rsidRPr="0070437D">
        <w:rPr>
          <w:rFonts w:ascii="Arial" w:hAnsi="Arial" w:cs="Arial"/>
          <w:b/>
          <w:bCs/>
        </w:rPr>
        <w:t>teikti neatšaukiamą, visiškai apmokėtą, neriboto laiko, neišimtinę, visame pasaulyje galiojančią tiekėjo programinės įrangos licenciją, tinkančią naudojimui organizacijos funkcijoms atlikti.</w:t>
      </w:r>
    </w:p>
    <w:p w14:paraId="3FA08230" w14:textId="2136B67F" w:rsidR="00733DCA" w:rsidRPr="001E0B0F" w:rsidRDefault="005D0F76" w:rsidP="00A41F86">
      <w:pPr>
        <w:jc w:val="both"/>
        <w:rPr>
          <w:rFonts w:ascii="Arial" w:hAnsi="Arial" w:cs="Arial"/>
        </w:rPr>
      </w:pPr>
      <w:r w:rsidRPr="0070437D">
        <w:rPr>
          <w:rFonts w:ascii="Arial" w:hAnsi="Arial" w:cs="Arial"/>
          <w:b/>
          <w:bCs/>
        </w:rPr>
        <w:t>Licencijos turi būti nuolatinės (angl. perpetual)</w:t>
      </w:r>
      <w:r w:rsidRPr="001E0B0F">
        <w:rPr>
          <w:rFonts w:ascii="Arial" w:hAnsi="Arial" w:cs="Arial"/>
        </w:rPr>
        <w:t>, o ne laikinos</w:t>
      </w:r>
      <w:r w:rsidR="00D85208">
        <w:rPr>
          <w:rFonts w:ascii="Arial" w:hAnsi="Arial" w:cs="Arial"/>
        </w:rPr>
        <w:t>,</w:t>
      </w:r>
      <w:r w:rsidRPr="001E0B0F">
        <w:rPr>
          <w:rFonts w:ascii="Arial" w:hAnsi="Arial" w:cs="Arial"/>
        </w:rPr>
        <w:t xml:space="preserve"> t. y. neturi būti siūlomos sprendimui ar pateikiamos nuomos ar panašiu teisiniu pagrindu, ar su kitokiu jų galiojimo apribojimu laike.</w:t>
      </w:r>
    </w:p>
    <w:p w14:paraId="17DC5ED4" w14:textId="57207A5C" w:rsidR="002F6E20" w:rsidRPr="00895EB8" w:rsidRDefault="002F6E20" w:rsidP="002F6E20">
      <w:pPr>
        <w:pStyle w:val="Sraopastraipa"/>
        <w:numPr>
          <w:ilvl w:val="1"/>
          <w:numId w:val="1"/>
        </w:numPr>
        <w:jc w:val="both"/>
        <w:rPr>
          <w:rFonts w:ascii="Arial" w:hAnsi="Arial" w:cs="Arial"/>
          <w:b/>
          <w:bCs/>
        </w:rPr>
      </w:pPr>
      <w:r w:rsidRPr="00895EB8">
        <w:rPr>
          <w:rFonts w:ascii="Arial" w:hAnsi="Arial" w:cs="Arial"/>
          <w:b/>
          <w:bCs/>
        </w:rPr>
        <w:t>Reikalavimai aplinkosaugai</w:t>
      </w:r>
    </w:p>
    <w:p w14:paraId="478EC479" w14:textId="3631D1D7" w:rsidR="002F6E20" w:rsidRPr="001E0B0F" w:rsidRDefault="00D720A5" w:rsidP="00895EB8">
      <w:pPr>
        <w:spacing w:after="0"/>
        <w:jc w:val="both"/>
        <w:rPr>
          <w:rFonts w:ascii="Arial" w:hAnsi="Arial" w:cs="Arial"/>
        </w:rPr>
      </w:pPr>
      <w:r w:rsidRPr="00D720A5">
        <w:rPr>
          <w:rFonts w:ascii="Arial" w:hAnsi="Arial" w:cs="Arial"/>
        </w:rPr>
        <w:t>Vykdomas žaliasis pirkimas pagal Lietuvos Respublikos aplinkos ministro 2011 m. birželio 28 d. įsakymu Nr. D1-508 patvirtinto „Aplinkos apsaugos kriterijų taikymo, vykdant žaliuosius pirkimus, tvarkos aprašo“ (toliau – Tvarkos aprašas) 4.4.3 papunktį (perkama tik nematerialaus pobūdžio (intelektinė) ar kitokia paslauga, nesusijusi su materialaus objekto sukūrimu, kurios teikimo metu nėra numatomas reikšmingas neigiamas poveikis aplinkai, nesukuriamas taršos šaltinis ir negeneruojamos atliekos). Perkančioji organizacija siekia įsigyti pirkimo objektą, darant kuo mažesnį poveikį aplinkai, kad būtų sunaudojama kuo mažiau gamtos išteklių, todėl:</w:t>
      </w:r>
    </w:p>
    <w:p w14:paraId="4B142FAF" w14:textId="22AC6126" w:rsidR="002F6E20" w:rsidRPr="001E0B0F" w:rsidRDefault="002F6E20" w:rsidP="002F6E20">
      <w:pPr>
        <w:pStyle w:val="Sraopastraipa"/>
        <w:jc w:val="both"/>
        <w:rPr>
          <w:rFonts w:ascii="Arial" w:hAnsi="Arial" w:cs="Arial"/>
        </w:rPr>
      </w:pPr>
      <w:bookmarkStart w:id="0" w:name="_Hlk128910162"/>
      <w:r w:rsidRPr="001E0B0F">
        <w:rPr>
          <w:rFonts w:ascii="Arial" w:hAnsi="Arial" w:cs="Arial"/>
        </w:rPr>
        <w:t>3.</w:t>
      </w:r>
      <w:r w:rsidR="00C82682">
        <w:rPr>
          <w:rFonts w:ascii="Arial" w:hAnsi="Arial" w:cs="Arial"/>
        </w:rPr>
        <w:t>5</w:t>
      </w:r>
      <w:r w:rsidRPr="001E0B0F">
        <w:rPr>
          <w:rFonts w:ascii="Arial" w:hAnsi="Arial" w:cs="Arial"/>
        </w:rPr>
        <w:t>.</w:t>
      </w:r>
      <w:bookmarkEnd w:id="0"/>
      <w:r w:rsidRPr="001E0B0F">
        <w:rPr>
          <w:rFonts w:ascii="Arial" w:hAnsi="Arial" w:cs="Arial"/>
        </w:rPr>
        <w:t xml:space="preserve">1. </w:t>
      </w:r>
      <w:r w:rsidR="00A84E86">
        <w:rPr>
          <w:rFonts w:ascii="Arial" w:hAnsi="Arial" w:cs="Arial"/>
        </w:rPr>
        <w:t>b</w:t>
      </w:r>
      <w:r w:rsidRPr="001E0B0F">
        <w:rPr>
          <w:rFonts w:ascii="Arial" w:hAnsi="Arial" w:cs="Arial"/>
        </w:rPr>
        <w:t xml:space="preserve">endravimas tarp </w:t>
      </w:r>
      <w:r w:rsidR="002347EC">
        <w:rPr>
          <w:rFonts w:ascii="Arial" w:hAnsi="Arial" w:cs="Arial"/>
        </w:rPr>
        <w:t>t</w:t>
      </w:r>
      <w:r w:rsidRPr="001E0B0F">
        <w:rPr>
          <w:rFonts w:ascii="Arial" w:hAnsi="Arial" w:cs="Arial"/>
        </w:rPr>
        <w:t xml:space="preserve">iekėjo ir </w:t>
      </w:r>
      <w:r w:rsidR="002347EC">
        <w:rPr>
          <w:rFonts w:ascii="Arial" w:hAnsi="Arial" w:cs="Arial"/>
        </w:rPr>
        <w:t>u</w:t>
      </w:r>
      <w:r w:rsidRPr="001E0B0F">
        <w:rPr>
          <w:rFonts w:ascii="Arial" w:hAnsi="Arial" w:cs="Arial"/>
        </w:rPr>
        <w:t>žsakovo bus vykdomas tik elektroninėmis priemonėmis (telefonu, elektroniniu paštu ar kt.).</w:t>
      </w:r>
    </w:p>
    <w:p w14:paraId="607626F0" w14:textId="44F57CE8" w:rsidR="002F6E20" w:rsidRPr="001E0B0F" w:rsidRDefault="002F6E20" w:rsidP="002F6E20">
      <w:pPr>
        <w:pStyle w:val="Sraopastraipa"/>
        <w:jc w:val="both"/>
        <w:rPr>
          <w:rFonts w:ascii="Arial" w:hAnsi="Arial" w:cs="Arial"/>
        </w:rPr>
      </w:pPr>
      <w:r w:rsidRPr="001E0B0F">
        <w:rPr>
          <w:rFonts w:ascii="Arial" w:hAnsi="Arial" w:cs="Arial"/>
        </w:rPr>
        <w:t>3.</w:t>
      </w:r>
      <w:r w:rsidR="00C82682">
        <w:rPr>
          <w:rFonts w:ascii="Arial" w:hAnsi="Arial" w:cs="Arial"/>
        </w:rPr>
        <w:t>5</w:t>
      </w:r>
      <w:r w:rsidRPr="001E0B0F">
        <w:rPr>
          <w:rFonts w:ascii="Arial" w:hAnsi="Arial" w:cs="Arial"/>
        </w:rPr>
        <w:t>.2.</w:t>
      </w:r>
      <w:r w:rsidR="003E6BA3">
        <w:rPr>
          <w:rFonts w:ascii="Arial" w:hAnsi="Arial" w:cs="Arial"/>
        </w:rPr>
        <w:t xml:space="preserve"> informacija</w:t>
      </w:r>
      <w:r w:rsidRPr="001E0B0F">
        <w:rPr>
          <w:rFonts w:ascii="Arial" w:hAnsi="Arial" w:cs="Arial"/>
        </w:rPr>
        <w:t xml:space="preserve"> teikiama </w:t>
      </w:r>
      <w:r w:rsidR="002347EC">
        <w:rPr>
          <w:rFonts w:ascii="Arial" w:hAnsi="Arial" w:cs="Arial"/>
        </w:rPr>
        <w:t>t</w:t>
      </w:r>
      <w:r w:rsidRPr="001E0B0F">
        <w:rPr>
          <w:rFonts w:ascii="Arial" w:hAnsi="Arial" w:cs="Arial"/>
        </w:rPr>
        <w:t xml:space="preserve">iekėjui ir </w:t>
      </w:r>
      <w:r w:rsidR="002347EC">
        <w:rPr>
          <w:rFonts w:ascii="Arial" w:hAnsi="Arial" w:cs="Arial"/>
        </w:rPr>
        <w:t>u</w:t>
      </w:r>
      <w:r w:rsidRPr="001E0B0F">
        <w:rPr>
          <w:rFonts w:ascii="Arial" w:hAnsi="Arial" w:cs="Arial"/>
        </w:rPr>
        <w:t>žsakovui elektorinėmis priemonėmis (elektoriniu paštu ar kt.).</w:t>
      </w:r>
    </w:p>
    <w:p w14:paraId="00BC81E4" w14:textId="707E4B8E" w:rsidR="00C06323" w:rsidRPr="00FC0269" w:rsidRDefault="002F6E20" w:rsidP="00FC0269">
      <w:pPr>
        <w:pStyle w:val="Sraopastraipa"/>
        <w:jc w:val="both"/>
        <w:rPr>
          <w:rFonts w:ascii="Arial" w:hAnsi="Arial" w:cs="Arial"/>
        </w:rPr>
      </w:pPr>
      <w:r w:rsidRPr="001E0B0F">
        <w:rPr>
          <w:rFonts w:ascii="Arial" w:hAnsi="Arial" w:cs="Arial"/>
        </w:rPr>
        <w:t>3.</w:t>
      </w:r>
      <w:r w:rsidR="00C82682">
        <w:rPr>
          <w:rFonts w:ascii="Arial" w:hAnsi="Arial" w:cs="Arial"/>
        </w:rPr>
        <w:t>5</w:t>
      </w:r>
      <w:r w:rsidRPr="001E0B0F">
        <w:rPr>
          <w:rFonts w:ascii="Arial" w:hAnsi="Arial" w:cs="Arial"/>
        </w:rPr>
        <w:t>.3.</w:t>
      </w:r>
      <w:r w:rsidR="00A84E86">
        <w:rPr>
          <w:rFonts w:ascii="Arial" w:hAnsi="Arial" w:cs="Arial"/>
        </w:rPr>
        <w:t xml:space="preserve"> s</w:t>
      </w:r>
      <w:r w:rsidRPr="001E0B0F">
        <w:rPr>
          <w:rFonts w:ascii="Arial" w:hAnsi="Arial" w:cs="Arial"/>
        </w:rPr>
        <w:t>utartis bus pasirašoma tik elektroninėmis priemonėmis (kvalifikuotu el. parašu).</w:t>
      </w:r>
    </w:p>
    <w:sectPr w:rsidR="00C06323" w:rsidRPr="00FC0269" w:rsidSect="00B351A6">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600EA" w14:textId="77777777" w:rsidR="00E144E2" w:rsidRDefault="00E144E2" w:rsidP="00206719">
      <w:pPr>
        <w:spacing w:after="0" w:line="240" w:lineRule="auto"/>
      </w:pPr>
      <w:r>
        <w:separator/>
      </w:r>
    </w:p>
  </w:endnote>
  <w:endnote w:type="continuationSeparator" w:id="0">
    <w:p w14:paraId="37D9B7BF" w14:textId="77777777" w:rsidR="00E144E2" w:rsidRDefault="00E144E2" w:rsidP="0020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18B52" w14:textId="77777777" w:rsidR="00E144E2" w:rsidRDefault="00E144E2" w:rsidP="00206719">
      <w:pPr>
        <w:spacing w:after="0" w:line="240" w:lineRule="auto"/>
      </w:pPr>
      <w:r>
        <w:separator/>
      </w:r>
    </w:p>
  </w:footnote>
  <w:footnote w:type="continuationSeparator" w:id="0">
    <w:p w14:paraId="36CA8077" w14:textId="77777777" w:rsidR="00E144E2" w:rsidRDefault="00E144E2" w:rsidP="00206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54E32" w14:textId="77777777" w:rsidR="00E35B03" w:rsidRDefault="00E35B03" w:rsidP="00E35B03">
    <w:pPr>
      <w:pStyle w:val="Antrats"/>
      <w:jc w:val="right"/>
      <w:rPr>
        <w:rFonts w:ascii="Arial" w:hAnsi="Arial" w:cs="Arial"/>
      </w:rPr>
    </w:pPr>
    <w:r w:rsidRPr="00E35B03">
      <w:rPr>
        <w:rFonts w:ascii="Arial" w:hAnsi="Arial" w:cs="Arial"/>
      </w:rPr>
      <w:t xml:space="preserve">Skelbiamos apklausos Specialiųjų sąlygų </w:t>
    </w:r>
  </w:p>
  <w:p w14:paraId="047DA8EB" w14:textId="5012BACE" w:rsidR="00206719" w:rsidRPr="00E35B03" w:rsidRDefault="00E35B03" w:rsidP="00E35B03">
    <w:pPr>
      <w:pStyle w:val="Antrats"/>
      <w:jc w:val="right"/>
      <w:rPr>
        <w:rFonts w:ascii="Arial" w:hAnsi="Arial" w:cs="Arial"/>
      </w:rPr>
    </w:pPr>
    <w:r>
      <w:rPr>
        <w:rFonts w:ascii="Arial" w:hAnsi="Arial" w:cs="Arial"/>
      </w:rPr>
      <w:t>1</w:t>
    </w:r>
    <w:r w:rsidRPr="00E35B03">
      <w:rPr>
        <w:rFonts w:ascii="Arial" w:hAnsi="Arial" w:cs="Arial"/>
      </w:rPr>
      <w:t xml:space="preserve"> priedas „</w:t>
    </w:r>
    <w:r>
      <w:rPr>
        <w:rFonts w:ascii="Arial" w:hAnsi="Arial" w:cs="Arial"/>
      </w:rPr>
      <w:t>Techninė specifikacija</w:t>
    </w:r>
    <w:r w:rsidRPr="00E35B03">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D03DE"/>
    <w:multiLevelType w:val="multilevel"/>
    <w:tmpl w:val="02FE1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9F3200"/>
    <w:multiLevelType w:val="multilevel"/>
    <w:tmpl w:val="70FC0558"/>
    <w:lvl w:ilvl="0">
      <w:start w:val="3"/>
      <w:numFmt w:val="decimal"/>
      <w:lvlText w:val="%1"/>
      <w:lvlJc w:val="left"/>
      <w:pPr>
        <w:ind w:left="480" w:hanging="480"/>
      </w:pPr>
      <w:rPr>
        <w:rFonts w:hint="default"/>
        <w:sz w:val="23"/>
      </w:rPr>
    </w:lvl>
    <w:lvl w:ilvl="1">
      <w:start w:val="2"/>
      <w:numFmt w:val="decimal"/>
      <w:lvlText w:val="%1.%2"/>
      <w:lvlJc w:val="left"/>
      <w:pPr>
        <w:ind w:left="660" w:hanging="480"/>
      </w:pPr>
      <w:rPr>
        <w:rFonts w:hint="default"/>
        <w:sz w:val="23"/>
      </w:rPr>
    </w:lvl>
    <w:lvl w:ilvl="2">
      <w:start w:val="1"/>
      <w:numFmt w:val="decimal"/>
      <w:lvlText w:val="%1.%2.%3"/>
      <w:lvlJc w:val="left"/>
      <w:pPr>
        <w:ind w:left="1080" w:hanging="720"/>
      </w:pPr>
      <w:rPr>
        <w:rFonts w:hint="default"/>
        <w:sz w:val="23"/>
      </w:rPr>
    </w:lvl>
    <w:lvl w:ilvl="3">
      <w:start w:val="1"/>
      <w:numFmt w:val="decimal"/>
      <w:lvlText w:val="%1.%2.%3.%4"/>
      <w:lvlJc w:val="left"/>
      <w:pPr>
        <w:ind w:left="1260" w:hanging="720"/>
      </w:pPr>
      <w:rPr>
        <w:rFonts w:hint="default"/>
        <w:sz w:val="23"/>
      </w:rPr>
    </w:lvl>
    <w:lvl w:ilvl="4">
      <w:start w:val="1"/>
      <w:numFmt w:val="decimal"/>
      <w:lvlText w:val="%1.%2.%3.%4.%5"/>
      <w:lvlJc w:val="left"/>
      <w:pPr>
        <w:ind w:left="1800" w:hanging="1080"/>
      </w:pPr>
      <w:rPr>
        <w:rFonts w:hint="default"/>
        <w:sz w:val="23"/>
      </w:rPr>
    </w:lvl>
    <w:lvl w:ilvl="5">
      <w:start w:val="1"/>
      <w:numFmt w:val="decimal"/>
      <w:lvlText w:val="%1.%2.%3.%4.%5.%6"/>
      <w:lvlJc w:val="left"/>
      <w:pPr>
        <w:ind w:left="1980" w:hanging="1080"/>
      </w:pPr>
      <w:rPr>
        <w:rFonts w:hint="default"/>
        <w:sz w:val="23"/>
      </w:rPr>
    </w:lvl>
    <w:lvl w:ilvl="6">
      <w:start w:val="1"/>
      <w:numFmt w:val="decimal"/>
      <w:lvlText w:val="%1.%2.%3.%4.%5.%6.%7"/>
      <w:lvlJc w:val="left"/>
      <w:pPr>
        <w:ind w:left="2520" w:hanging="1440"/>
      </w:pPr>
      <w:rPr>
        <w:rFonts w:hint="default"/>
        <w:sz w:val="23"/>
      </w:rPr>
    </w:lvl>
    <w:lvl w:ilvl="7">
      <w:start w:val="1"/>
      <w:numFmt w:val="decimal"/>
      <w:lvlText w:val="%1.%2.%3.%4.%5.%6.%7.%8"/>
      <w:lvlJc w:val="left"/>
      <w:pPr>
        <w:ind w:left="2700" w:hanging="1440"/>
      </w:pPr>
      <w:rPr>
        <w:rFonts w:hint="default"/>
        <w:sz w:val="23"/>
      </w:rPr>
    </w:lvl>
    <w:lvl w:ilvl="8">
      <w:start w:val="1"/>
      <w:numFmt w:val="decimal"/>
      <w:lvlText w:val="%1.%2.%3.%4.%5.%6.%7.%8.%9"/>
      <w:lvlJc w:val="left"/>
      <w:pPr>
        <w:ind w:left="3240" w:hanging="1800"/>
      </w:pPr>
      <w:rPr>
        <w:rFonts w:hint="default"/>
        <w:sz w:val="23"/>
      </w:rPr>
    </w:lvl>
  </w:abstractNum>
  <w:abstractNum w:abstractNumId="2" w15:restartNumberingAfterBreak="0">
    <w:nsid w:val="6C082E8E"/>
    <w:multiLevelType w:val="multilevel"/>
    <w:tmpl w:val="02FE1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DF507B"/>
    <w:multiLevelType w:val="multilevel"/>
    <w:tmpl w:val="711CB5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6243478">
    <w:abstractNumId w:val="3"/>
  </w:num>
  <w:num w:numId="2" w16cid:durableId="949319102">
    <w:abstractNumId w:val="0"/>
  </w:num>
  <w:num w:numId="3" w16cid:durableId="284504822">
    <w:abstractNumId w:val="2"/>
  </w:num>
  <w:num w:numId="4" w16cid:durableId="1852526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56"/>
    <w:rsid w:val="00025A6C"/>
    <w:rsid w:val="00027E5E"/>
    <w:rsid w:val="00055C2D"/>
    <w:rsid w:val="0008554E"/>
    <w:rsid w:val="000A4B10"/>
    <w:rsid w:val="000C085E"/>
    <w:rsid w:val="000E14E5"/>
    <w:rsid w:val="000E7C55"/>
    <w:rsid w:val="000F0FAE"/>
    <w:rsid w:val="000F259B"/>
    <w:rsid w:val="000F32DC"/>
    <w:rsid w:val="001427EC"/>
    <w:rsid w:val="00173A77"/>
    <w:rsid w:val="0019047F"/>
    <w:rsid w:val="001B0788"/>
    <w:rsid w:val="001B215E"/>
    <w:rsid w:val="001C031C"/>
    <w:rsid w:val="001E0B0F"/>
    <w:rsid w:val="001E307C"/>
    <w:rsid w:val="00206719"/>
    <w:rsid w:val="0022586D"/>
    <w:rsid w:val="002347EC"/>
    <w:rsid w:val="00271861"/>
    <w:rsid w:val="00272B7C"/>
    <w:rsid w:val="0027740E"/>
    <w:rsid w:val="0028170D"/>
    <w:rsid w:val="00293C82"/>
    <w:rsid w:val="002B015B"/>
    <w:rsid w:val="002F2255"/>
    <w:rsid w:val="002F6E20"/>
    <w:rsid w:val="003029F3"/>
    <w:rsid w:val="0030494B"/>
    <w:rsid w:val="0031663A"/>
    <w:rsid w:val="00332387"/>
    <w:rsid w:val="003424DF"/>
    <w:rsid w:val="00352AA5"/>
    <w:rsid w:val="003546CA"/>
    <w:rsid w:val="00367CD9"/>
    <w:rsid w:val="003A4534"/>
    <w:rsid w:val="003E120F"/>
    <w:rsid w:val="003E6BA3"/>
    <w:rsid w:val="003F1F41"/>
    <w:rsid w:val="00434317"/>
    <w:rsid w:val="00435BA6"/>
    <w:rsid w:val="00436CBC"/>
    <w:rsid w:val="00436E05"/>
    <w:rsid w:val="00461822"/>
    <w:rsid w:val="0047059F"/>
    <w:rsid w:val="00475EA1"/>
    <w:rsid w:val="004A30E3"/>
    <w:rsid w:val="004C54D4"/>
    <w:rsid w:val="004C743D"/>
    <w:rsid w:val="004D09DF"/>
    <w:rsid w:val="004D16E1"/>
    <w:rsid w:val="004E258C"/>
    <w:rsid w:val="004E401A"/>
    <w:rsid w:val="005034C0"/>
    <w:rsid w:val="005558E7"/>
    <w:rsid w:val="00560D59"/>
    <w:rsid w:val="005B04EA"/>
    <w:rsid w:val="005D0F76"/>
    <w:rsid w:val="005E1ADA"/>
    <w:rsid w:val="0060444C"/>
    <w:rsid w:val="00622B81"/>
    <w:rsid w:val="0062396A"/>
    <w:rsid w:val="006D6FA7"/>
    <w:rsid w:val="0070437D"/>
    <w:rsid w:val="00726956"/>
    <w:rsid w:val="00726EF2"/>
    <w:rsid w:val="007318F6"/>
    <w:rsid w:val="00733DCA"/>
    <w:rsid w:val="00735E5C"/>
    <w:rsid w:val="00772D62"/>
    <w:rsid w:val="00790EE0"/>
    <w:rsid w:val="0079340B"/>
    <w:rsid w:val="007A3587"/>
    <w:rsid w:val="007E0900"/>
    <w:rsid w:val="007E24D9"/>
    <w:rsid w:val="0081002B"/>
    <w:rsid w:val="00826487"/>
    <w:rsid w:val="00845829"/>
    <w:rsid w:val="0087645B"/>
    <w:rsid w:val="0088547C"/>
    <w:rsid w:val="00895EB8"/>
    <w:rsid w:val="008C6B3E"/>
    <w:rsid w:val="008F1EE7"/>
    <w:rsid w:val="009069FC"/>
    <w:rsid w:val="00911F1A"/>
    <w:rsid w:val="0091386B"/>
    <w:rsid w:val="009157AA"/>
    <w:rsid w:val="00944167"/>
    <w:rsid w:val="00951CFC"/>
    <w:rsid w:val="00954B8E"/>
    <w:rsid w:val="009566BD"/>
    <w:rsid w:val="009A7701"/>
    <w:rsid w:val="009E26F5"/>
    <w:rsid w:val="009E5234"/>
    <w:rsid w:val="009E6855"/>
    <w:rsid w:val="009F299E"/>
    <w:rsid w:val="00A04B1A"/>
    <w:rsid w:val="00A22EAB"/>
    <w:rsid w:val="00A36420"/>
    <w:rsid w:val="00A41478"/>
    <w:rsid w:val="00A41F86"/>
    <w:rsid w:val="00A84E86"/>
    <w:rsid w:val="00A95366"/>
    <w:rsid w:val="00AB0921"/>
    <w:rsid w:val="00AB25F7"/>
    <w:rsid w:val="00AC49EB"/>
    <w:rsid w:val="00AC7F02"/>
    <w:rsid w:val="00AE3570"/>
    <w:rsid w:val="00AE4E9A"/>
    <w:rsid w:val="00AF3135"/>
    <w:rsid w:val="00AF5869"/>
    <w:rsid w:val="00B02D5B"/>
    <w:rsid w:val="00B204AB"/>
    <w:rsid w:val="00B34B0D"/>
    <w:rsid w:val="00B351A6"/>
    <w:rsid w:val="00B37E83"/>
    <w:rsid w:val="00B57F45"/>
    <w:rsid w:val="00B743CE"/>
    <w:rsid w:val="00B8355C"/>
    <w:rsid w:val="00B91656"/>
    <w:rsid w:val="00BA49BF"/>
    <w:rsid w:val="00BC00BB"/>
    <w:rsid w:val="00BD140D"/>
    <w:rsid w:val="00BF0784"/>
    <w:rsid w:val="00C06323"/>
    <w:rsid w:val="00C13F36"/>
    <w:rsid w:val="00C202E1"/>
    <w:rsid w:val="00C22C51"/>
    <w:rsid w:val="00C36DF7"/>
    <w:rsid w:val="00C515DB"/>
    <w:rsid w:val="00C82682"/>
    <w:rsid w:val="00CA19D5"/>
    <w:rsid w:val="00CB28F4"/>
    <w:rsid w:val="00CB5CB1"/>
    <w:rsid w:val="00CC21F4"/>
    <w:rsid w:val="00CE0BCA"/>
    <w:rsid w:val="00CE6C3F"/>
    <w:rsid w:val="00D01B60"/>
    <w:rsid w:val="00D042B0"/>
    <w:rsid w:val="00D17050"/>
    <w:rsid w:val="00D30A50"/>
    <w:rsid w:val="00D51295"/>
    <w:rsid w:val="00D60D33"/>
    <w:rsid w:val="00D62B65"/>
    <w:rsid w:val="00D65227"/>
    <w:rsid w:val="00D720A5"/>
    <w:rsid w:val="00D83DE3"/>
    <w:rsid w:val="00D85208"/>
    <w:rsid w:val="00D873C0"/>
    <w:rsid w:val="00D92AFA"/>
    <w:rsid w:val="00D9349E"/>
    <w:rsid w:val="00DD1329"/>
    <w:rsid w:val="00DD1F3B"/>
    <w:rsid w:val="00DE1715"/>
    <w:rsid w:val="00DF0243"/>
    <w:rsid w:val="00DF7F9E"/>
    <w:rsid w:val="00E06A6C"/>
    <w:rsid w:val="00E1324C"/>
    <w:rsid w:val="00E144E2"/>
    <w:rsid w:val="00E35B03"/>
    <w:rsid w:val="00E434F0"/>
    <w:rsid w:val="00E718B3"/>
    <w:rsid w:val="00E77F0A"/>
    <w:rsid w:val="00E96810"/>
    <w:rsid w:val="00EC035C"/>
    <w:rsid w:val="00F147AB"/>
    <w:rsid w:val="00F169E4"/>
    <w:rsid w:val="00F21A8F"/>
    <w:rsid w:val="00F549EF"/>
    <w:rsid w:val="00F643DB"/>
    <w:rsid w:val="00F82697"/>
    <w:rsid w:val="00FC0269"/>
    <w:rsid w:val="00FE1110"/>
    <w:rsid w:val="00FE1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C6AA"/>
  <w15:chartTrackingRefBased/>
  <w15:docId w15:val="{1568C8A1-5576-44E0-80EE-820B4732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1656"/>
    <w:pPr>
      <w:ind w:left="720"/>
      <w:contextualSpacing/>
    </w:pPr>
  </w:style>
  <w:style w:type="table" w:styleId="Lentelstinklelis">
    <w:name w:val="Table Grid"/>
    <w:basedOn w:val="prastojilentel"/>
    <w:uiPriority w:val="39"/>
    <w:rsid w:val="00B91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E6C3F"/>
    <w:pPr>
      <w:spacing w:after="0" w:line="240" w:lineRule="auto"/>
    </w:pPr>
  </w:style>
  <w:style w:type="character" w:styleId="Komentaronuoroda">
    <w:name w:val="annotation reference"/>
    <w:basedOn w:val="Numatytasispastraiposriftas"/>
    <w:uiPriority w:val="99"/>
    <w:semiHidden/>
    <w:unhideWhenUsed/>
    <w:rsid w:val="005B04EA"/>
    <w:rPr>
      <w:sz w:val="16"/>
      <w:szCs w:val="16"/>
    </w:rPr>
  </w:style>
  <w:style w:type="paragraph" w:styleId="Komentarotekstas">
    <w:name w:val="annotation text"/>
    <w:basedOn w:val="prastasis"/>
    <w:link w:val="KomentarotekstasDiagrama"/>
    <w:uiPriority w:val="99"/>
    <w:unhideWhenUsed/>
    <w:rsid w:val="005B04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04EA"/>
    <w:rPr>
      <w:sz w:val="20"/>
      <w:szCs w:val="20"/>
    </w:rPr>
  </w:style>
  <w:style w:type="paragraph" w:styleId="Komentarotema">
    <w:name w:val="annotation subject"/>
    <w:basedOn w:val="Komentarotekstas"/>
    <w:next w:val="Komentarotekstas"/>
    <w:link w:val="KomentarotemaDiagrama"/>
    <w:uiPriority w:val="99"/>
    <w:semiHidden/>
    <w:unhideWhenUsed/>
    <w:rsid w:val="005B04EA"/>
    <w:rPr>
      <w:b/>
      <w:bCs/>
    </w:rPr>
  </w:style>
  <w:style w:type="character" w:customStyle="1" w:styleId="KomentarotemaDiagrama">
    <w:name w:val="Komentaro tema Diagrama"/>
    <w:basedOn w:val="KomentarotekstasDiagrama"/>
    <w:link w:val="Komentarotema"/>
    <w:uiPriority w:val="99"/>
    <w:semiHidden/>
    <w:rsid w:val="005B04EA"/>
    <w:rPr>
      <w:b/>
      <w:bCs/>
      <w:sz w:val="20"/>
      <w:szCs w:val="20"/>
    </w:rPr>
  </w:style>
  <w:style w:type="paragraph" w:styleId="Antrats">
    <w:name w:val="header"/>
    <w:basedOn w:val="prastasis"/>
    <w:link w:val="AntratsDiagrama"/>
    <w:uiPriority w:val="99"/>
    <w:unhideWhenUsed/>
    <w:rsid w:val="002067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6719"/>
  </w:style>
  <w:style w:type="paragraph" w:styleId="Porat">
    <w:name w:val="footer"/>
    <w:basedOn w:val="prastasis"/>
    <w:link w:val="PoratDiagrama"/>
    <w:uiPriority w:val="99"/>
    <w:unhideWhenUsed/>
    <w:rsid w:val="002067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4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3039</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dc:creator>
  <cp:keywords/>
  <dc:description/>
  <cp:lastModifiedBy>Inga Žilinskaitė | VMU</cp:lastModifiedBy>
  <cp:revision>69</cp:revision>
  <dcterms:created xsi:type="dcterms:W3CDTF">2024-12-03T09:37:00Z</dcterms:created>
  <dcterms:modified xsi:type="dcterms:W3CDTF">2024-12-05T09:17:00Z</dcterms:modified>
</cp:coreProperties>
</file>