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grindinistekstas1"/>
        <w:tabs>
          <w:tab w:val="clear" w:pos="1296"/>
          <w:tab w:val="left" w:pos="3119" w:leader="none"/>
        </w:tabs>
        <w:spacing w:lineRule="auto" w:line="276"/>
        <w:ind w:firstLine="720"/>
        <w:jc w:val="center"/>
        <w:rPr>
          <w:color w:val="auto"/>
          <w:sz w:val="24"/>
          <w:szCs w:val="24"/>
        </w:rPr>
      </w:pPr>
      <w:r>
        <w:rPr>
          <w:color w:val="auto"/>
          <w:sz w:val="24"/>
          <w:szCs w:val="24"/>
        </w:rPr>
      </w:r>
    </w:p>
    <w:tbl>
      <w:tblPr>
        <w:tblStyle w:val="Lentelstinklelis2"/>
        <w:tblW w:w="5000" w:type="pct"/>
        <w:jc w:val="left"/>
        <w:tblInd w:w="-147" w:type="dxa"/>
        <w:tblLayout w:type="fixed"/>
        <w:tblCellMar>
          <w:top w:w="0" w:type="dxa"/>
          <w:left w:w="108" w:type="dxa"/>
          <w:bottom w:w="0" w:type="dxa"/>
          <w:right w:w="108" w:type="dxa"/>
        </w:tblCellMar>
        <w:tblLook w:firstRow="1" w:noVBand="1" w:lastRow="0" w:firstColumn="1" w:lastColumn="0" w:noHBand="0" w:val="04a0"/>
      </w:tblPr>
      <w:tblGrid>
        <w:gridCol w:w="3289"/>
        <w:gridCol w:w="6631"/>
      </w:tblGrid>
      <w:tr>
        <w:trPr/>
        <w:tc>
          <w:tcPr>
            <w:tcW w:w="3289" w:type="dxa"/>
            <w:tcBorders>
              <w:top w:val="single" w:sz="4" w:space="0" w:color="4F81BD"/>
              <w:left w:val="single" w:sz="4" w:space="0" w:color="4F81BD"/>
              <w:bottom w:val="single" w:sz="4" w:space="0" w:color="4F81BD"/>
              <w:right w:val="single" w:sz="4" w:space="0" w:color="4F81BD"/>
            </w:tcBorders>
            <w:shd w:color="auto" w:fill="FFFFCC" w:val="clear"/>
            <w:vAlign w:val="center"/>
          </w:tcPr>
          <w:p>
            <w:pPr>
              <w:pStyle w:val="Normal"/>
              <w:widowControl/>
              <w:suppressAutoHyphens w:val="true"/>
              <w:spacing w:before="0" w:after="200"/>
              <w:jc w:val="both"/>
              <w:rPr>
                <w:rFonts w:cs="" w:asciiTheme="majorBidi" w:cstheme="majorBidi" w:hAnsiTheme="majorBidi"/>
                <w:b/>
                <w:i/>
                <w:i/>
                <w:sz w:val="24"/>
                <w:szCs w:val="24"/>
              </w:rPr>
            </w:pPr>
            <w:r>
              <w:rPr>
                <w:rFonts w:eastAsia="Calibri" w:cs="" w:asciiTheme="majorBidi" w:cstheme="majorBidi" w:hAnsiTheme="majorBidi"/>
                <w:b/>
                <w:color w:val="548DD4"/>
                <w:kern w:val="0"/>
                <w:sz w:val="24"/>
                <w:szCs w:val="24"/>
                <w:lang w:val="en-US" w:eastAsia="en-US" w:bidi="ar-SA"/>
              </w:rPr>
              <w:t>RINKOS DALYVIŲ KONSULTACIJA</w:t>
            </w:r>
          </w:p>
        </w:tc>
        <w:tc>
          <w:tcPr>
            <w:tcW w:w="663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lineRule="auto" w:line="240" w:before="0" w:after="0"/>
              <w:jc w:val="center"/>
              <w:rPr>
                <w:rFonts w:ascii="Times New Roman" w:hAnsi="Times New Roman"/>
                <w:sz w:val="24"/>
                <w:szCs w:val="24"/>
                <w:lang w:val="lt-LT"/>
              </w:rPr>
            </w:pPr>
            <w:r>
              <w:rPr>
                <w:rFonts w:ascii="Times New Roman" w:hAnsi="Times New Roman"/>
                <w:sz w:val="24"/>
                <w:szCs w:val="24"/>
                <w:lang w:val="lt-LT"/>
              </w:rPr>
              <w:t>PINREG VYSTYMO PASLAUGOS</w:t>
            </w:r>
          </w:p>
        </w:tc>
      </w:tr>
    </w:tbl>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p>
      <w:pPr>
        <w:pStyle w:val="Normal"/>
        <w:keepNext w:val="true"/>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clear" w:pos="1296"/>
          <w:tab w:val="left" w:pos="567" w:leader="none"/>
        </w:tabs>
        <w:spacing w:lineRule="auto" w:line="240" w:before="60" w:after="60"/>
        <w:ind w:firstLine="142"/>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 xml:space="preserve">BENDROJI INFORMACIJA </w:t>
      </w:r>
    </w:p>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tbl>
      <w:tblPr>
        <w:tblStyle w:val="Lentelstinklelis3"/>
        <w:tblW w:w="5000" w:type="pct"/>
        <w:jc w:val="left"/>
        <w:tblInd w:w="-147" w:type="dxa"/>
        <w:tblLayout w:type="fixed"/>
        <w:tblCellMar>
          <w:top w:w="0" w:type="dxa"/>
          <w:left w:w="108" w:type="dxa"/>
          <w:bottom w:w="0" w:type="dxa"/>
          <w:right w:w="108" w:type="dxa"/>
        </w:tblCellMar>
        <w:tblLook w:firstRow="1" w:noVBand="1" w:lastRow="0" w:firstColumn="1" w:lastColumn="0" w:noHBand="0" w:val="04a0"/>
      </w:tblPr>
      <w:tblGrid>
        <w:gridCol w:w="870"/>
        <w:gridCol w:w="4140"/>
        <w:gridCol w:w="4911"/>
      </w:tblGrid>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suppressAutoHyphens w:val="true"/>
              <w:spacing w:before="0" w:after="200"/>
              <w:jc w:val="both"/>
              <w:rPr>
                <w:rFonts w:ascii="Times New Roman" w:hAnsi="Times New Roman"/>
                <w:i/>
                <w:i/>
                <w:sz w:val="24"/>
                <w:szCs w:val="24"/>
              </w:rPr>
            </w:pPr>
            <w:r>
              <w:rPr>
                <w:rFonts w:eastAsia="Calibri" w:ascii="Times New Roman" w:hAnsi="Times New Roman"/>
                <w:kern w:val="0"/>
                <w:sz w:val="24"/>
                <w:szCs w:val="24"/>
                <w:lang w:val="en-US" w:eastAsia="en-US" w:bidi="ar-SA"/>
              </w:rPr>
              <w:t>Perkančioji organizacija:</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before="0" w:after="200"/>
              <w:jc w:val="both"/>
              <w:rPr>
                <w:rFonts w:ascii="Times New Roman" w:hAnsi="Times New Roman"/>
                <w:sz w:val="24"/>
                <w:szCs w:val="24"/>
                <w:lang w:val="lt-LT"/>
              </w:rPr>
            </w:pPr>
            <w:r>
              <w:rPr>
                <w:rFonts w:ascii="Times New Roman" w:hAnsi="Times New Roman"/>
                <w:sz w:val="24"/>
                <w:szCs w:val="24"/>
                <w:lang w:val="lt-LT"/>
              </w:rPr>
              <w:t>Vyriausioji tarnybinės etikos komisija</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suppressAutoHyphens w:val="true"/>
              <w:spacing w:before="0" w:after="200"/>
              <w:jc w:val="both"/>
              <w:rPr>
                <w:rFonts w:ascii="Times New Roman" w:hAnsi="Times New Roman"/>
                <w:i/>
                <w:i/>
                <w:sz w:val="24"/>
                <w:szCs w:val="24"/>
              </w:rPr>
            </w:pPr>
            <w:r>
              <w:rPr>
                <w:rFonts w:eastAsia="Calibri" w:ascii="Times New Roman" w:hAnsi="Times New Roman"/>
                <w:bCs/>
                <w:kern w:val="0"/>
                <w:sz w:val="24"/>
                <w:szCs w:val="24"/>
                <w:lang w:val="en-US" w:eastAsia="en-US" w:bidi="ar-SA"/>
              </w:rPr>
              <w:t>Įgaliotas asmuo palaikyti tiesioginį ryšį su tiekėjais, gauti iš jų (ne tarpininkų) pranešimus, susijusius su pirkimo procedūromis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before="0" w:after="200"/>
              <w:jc w:val="both"/>
              <w:rPr>
                <w:rFonts w:ascii="Times New Roman" w:hAnsi="Times New Roman"/>
                <w:iCs/>
                <w:sz w:val="24"/>
                <w:szCs w:val="24"/>
              </w:rPr>
            </w:pPr>
            <w:r>
              <w:rPr>
                <w:rFonts w:eastAsia="Calibri" w:ascii="Times New Roman" w:hAnsi="Times New Roman"/>
                <w:iCs/>
                <w:kern w:val="0"/>
                <w:sz w:val="24"/>
                <w:szCs w:val="24"/>
                <w:lang w:val="en-US" w:eastAsia="en-US" w:bidi="ar-SA"/>
              </w:rPr>
              <w:t>Darius Kaminskas, el. paštas Darius.Kminskas@</w:t>
            </w:r>
            <w:r>
              <w:rPr>
                <w:rFonts w:eastAsia="Calibri" w:ascii="Times New Roman" w:hAnsi="Times New Roman"/>
                <w:iCs/>
                <w:kern w:val="0"/>
                <w:sz w:val="24"/>
                <w:szCs w:val="24"/>
                <w:lang w:val="lt-LT" w:eastAsia="en-US" w:bidi="ar-SA"/>
              </w:rPr>
              <w:t>vtek</w:t>
            </w:r>
            <w:r>
              <w:rPr>
                <w:rFonts w:eastAsia="Calibri" w:ascii="Times New Roman" w:hAnsi="Times New Roman"/>
                <w:iCs/>
                <w:kern w:val="0"/>
                <w:sz w:val="24"/>
                <w:szCs w:val="24"/>
                <w:lang w:val="en-US" w:eastAsia="en-US" w:bidi="ar-SA"/>
              </w:rPr>
              <w:t>.lt</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suppressAutoHyphens w:val="true"/>
              <w:spacing w:before="0" w:after="200"/>
              <w:jc w:val="both"/>
              <w:rPr>
                <w:rFonts w:ascii="Times New Roman" w:hAnsi="Times New Roman"/>
                <w:i/>
                <w:i/>
                <w:sz w:val="24"/>
                <w:szCs w:val="24"/>
              </w:rPr>
            </w:pPr>
            <w:r>
              <w:rPr>
                <w:rFonts w:eastAsia="Calibri" w:ascii="Times New Roman" w:hAnsi="Times New Roman"/>
                <w:kern w:val="0"/>
                <w:sz w:val="24"/>
                <w:szCs w:val="24"/>
                <w:lang w:val="en-US" w:eastAsia="en-US" w:bidi="ar-SA"/>
              </w:rPr>
              <w:t>Pirkimo objekto rūšis: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before="0" w:after="200"/>
              <w:jc w:val="both"/>
              <w:rPr>
                <w:rFonts w:ascii="Times New Roman" w:hAnsi="Times New Roman"/>
                <w:iCs/>
                <w:sz w:val="24"/>
                <w:szCs w:val="24"/>
              </w:rPr>
            </w:pPr>
            <w:r>
              <w:rPr>
                <w:rFonts w:eastAsia="Calibri" w:ascii="Times New Roman" w:hAnsi="Times New Roman"/>
                <w:iCs/>
                <w:kern w:val="0"/>
                <w:sz w:val="24"/>
                <w:szCs w:val="24"/>
                <w:lang w:val="en-US" w:eastAsia="en-US" w:bidi="ar-SA"/>
              </w:rPr>
              <w:t>Paslaugos</w:t>
            </w:r>
          </w:p>
        </w:tc>
      </w:tr>
      <w:tr>
        <w:trPr>
          <w:trHeight w:val="817"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suppressAutoHyphens w:val="true"/>
              <w:spacing w:before="0" w:after="200"/>
              <w:jc w:val="both"/>
              <w:rPr>
                <w:rFonts w:ascii="Times New Roman" w:hAnsi="Times New Roman"/>
                <w:i/>
                <w:i/>
                <w:sz w:val="24"/>
                <w:szCs w:val="24"/>
              </w:rPr>
            </w:pPr>
            <w:r>
              <w:rPr>
                <w:rFonts w:eastAsia="Calibri" w:ascii="Times New Roman" w:hAnsi="Times New Roman"/>
                <w:kern w:val="0"/>
                <w:sz w:val="24"/>
                <w:szCs w:val="24"/>
                <w:lang w:val="en-US" w:eastAsia="en-US" w:bidi="ar-SA"/>
              </w:rPr>
              <w:t>Pirkimo objekto aprašymas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lineRule="auto" w:line="360" w:before="0" w:after="200"/>
              <w:jc w:val="both"/>
              <w:rPr>
                <w:rFonts w:ascii="Times New Roman" w:hAnsi="Times New Roman"/>
                <w:iCs/>
                <w:sz w:val="24"/>
                <w:szCs w:val="24"/>
              </w:rPr>
            </w:pPr>
            <w:r>
              <w:rPr>
                <w:rFonts w:eastAsia="Calibri" w:ascii="Times New Roman" w:hAnsi="Times New Roman"/>
                <w:iCs/>
                <w:kern w:val="0"/>
                <w:sz w:val="24"/>
                <w:szCs w:val="24"/>
                <w:lang w:val="en-US" w:eastAsia="en-US" w:bidi="ar-SA"/>
              </w:rPr>
              <w:t>Žr. pridedamus pirkimo dokumentus</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suppressAutoHyphens w:val="true"/>
              <w:spacing w:before="0" w:after="200"/>
              <w:jc w:val="both"/>
              <w:rPr>
                <w:rFonts w:ascii="Times New Roman" w:hAnsi="Times New Roman"/>
                <w:i/>
                <w:i/>
                <w:sz w:val="24"/>
                <w:szCs w:val="24"/>
              </w:rPr>
            </w:pPr>
            <w:r>
              <w:rPr>
                <w:rFonts w:eastAsia="Calibri" w:ascii="Times New Roman" w:hAnsi="Times New Roman"/>
                <w:kern w:val="0"/>
                <w:sz w:val="24"/>
                <w:szCs w:val="24"/>
                <w:lang w:val="en-US" w:eastAsia="en-US" w:bidi="ar-SA"/>
              </w:rPr>
              <w:t>Numatoma rengti susitikimą su tiekėjais: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before="0" w:after="200"/>
              <w:jc w:val="both"/>
              <w:rPr>
                <w:rFonts w:ascii="Times New Roman" w:hAnsi="Times New Roman"/>
                <w:iCs/>
                <w:sz w:val="24"/>
                <w:szCs w:val="24"/>
              </w:rPr>
            </w:pPr>
            <w:r>
              <w:rPr>
                <w:rFonts w:eastAsia="Calibri" w:ascii="Times New Roman" w:hAnsi="Times New Roman"/>
                <w:iCs/>
                <w:kern w:val="0"/>
                <w:sz w:val="24"/>
                <w:szCs w:val="24"/>
                <w:lang w:val="en-US" w:eastAsia="en-US" w:bidi="ar-SA"/>
              </w:rPr>
              <w:t>Nenumatoma</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suppressAutoHyphens w:val="true"/>
              <w:spacing w:before="0" w:after="200"/>
              <w:jc w:val="both"/>
              <w:rPr>
                <w:rFonts w:ascii="Times New Roman" w:hAnsi="Times New Roman"/>
                <w:i/>
                <w:i/>
                <w:sz w:val="24"/>
                <w:szCs w:val="24"/>
              </w:rPr>
            </w:pPr>
            <w:r>
              <w:rPr>
                <w:rFonts w:eastAsia="Calibri" w:ascii="Times New Roman" w:hAnsi="Times New Roman"/>
                <w:kern w:val="0"/>
                <w:sz w:val="24"/>
                <w:szCs w:val="24"/>
                <w:lang w:val="en-US" w:eastAsia="en-US" w:bidi="ar-SA"/>
              </w:rPr>
              <w:t>Pasiūlymų (atsakymų į klausimus, komentarų) pateikimo terminas: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tabs>
                <w:tab w:val="clear" w:pos="1296"/>
                <w:tab w:val="center" w:pos="2015" w:leader="none"/>
              </w:tabs>
              <w:suppressAutoHyphens w:val="true"/>
              <w:spacing w:before="0" w:after="200"/>
              <w:jc w:val="both"/>
              <w:rPr>
                <w:rFonts w:ascii="Times New Roman" w:hAnsi="Times New Roman"/>
                <w:bCs/>
                <w:iCs/>
                <w:sz w:val="24"/>
                <w:szCs w:val="24"/>
              </w:rPr>
            </w:pPr>
            <w:r>
              <w:rPr>
                <w:rFonts w:eastAsia="Calibri" w:ascii="Times New Roman" w:hAnsi="Times New Roman"/>
                <w:bCs/>
                <w:iCs/>
                <w:kern w:val="0"/>
                <w:sz w:val="24"/>
                <w:szCs w:val="24"/>
                <w:lang w:val="en-US" w:eastAsia="en-US" w:bidi="ar-SA"/>
              </w:rPr>
              <w:t>2025-0</w:t>
            </w:r>
            <w:r>
              <w:rPr>
                <w:rFonts w:eastAsia="Calibri" w:ascii="Times New Roman" w:hAnsi="Times New Roman"/>
                <w:bCs/>
                <w:iCs/>
                <w:kern w:val="0"/>
                <w:sz w:val="24"/>
                <w:szCs w:val="24"/>
                <w:lang w:val="lt-LT" w:eastAsia="en-US" w:bidi="ar-SA"/>
              </w:rPr>
              <w:t>6</w:t>
            </w:r>
            <w:r>
              <w:rPr>
                <w:rFonts w:eastAsia="Calibri" w:ascii="Times New Roman" w:hAnsi="Times New Roman"/>
                <w:bCs/>
                <w:iCs/>
                <w:kern w:val="0"/>
                <w:sz w:val="24"/>
                <w:szCs w:val="24"/>
                <w:lang w:val="en-US" w:eastAsia="en-US" w:bidi="ar-SA"/>
              </w:rPr>
              <w:t>-</w:t>
            </w:r>
            <w:r>
              <w:rPr>
                <w:rFonts w:eastAsia="Calibri" w:ascii="Times New Roman" w:hAnsi="Times New Roman"/>
                <w:bCs/>
                <w:iCs/>
                <w:kern w:val="0"/>
                <w:sz w:val="24"/>
                <w:szCs w:val="24"/>
                <w:lang w:val="lt-LT" w:eastAsia="en-US" w:bidi="ar-SA"/>
              </w:rPr>
              <w:t>2</w:t>
            </w:r>
            <w:r>
              <w:rPr>
                <w:rFonts w:eastAsia="Calibri" w:ascii="Times New Roman" w:hAnsi="Times New Roman"/>
                <w:bCs/>
                <w:iCs/>
                <w:kern w:val="0"/>
                <w:sz w:val="24"/>
                <w:szCs w:val="24"/>
                <w:lang w:val="lt-LT" w:eastAsia="en-US" w:bidi="ar-SA"/>
              </w:rPr>
              <w:t>0</w:t>
            </w:r>
            <w:r>
              <w:rPr>
                <w:rFonts w:eastAsia="Calibri" w:ascii="Times New Roman" w:hAnsi="Times New Roman"/>
                <w:bCs/>
                <w:iCs/>
                <w:kern w:val="0"/>
                <w:sz w:val="24"/>
                <w:szCs w:val="24"/>
                <w:lang w:val="lt-LT" w:eastAsia="en-US" w:bidi="ar-SA"/>
              </w:rPr>
              <w:t xml:space="preserve"> </w:t>
            </w:r>
            <w:r>
              <w:rPr>
                <w:rFonts w:eastAsia="Calibri" w:ascii="Times New Roman" w:hAnsi="Times New Roman"/>
                <w:bCs/>
                <w:iCs/>
                <w:kern w:val="0"/>
                <w:sz w:val="24"/>
                <w:szCs w:val="24"/>
                <w:lang w:val="lt-LT" w:eastAsia="en-US" w:bidi="ar-SA"/>
              </w:rPr>
              <w:t>9</w:t>
            </w:r>
            <w:r>
              <w:rPr>
                <w:rFonts w:eastAsia="Calibri" w:ascii="Times New Roman" w:hAnsi="Times New Roman"/>
                <w:bCs/>
                <w:iCs/>
                <w:kern w:val="0"/>
                <w:sz w:val="24"/>
                <w:szCs w:val="24"/>
                <w:lang w:val="lt-LT" w:eastAsia="en-US" w:bidi="ar-SA"/>
              </w:rPr>
              <w:t>.00 val.</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suppressAutoHyphens w:val="true"/>
              <w:spacing w:before="0" w:after="200"/>
              <w:jc w:val="both"/>
              <w:rPr>
                <w:rFonts w:ascii="Times New Roman" w:hAnsi="Times New Roman"/>
                <w:i/>
                <w:i/>
                <w:sz w:val="24"/>
                <w:szCs w:val="24"/>
              </w:rPr>
            </w:pPr>
            <w:r>
              <w:rPr>
                <w:rFonts w:eastAsia="Calibri" w:ascii="Times New Roman" w:hAnsi="Times New Roman"/>
                <w:kern w:val="0"/>
                <w:sz w:val="24"/>
                <w:szCs w:val="24"/>
                <w:lang w:val="en-US" w:eastAsia="en-US" w:bidi="ar-SA"/>
              </w:rPr>
              <w:t>Kitos sąlygos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tabs>
                <w:tab w:val="clear" w:pos="1296"/>
                <w:tab w:val="center" w:pos="2015" w:leader="none"/>
              </w:tabs>
              <w:suppressAutoHyphens w:val="true"/>
              <w:spacing w:before="0" w:after="200"/>
              <w:jc w:val="both"/>
              <w:rPr>
                <w:rFonts w:ascii="Times New Roman" w:hAnsi="Times New Roman"/>
                <w:bCs/>
                <w:iCs/>
                <w:sz w:val="24"/>
                <w:szCs w:val="24"/>
              </w:rPr>
            </w:pPr>
            <w:r>
              <w:rPr>
                <w:rFonts w:eastAsia="Calibri" w:ascii="Times New Roman" w:hAnsi="Times New Roman"/>
                <w:bCs/>
                <w:iCs/>
                <w:kern w:val="0"/>
                <w:sz w:val="24"/>
                <w:szCs w:val="24"/>
                <w:lang w:val="en-US" w:eastAsia="en-US" w:bidi="ar-SA"/>
              </w:rPr>
              <w:t>Nėra</w:t>
            </w:r>
          </w:p>
        </w:tc>
      </w:tr>
    </w:tbl>
    <w:p>
      <w:pPr>
        <w:pStyle w:val="Normal"/>
        <w:spacing w:lineRule="auto" w:line="120" w:before="60" w:after="60"/>
        <w:jc w:val="both"/>
        <w:rPr>
          <w:rFonts w:ascii="Times New Roman" w:hAnsi="Times New Roman" w:eastAsia="Times New Roman"/>
          <w:i/>
          <w:i/>
          <w:sz w:val="24"/>
          <w:szCs w:val="24"/>
        </w:rPr>
      </w:pPr>
      <w:r>
        <w:rPr>
          <w:rFonts w:eastAsia="Times New Roman" w:ascii="Times New Roman" w:hAnsi="Times New Roman"/>
          <w:i/>
          <w:sz w:val="24"/>
          <w:szCs w:val="24"/>
        </w:rPr>
      </w:r>
    </w:p>
    <w:p>
      <w:pPr>
        <w:pStyle w:val="Normal"/>
        <w:keepNext w:val="true"/>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clear" w:pos="1296"/>
          <w:tab w:val="left" w:pos="426" w:leader="none"/>
        </w:tabs>
        <w:spacing w:lineRule="auto" w:line="240" w:before="60" w:after="60"/>
        <w:ind w:hanging="0"/>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KVIETIMAS DALYVAUTI RINKOS DALYVIŲ KONSULTACIJOJE</w:t>
      </w:r>
    </w:p>
    <w:p>
      <w:pPr>
        <w:pStyle w:val="Normal"/>
        <w:spacing w:lineRule="auto" w:line="240" w:before="0" w:after="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567"/>
        <w:jc w:val="both"/>
        <w:rPr>
          <w:rFonts w:ascii="Times New Roman" w:hAnsi="Times New Roman" w:eastAsia="Arial"/>
          <w:i/>
          <w:i/>
          <w:color w:themeColor="text1" w:val="000000"/>
          <w:sz w:val="24"/>
          <w:szCs w:val="24"/>
          <w:lang w:eastAsia="ja-JP"/>
        </w:rPr>
      </w:pPr>
      <w:r>
        <w:rPr>
          <w:rFonts w:eastAsia="Arial" w:ascii="Times New Roman"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Pr>
          <w:rFonts w:eastAsia="Arial" w:ascii="Times New Roman" w:hAnsi="Times New Roman"/>
          <w:color w:themeColor="text1" w:val="000000"/>
          <w:sz w:val="24"/>
          <w:szCs w:val="24"/>
          <w:lang w:eastAsia="ja-JP"/>
        </w:rPr>
        <w:t xml:space="preserve">Lietuvos Respublikos viešųjų pirkimų įstatymo 27 straipsniu, prašo tiekėjus pateikti atsakymus į žemiau lentelėje pateiktus klausimus, savo siūlymus ir rekomendacijas. </w:t>
      </w:r>
    </w:p>
    <w:p>
      <w:pPr>
        <w:pStyle w:val="Normal"/>
        <w:spacing w:lineRule="auto" w:line="288" w:before="0" w:after="0"/>
        <w:ind w:firstLine="567"/>
        <w:jc w:val="both"/>
        <w:rPr>
          <w:rFonts w:ascii="Times New Roman" w:hAnsi="Times New Roman" w:eastAsia="Arial"/>
          <w:i/>
          <w:i/>
          <w:color w:themeColor="text1" w:val="000000"/>
          <w:sz w:val="24"/>
          <w:szCs w:val="24"/>
          <w:lang w:eastAsia="ja-JP"/>
        </w:rPr>
      </w:pPr>
      <w:r>
        <w:rPr>
          <w:rFonts w:eastAsia="Arial" w:ascii="Times New Roman" w:hAnsi="Times New Roman"/>
          <w:color w:themeColor="text1" w:val="000000"/>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pPr>
        <w:pStyle w:val="Normal"/>
        <w:spacing w:lineRule="auto" w:line="288" w:before="0" w:after="0"/>
        <w:ind w:firstLine="567"/>
        <w:jc w:val="both"/>
        <w:rPr>
          <w:rFonts w:ascii="Times New Roman" w:hAnsi="Times New Roman" w:eastAsia="Arial"/>
          <w:b/>
          <w:color w:val="000000"/>
          <w:sz w:val="24"/>
          <w:szCs w:val="24"/>
          <w:lang w:eastAsia="ja-JP"/>
        </w:rPr>
      </w:pPr>
      <w:r>
        <w:rPr>
          <w:rFonts w:eastAsia="Arial" w:ascii="Times New Roman" w:hAnsi="Times New Roman"/>
          <w:b/>
          <w:color w:val="000000"/>
          <w:sz w:val="24"/>
          <w:szCs w:val="24"/>
          <w:lang w:eastAsia="ja-JP"/>
        </w:rPr>
      </w:r>
    </w:p>
    <w:p>
      <w:pPr>
        <w:pStyle w:val="Normal"/>
        <w:spacing w:lineRule="auto" w:line="288" w:before="0" w:after="0"/>
        <w:ind w:firstLine="567"/>
        <w:jc w:val="both"/>
        <w:rPr>
          <w:rFonts w:ascii="Times New Roman" w:hAnsi="Times New Roman" w:eastAsia="Arial"/>
          <w:i/>
          <w:i/>
          <w:color w:val="000000"/>
          <w:sz w:val="24"/>
          <w:szCs w:val="24"/>
          <w:lang w:eastAsia="ja-JP"/>
        </w:rPr>
      </w:pPr>
      <w:r>
        <w:rPr>
          <w:rFonts w:eastAsia="Arial" w:ascii="Times New Roman" w:hAnsi="Times New Roman"/>
          <w:b/>
          <w:color w:val="000000"/>
          <w:sz w:val="24"/>
          <w:szCs w:val="24"/>
          <w:lang w:eastAsia="ja-JP"/>
        </w:rPr>
        <w:t>Atsakymus į perkančiosios organizacijos klausimus prašome pateikti užpildant žemiau pateiktos formos lentelę:</w:t>
      </w:r>
    </w:p>
    <w:p>
      <w:pPr>
        <w:pStyle w:val="Normal"/>
        <w:spacing w:lineRule="auto" w:line="288" w:before="0" w:after="0"/>
        <w:ind w:firstLine="720"/>
        <w:jc w:val="both"/>
        <w:rPr>
          <w:rFonts w:ascii="Times New Roman" w:hAnsi="Times New Roman" w:eastAsia="Arial"/>
          <w:color w:val="000000"/>
          <w:sz w:val="24"/>
          <w:szCs w:val="24"/>
          <w:lang w:eastAsia="ja-JP"/>
        </w:rPr>
      </w:pPr>
      <w:r>
        <w:rPr>
          <w:rFonts w:eastAsia="Arial" w:ascii="Times New Roman" w:hAnsi="Times New Roman"/>
          <w:color w:val="000000"/>
          <w:sz w:val="24"/>
          <w:szCs w:val="24"/>
          <w:lang w:eastAsia="ja-JP"/>
        </w:rPr>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Lentelė Nr. 1. Klausimai rinkos dalyviams</w:t>
      </w:r>
    </w:p>
    <w:tbl>
      <w:tblPr>
        <w:tblStyle w:val="Lentelstinklelis1"/>
        <w:tblW w:w="967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67"/>
        <w:gridCol w:w="3873"/>
        <w:gridCol w:w="5236"/>
      </w:tblGrid>
      <w:tr>
        <w:trPr>
          <w:trHeight w:val="16" w:hRule="atLeast"/>
        </w:trPr>
        <w:tc>
          <w:tcPr>
            <w:tcW w:w="567" w:type="dxa"/>
            <w:tcBorders/>
            <w:shd w:color="auto" w:fill="F2F2F2" w:themeFill="background1" w:themeFillShade="f2" w:val="clear"/>
          </w:tcPr>
          <w:p>
            <w:pPr>
              <w:pStyle w:val="Normal"/>
              <w:widowControl/>
              <w:suppressAutoHyphens w:val="true"/>
              <w:spacing w:before="0" w:after="200"/>
              <w:jc w:val="center"/>
              <w:rPr>
                <w:rFonts w:ascii="Times New Roman" w:hAnsi="Times New Roman"/>
                <w:b/>
                <w:i/>
                <w:i/>
                <w:sz w:val="24"/>
                <w:szCs w:val="24"/>
              </w:rPr>
            </w:pPr>
            <w:r>
              <w:rPr>
                <w:rFonts w:eastAsia="Calibri" w:ascii="Times New Roman" w:hAnsi="Times New Roman"/>
                <w:b/>
                <w:kern w:val="0"/>
                <w:sz w:val="24"/>
                <w:szCs w:val="24"/>
                <w:lang w:val="lt-LT" w:eastAsia="en-US" w:bidi="ar-SA"/>
              </w:rPr>
              <w:t>Eil. Nr.</w:t>
            </w:r>
          </w:p>
        </w:tc>
        <w:tc>
          <w:tcPr>
            <w:tcW w:w="3873" w:type="dxa"/>
            <w:tcBorders/>
            <w:shd w:color="auto" w:fill="F2F2F2" w:themeFill="background1" w:themeFillShade="f2" w:val="clear"/>
            <w:vAlign w:val="center"/>
          </w:tcPr>
          <w:p>
            <w:pPr>
              <w:pStyle w:val="Normal"/>
              <w:widowControl/>
              <w:suppressAutoHyphens w:val="true"/>
              <w:spacing w:before="0" w:after="200"/>
              <w:jc w:val="center"/>
              <w:rPr>
                <w:rFonts w:ascii="Times New Roman" w:hAnsi="Times New Roman"/>
                <w:b/>
                <w:i/>
                <w:i/>
                <w:sz w:val="24"/>
                <w:szCs w:val="24"/>
              </w:rPr>
            </w:pPr>
            <w:r>
              <w:rPr>
                <w:rFonts w:eastAsia="Calibri" w:ascii="Times New Roman" w:hAnsi="Times New Roman"/>
                <w:b/>
                <w:kern w:val="0"/>
                <w:sz w:val="24"/>
                <w:szCs w:val="24"/>
                <w:lang w:val="lt-LT" w:eastAsia="en-US" w:bidi="ar-SA"/>
              </w:rPr>
              <w:t>Klausimas</w:t>
            </w:r>
          </w:p>
        </w:tc>
        <w:tc>
          <w:tcPr>
            <w:tcW w:w="5236" w:type="dxa"/>
            <w:tcBorders/>
            <w:shd w:color="auto" w:fill="F2F2F2" w:themeFill="background1" w:themeFillShade="f2" w:val="clear"/>
            <w:vAlign w:val="center"/>
          </w:tcPr>
          <w:p>
            <w:pPr>
              <w:pStyle w:val="Normal"/>
              <w:widowControl/>
              <w:suppressAutoHyphens w:val="true"/>
              <w:spacing w:before="0" w:after="200"/>
              <w:jc w:val="center"/>
              <w:rPr>
                <w:rFonts w:ascii="Times New Roman" w:hAnsi="Times New Roman"/>
                <w:b/>
                <w:i/>
                <w:i/>
                <w:sz w:val="24"/>
                <w:szCs w:val="24"/>
              </w:rPr>
            </w:pPr>
            <w:r>
              <w:rPr>
                <w:rFonts w:eastAsia="Calibri" w:ascii="Times New Roman" w:hAnsi="Times New Roman"/>
                <w:b/>
                <w:kern w:val="0"/>
                <w:sz w:val="24"/>
                <w:szCs w:val="24"/>
                <w:lang w:val="lt-LT" w:eastAsia="en-US" w:bidi="ar-SA"/>
              </w:rPr>
              <w:t>Tiekėjo atsakymas</w:t>
            </w:r>
          </w:p>
        </w:tc>
      </w:tr>
      <w:tr>
        <w:trPr>
          <w:trHeight w:val="16" w:hRule="atLeast"/>
        </w:trPr>
        <w:tc>
          <w:tcPr>
            <w:tcW w:w="567" w:type="dxa"/>
            <w:tcBorders/>
            <w:vAlign w:val="center"/>
          </w:tcPr>
          <w:p>
            <w:pPr>
              <w:pStyle w:val="ListParagraph"/>
              <w:widowControl/>
              <w:numPr>
                <w:ilvl w:val="0"/>
                <w:numId w:val="3"/>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cPr>
          <w:p>
            <w:pPr>
              <w:pStyle w:val="Normal"/>
              <w:widowControl/>
              <w:suppressAutoHyphens w:val="true"/>
              <w:spacing w:before="0" w:after="200"/>
              <w:jc w:val="both"/>
              <w:rPr>
                <w:rFonts w:ascii="Times New Roman" w:hAnsi="Times New Roman"/>
                <w:i/>
                <w:i/>
                <w:sz w:val="24"/>
                <w:szCs w:val="24"/>
              </w:rPr>
            </w:pPr>
            <w:r>
              <w:rPr>
                <w:rFonts w:eastAsia="Calibri" w:ascii="Times New Roman" w:hAnsi="Times New Roman"/>
                <w:kern w:val="0"/>
                <w:sz w:val="24"/>
                <w:szCs w:val="24"/>
                <w:lang w:val="lt-LT" w:eastAsia="en-US" w:bidi="ar-SA"/>
              </w:rPr>
              <w:t>Ar turite pastabų, klausimų dėl techninės specifikacijos projekto?</w:t>
            </w:r>
          </w:p>
          <w:p>
            <w:pPr>
              <w:pStyle w:val="Normal"/>
              <w:widowControl/>
              <w:suppressAutoHyphens w:val="true"/>
              <w:spacing w:before="0" w:after="200"/>
              <w:jc w:val="both"/>
              <w:rPr>
                <w:rFonts w:ascii="Times New Roman" w:hAnsi="Times New Roman"/>
                <w:i/>
                <w:i/>
                <w:sz w:val="24"/>
                <w:szCs w:val="24"/>
              </w:rPr>
            </w:pPr>
            <w:r>
              <w:rPr>
                <w:rFonts w:eastAsia="Calibri" w:ascii="Times New Roman" w:hAnsi="Times New Roman"/>
                <w:kern w:val="0"/>
                <w:sz w:val="24"/>
                <w:szCs w:val="24"/>
                <w:lang w:val="lt-LT" w:eastAsia="en-US" w:bidi="ar-SA"/>
              </w:rPr>
              <w:t>Kokias sąlygas papildomai siūlytumėte įtraukti į techninę specifikaciją arba kurių reikėtų atsisakyti?</w:t>
            </w:r>
          </w:p>
        </w:tc>
        <w:tc>
          <w:tcPr>
            <w:tcW w:w="5236" w:type="dxa"/>
            <w:tcBorders/>
          </w:tcPr>
          <w:p>
            <w:pPr>
              <w:pStyle w:val="Normal"/>
              <w:widowControl/>
              <w:suppressAutoHyphens w:val="true"/>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vAlign w:val="center"/>
          </w:tcPr>
          <w:p>
            <w:pPr>
              <w:pStyle w:val="ListParagraph"/>
              <w:widowControl/>
              <w:numPr>
                <w:ilvl w:val="0"/>
                <w:numId w:val="3"/>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vAlign w:val="center"/>
          </w:tcPr>
          <w:p>
            <w:pPr>
              <w:pStyle w:val="Normal"/>
              <w:widowControl/>
              <w:suppressAutoHyphens w:val="true"/>
              <w:spacing w:before="0" w:after="200"/>
              <w:jc w:val="both"/>
              <w:rPr>
                <w:rFonts w:ascii="Times New Roman" w:hAnsi="Times New Roman"/>
                <w:i/>
                <w:i/>
                <w:sz w:val="24"/>
                <w:szCs w:val="24"/>
              </w:rPr>
            </w:pPr>
            <w:r>
              <w:rPr>
                <w:rFonts w:eastAsia="Calibri" w:ascii="Times New Roman" w:hAnsi="Times New Roman"/>
                <w:kern w:val="0"/>
                <w:sz w:val="24"/>
                <w:szCs w:val="24"/>
                <w:lang w:val="lt-LT" w:eastAsia="en-US" w:bidi="ar-SA"/>
              </w:rPr>
              <w:t>Ar turite kitų pastebėjimų ar pasiūlymų?</w:t>
            </w:r>
          </w:p>
        </w:tc>
        <w:tc>
          <w:tcPr>
            <w:tcW w:w="5236" w:type="dxa"/>
            <w:tcBorders/>
          </w:tcPr>
          <w:p>
            <w:pPr>
              <w:pStyle w:val="Normal"/>
              <w:widowControl/>
              <w:suppressAutoHyphens w:val="true"/>
              <w:spacing w:before="0" w:after="200"/>
              <w:jc w:val="both"/>
              <w:rPr>
                <w:rFonts w:ascii="Times New Roman" w:hAnsi="Times New Roman"/>
                <w:i/>
                <w:i/>
                <w:sz w:val="24"/>
                <w:szCs w:val="24"/>
              </w:rPr>
            </w:pPr>
            <w:r>
              <w:rPr>
                <w:rFonts w:ascii="Times New Roman" w:hAnsi="Times New Roman"/>
                <w:i/>
                <w:sz w:val="24"/>
                <w:szCs w:val="24"/>
              </w:rPr>
            </w:r>
          </w:p>
        </w:tc>
      </w:tr>
    </w:tbl>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720"/>
        <w:jc w:val="both"/>
        <w:rPr>
          <w:rFonts w:ascii="Times New Roman" w:hAnsi="Times New Roman"/>
          <w:sz w:val="24"/>
          <w:szCs w:val="24"/>
        </w:rPr>
      </w:pPr>
      <w:r>
        <w:rPr>
          <w:rFonts w:ascii="Times New Roman" w:hAnsi="Times New Roman"/>
          <w:sz w:val="24"/>
          <w:szCs w:val="24"/>
        </w:rPr>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Tiekėjo pateikti atsakymai nelaikytini pasiūlymu ir bus naudojami tik rinkos tyrimo tikslais, siekiant tinkamai pasirengti būsimam pirkimui.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pPr>
        <w:pStyle w:val="Normal"/>
        <w:spacing w:lineRule="auto" w:line="288" w:before="0" w:after="0"/>
        <w:ind w:firstLine="720"/>
        <w:jc w:val="both"/>
        <w:rPr>
          <w:rFonts w:ascii="Times New Roman" w:hAnsi="Times New Roman" w:eastAsia="Arial"/>
          <w:b/>
          <w:i/>
          <w:i/>
          <w:color w:themeColor="text1" w:val="000000"/>
          <w:sz w:val="24"/>
          <w:szCs w:val="24"/>
          <w:lang w:eastAsia="ja-JP"/>
        </w:rPr>
      </w:pPr>
      <w:r>
        <w:rPr>
          <w:rFonts w:eastAsia="Arial" w:ascii="Times New Roman" w:hAnsi="Times New Roman"/>
          <w:color w:themeColor="text1" w:val="000000"/>
          <w:sz w:val="24"/>
          <w:szCs w:val="24"/>
          <w:lang w:eastAsia="ja-JP"/>
        </w:rPr>
        <w:t xml:space="preserve">Perkančioji organizacija įvertins tiekėjų siūlymus, tačiau neįsipareigoja atsižvelgti į visus siūlymus. </w:t>
      </w:r>
    </w:p>
    <w:p>
      <w:pPr>
        <w:pStyle w:val="Normal"/>
        <w:widowControl/>
        <w:suppressAutoHyphens w:val="true"/>
        <w:bidi w:val="0"/>
        <w:spacing w:lineRule="auto" w:line="276" w:before="0" w:after="200"/>
        <w:jc w:val="left"/>
        <w:rPr/>
      </w:pPr>
      <w:r>
        <w:rPr/>
      </w:r>
    </w:p>
    <w:sectPr>
      <w:type w:val="nextPage"/>
      <w:pgSz w:w="11906" w:h="16838"/>
      <w:pgMar w:left="1418" w:right="567" w:gutter="0" w:header="0" w:top="1701"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Times New Roman">
    <w:charset w:val="01"/>
    <w:family w:val="roman"/>
    <w:pitch w:val="variable"/>
  </w:font>
  <w:font w:name="Calibri Ligh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360"/>
      </w:pPr>
      <w:rPr>
        <w:sz w:val="24"/>
        <w:rFonts w:ascii="Calibri Light" w:hAnsi="Calibri Light" w:cs="Calibri Light"/>
        <w:color w:themeColor="text2" w:themeTint="99" w:val="8496B0"/>
      </w:rPr>
    </w:lvl>
    <w:lvl w:ilvl="1">
      <w:start w:val="1"/>
      <w:numFmt w:val="decimal"/>
      <w:lvlText w:val="%1.%2"/>
      <w:lvlJc w:val="left"/>
      <w:pPr>
        <w:tabs>
          <w:tab w:val="num" w:pos="0"/>
        </w:tabs>
        <w:ind w:left="0" w:hanging="360"/>
      </w:pPr>
      <w:rPr>
        <w:sz w:val="22"/>
        <w:b w:val="false"/>
        <w:szCs w:val="20"/>
        <w:rFonts w:ascii="Calibri Light" w:hAnsi="Calibri Light" w:cs="Calibri Light"/>
        <w:color w:val="auto"/>
      </w:rPr>
    </w:lvl>
    <w:lvl w:ilvl="2">
      <w:start w:val="1"/>
      <w:numFmt w:val="decimal"/>
      <w:lvlText w:val="2.1.%3."/>
      <w:lvlJc w:val="left"/>
      <w:pPr>
        <w:tabs>
          <w:tab w:val="num" w:pos="0"/>
        </w:tabs>
        <w:ind w:left="862" w:hanging="720"/>
      </w:pPr>
      <w:rPr>
        <w:b w:val="false"/>
        <w:color w:val="auto"/>
      </w:rPr>
    </w:lvl>
    <w:lvl w:ilvl="3">
      <w:start w:val="1"/>
      <w:numFmt w:val="decimal"/>
      <w:lvlText w:val="%1.%2.%3.%4"/>
      <w:lvlJc w:val="left"/>
      <w:pPr>
        <w:tabs>
          <w:tab w:val="num" w:pos="0"/>
        </w:tabs>
        <w:ind w:left="360" w:hanging="720"/>
      </w:pPr>
      <w:rPr/>
    </w:lvl>
    <w:lvl w:ilvl="4">
      <w:start w:val="1"/>
      <w:numFmt w:val="decimal"/>
      <w:lvlText w:val="%1.%2.%3.%4.%5"/>
      <w:lvlJc w:val="left"/>
      <w:pPr>
        <w:tabs>
          <w:tab w:val="num" w:pos="0"/>
        </w:tabs>
        <w:ind w:left="720" w:hanging="1080"/>
      </w:pPr>
      <w:rPr/>
    </w:lvl>
    <w:lvl w:ilvl="5">
      <w:start w:val="1"/>
      <w:numFmt w:val="decimal"/>
      <w:lvlText w:val="%1.%2.%3.%4.%5.%6"/>
      <w:lvlJc w:val="left"/>
      <w:pPr>
        <w:tabs>
          <w:tab w:val="num" w:pos="0"/>
        </w:tabs>
        <w:ind w:left="720" w:hanging="1080"/>
      </w:pPr>
      <w:rPr/>
    </w:lvl>
    <w:lvl w:ilvl="6">
      <w:start w:val="1"/>
      <w:numFmt w:val="decimal"/>
      <w:lvlText w:val="%1.%2.%3.%4.%5.%6.%7"/>
      <w:lvlJc w:val="left"/>
      <w:pPr>
        <w:tabs>
          <w:tab w:val="num" w:pos="0"/>
        </w:tabs>
        <w:ind w:left="1080" w:hanging="1440"/>
      </w:pPr>
      <w:rPr/>
    </w:lvl>
    <w:lvl w:ilvl="7">
      <w:start w:val="1"/>
      <w:numFmt w:val="decimal"/>
      <w:lvlText w:val="%1.%2.%3.%4.%5.%6.%7.%8"/>
      <w:lvlJc w:val="left"/>
      <w:pPr>
        <w:tabs>
          <w:tab w:val="num" w:pos="0"/>
        </w:tabs>
        <w:ind w:left="1080" w:hanging="1440"/>
      </w:pPr>
      <w:rPr/>
    </w:lvl>
    <w:lvl w:ilvl="8">
      <w:start w:val="1"/>
      <w:numFmt w:val="decimal"/>
      <w:lvlText w:val="%1.%2.%3.%4.%5.%6.%7.%8.%9"/>
      <w:lvlJc w:val="left"/>
      <w:pPr>
        <w:tabs>
          <w:tab w:val="num" w:pos="0"/>
        </w:tabs>
        <w:ind w:left="1440" w:hanging="1800"/>
      </w:pPr>
      <w:rPr/>
    </w:lvl>
  </w:abstractNum>
  <w:abstractNum w:abstractNumId="2">
    <w:lvl w:ilvl="0">
      <w:start w:val="1"/>
      <w:numFmt w:val="decimal"/>
      <w:lvlText w:val="1.%1."/>
      <w:lvlJc w:val="left"/>
      <w:pPr>
        <w:tabs>
          <w:tab w:val="num" w:pos="0"/>
        </w:tabs>
        <w:ind w:left="720" w:hanging="360"/>
      </w:pPr>
      <w:rPr>
        <w:sz w:val="20"/>
        <w:i w:val="false"/>
        <w:b w:val="false"/>
        <w:szCs w:val="20"/>
        <w:iCs w:val="false"/>
        <w:bCs w:val="false"/>
        <w:rFonts w:cs="Times New Roman"/>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0cc0"/>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SraopastraipaDiagrama" w:customStyle="1">
    <w:name w:val="Sąrašo pastraipa Diagrama"/>
    <w:link w:val="ListParagraph"/>
    <w:uiPriority w:val="34"/>
    <w:qFormat/>
    <w:locked/>
    <w:rsid w:val="00ad0cc0"/>
    <w:rPr>
      <w:rFonts w:ascii="Calibri" w:hAnsi="Calibri" w:eastAsia="Calibri" w:cs="Times New Roman"/>
    </w:rPr>
  </w:style>
  <w:style w:type="character" w:styleId="Strong">
    <w:name w:val="Strong"/>
    <w:basedOn w:val="DefaultParagraphFont"/>
    <w:uiPriority w:val="22"/>
    <w:qFormat/>
    <w:rsid w:val="00306b71"/>
    <w:rPr>
      <w:b/>
      <w:bCs/>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Default" w:customStyle="1">
    <w:name w:val="Default"/>
    <w:uiPriority w:val="99"/>
    <w:qFormat/>
    <w:rsid w:val="00ad0cc0"/>
    <w:pPr>
      <w:widowControl/>
      <w:suppressAutoHyphens w:val="true"/>
      <w:bidi w:val="0"/>
      <w:spacing w:before="0" w:after="0"/>
      <w:jc w:val="left"/>
    </w:pPr>
    <w:rPr>
      <w:rFonts w:ascii="Times New Roman" w:hAnsi="Times New Roman" w:eastAsia="Calibri" w:cs="Times New Roman"/>
      <w:color w:val="000000"/>
      <w:kern w:val="0"/>
      <w:sz w:val="24"/>
      <w:szCs w:val="24"/>
      <w:lang w:val="lt-LT" w:eastAsia="en-US" w:bidi="ar-SA"/>
    </w:rPr>
  </w:style>
  <w:style w:type="paragraph" w:styleId="ListParagraph">
    <w:name w:val="List Paragraph"/>
    <w:basedOn w:val="Normal"/>
    <w:link w:val="SraopastraipaDiagrama"/>
    <w:uiPriority w:val="34"/>
    <w:qFormat/>
    <w:rsid w:val="00ad0cc0"/>
    <w:pPr>
      <w:spacing w:before="0" w:after="200"/>
      <w:ind w:left="720"/>
      <w:contextualSpacing/>
    </w:pPr>
    <w:rPr/>
  </w:style>
  <w:style w:type="paragraph" w:styleId="Pagrindinistekstas1" w:customStyle="1">
    <w:name w:val="Pagrindinis tekstas1"/>
    <w:basedOn w:val="Normal"/>
    <w:qFormat/>
    <w:rsid w:val="00ad0cc0"/>
    <w:pPr>
      <w:spacing w:lineRule="auto" w:line="290" w:before="0" w:after="0"/>
      <w:ind w:firstLine="312"/>
      <w:jc w:val="both"/>
      <w:textAlignment w:val="center"/>
    </w:pPr>
    <w:rPr>
      <w:rFonts w:ascii="Times New Roman" w:hAnsi="Times New Roman" w:eastAsia="Times New Roman"/>
      <w:color w:val="000000"/>
      <w:sz w:val="20"/>
      <w:szCs w:val="20"/>
    </w:rPr>
  </w:style>
  <w:style w:type="paragraph" w:styleId="Textbodyindent" w:customStyle="1">
    <w:name w:val="Text body indent"/>
    <w:basedOn w:val="Normal"/>
    <w:qFormat/>
    <w:rsid w:val="00ad0cc0"/>
    <w:pPr>
      <w:widowControl w:val="false"/>
      <w:spacing w:lineRule="auto" w:line="240" w:before="0" w:after="0"/>
      <w:ind w:firstLine="720"/>
      <w:jc w:val="both"/>
    </w:pPr>
    <w:rPr>
      <w:rFonts w:ascii="Times New Roman" w:hAnsi="Times New Roman" w:eastAsia="Times New Roman"/>
      <w:kern w:val="2"/>
      <w:sz w:val="24"/>
      <w:szCs w:val="20"/>
      <w:lang w:val="ru-RU" w:eastAsia="ru-RU"/>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customStyle="1" w:styleId="Lentelstinklelis1">
    <w:name w:val="Lentelės tinklelis1"/>
    <w:basedOn w:val="prastojilentel"/>
    <w:uiPriority w:val="39"/>
    <w:rsid w:val="00ad0cc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entelstinklelis2">
    <w:name w:val="Lentelės tinklelis2"/>
    <w:basedOn w:val="prastojilentel"/>
    <w:uiPriority w:val="39"/>
    <w:rsid w:val="00ad0cc0"/>
    <w:pPr>
      <w:jc w:val="both"/>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entelstinklelis3">
    <w:name w:val="Lentelės tinklelis3"/>
    <w:basedOn w:val="prastojilentel"/>
    <w:uiPriority w:val="39"/>
    <w:rsid w:val="00ad0cc0"/>
    <w:pPr>
      <w:jc w:val="both"/>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
    <w:name w:val="Table Grid"/>
    <w:basedOn w:val="prastojilentel"/>
    <w:uiPriority w:val="39"/>
    <w:rsid w:val="00ad0cc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LibreOffice/7.6.4.1$Windows_X86_64 LibreOffice_project/e19e193f88cd6c0525a17fb7a176ed8e6a3e2aa1</Application>
  <AppVersion>15.0000</AppVersion>
  <Pages>2</Pages>
  <Words>321</Words>
  <Characters>2421</Characters>
  <CharactersWithSpaces>2705</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2025-03-13T09:41:00Z</dcterms:created>
  <dc:creator>Jurgita Nainienė</dc:creator>
  <dc:description/>
  <dc:language>en-US</dc:language>
  <cp:lastModifiedBy/>
  <dcterms:modified xsi:type="dcterms:W3CDTF">2025-06-19T12:17:49Z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