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numbering.xml" ContentType="application/vnd.openxmlformats-officedocument.wordprocessingml.numbering+xml"/>
  <Override PartName="/word/footer5.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3.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4.xml" ContentType="application/vnd.openxmlformats-officedocument.customXmlProperties+xml"/>
  <Override PartName="/customXml/itemProps2.xml" ContentType="application/vnd.openxmlformats-officedocument.customXmlProperties+xml"/>
  <Override PartName="/customXml/item3.xml" ContentType="application/xml"/>
  <Override PartName="/customXml/item4.xml" ContentType="application/xml"/>
  <Override PartName="/customXml/item5.xml" ContentType="application/xml"/>
  <Override PartName="/customXml/itemProps5.xml" ContentType="application/vnd.openxmlformats-officedocument.customXmlProperties+xml"/>
  <Override PartName="/customXml/item6.xml" ContentType="application/xml"/>
  <Override PartName="/customXml/itemProps6.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customXml/_rels/item5.xml.rels" ContentType="application/vnd.openxmlformats-package.relationships+xml"/>
  <Override PartName="/customXml/_rels/item6.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right"/>
        <w:rPr>
          <w:rFonts w:ascii="Times New Roman" w:hAnsi="Times New Roman"/>
        </w:rPr>
      </w:pPr>
      <w:r>
        <w:rPr>
          <w:rFonts w:cs="Times New Roman" w:ascii="Times New Roman" w:hAnsi="Times New Roman"/>
        </w:rPr>
        <w:t>Konkurso sąlygų 2 priedas</w:t>
      </w:r>
    </w:p>
    <w:p>
      <w:pPr>
        <w:pStyle w:val="Normal"/>
        <w:jc w:val="center"/>
        <w:rPr>
          <w:rFonts w:ascii="Times New Roman" w:hAnsi="Times New Roman"/>
        </w:rPr>
      </w:pPr>
      <w:bookmarkStart w:id="0" w:name="_Hlk15917517"/>
      <w:r>
        <w:rPr>
          <w:rFonts w:cs="Times New Roman" w:ascii="Times New Roman" w:hAnsi="Times New Roman"/>
          <w:b/>
          <w:caps/>
        </w:rPr>
        <w:t xml:space="preserve">Privačių interesų registro </w:t>
      </w:r>
      <w:r>
        <w:rPr>
          <w:rFonts w:cs="Times New Roman" w:ascii="Times New Roman" w:hAnsi="Times New Roman"/>
          <w:b/>
          <w:caps/>
          <w:lang w:val="en-US"/>
        </w:rPr>
        <w:t>VYSTYMO</w:t>
      </w:r>
      <w:r>
        <w:rPr>
          <w:rFonts w:cs="Times New Roman" w:ascii="Times New Roman" w:hAnsi="Times New Roman"/>
          <w:b/>
          <w:caps/>
        </w:rPr>
        <w:t xml:space="preserve"> PASLAUGŲ techninė specifikacija</w:t>
      </w:r>
      <w:bookmarkEnd w:id="0"/>
    </w:p>
    <w:p>
      <w:pPr>
        <w:pStyle w:val="Normal"/>
        <w:jc w:val="both"/>
        <w:rPr>
          <w:rFonts w:ascii="Times New Roman" w:hAnsi="Times New Roman"/>
        </w:rPr>
      </w:pPr>
      <w:r>
        <w:rPr>
          <w:rFonts w:cs="Times New Roman" w:ascii="Times New Roman" w:hAnsi="Times New Roman"/>
          <w:b/>
        </w:rPr>
        <w:t>Turinys</w:t>
      </w:r>
    </w:p>
    <w:sdt>
      <w:sdtPr>
        <w:docPartObj>
          <w:docPartGallery w:val="Table of Contents"/>
          <w:docPartUnique w:val="true"/>
        </w:docPartObj>
      </w:sdtPr>
      <w:sdtContent>
        <w:p>
          <w:pPr>
            <w:pStyle w:val="TOC1"/>
            <w:tabs>
              <w:tab w:val="clear" w:pos="720"/>
              <w:tab w:val="left" w:pos="440" w:leader="none"/>
              <w:tab w:val="right" w:pos="9962" w:leader="dot"/>
            </w:tabs>
            <w:rPr/>
          </w:pPr>
          <w:r>
            <w:fldChar w:fldCharType="begin"/>
          </w:r>
          <w:r>
            <w:rPr>
              <w:webHidden/>
              <w:rStyle w:val="IndexLink"/>
              <w:sz w:val="22"/>
              <w:vanish w:val="false"/>
              <w:rFonts w:ascii="Times New Roman" w:hAnsi="Times New Roman"/>
            </w:rPr>
            <w:instrText xml:space="preserve"> TOC \z \o "1-4" \u \h</w:instrText>
          </w:r>
          <w:r>
            <w:rPr>
              <w:webHidden/>
              <w:rStyle w:val="IndexLink"/>
              <w:sz w:val="22"/>
              <w:vanish w:val="false"/>
              <w:rFonts w:ascii="Times New Roman" w:hAnsi="Times New Roman"/>
            </w:rPr>
            <w:fldChar w:fldCharType="separate"/>
          </w:r>
          <w:hyperlink w:anchor="_Toc151027899">
            <w:r>
              <w:rPr>
                <w:webHidden/>
                <w:rStyle w:val="IndexLink"/>
                <w:rFonts w:ascii="Times New Roman" w:hAnsi="Times New Roman"/>
                <w:vanish w:val="false"/>
                <w:sz w:val="22"/>
              </w:rPr>
              <w:t>1.</w:t>
            </w:r>
            <w:r>
              <w:rPr>
                <w:rStyle w:val="IndexLink"/>
                <w:rFonts w:eastAsia="" w:ascii="Times New Roman" w:hAnsi="Times New Roman" w:eastAsiaTheme="minorEastAsia"/>
                <w:kern w:val="2"/>
                <w:sz w:val="22"/>
                <w:lang w:val="en-US"/>
                <w14:ligatures w14:val="standardContextual"/>
              </w:rPr>
              <w:tab/>
            </w:r>
            <w:r>
              <w:rPr>
                <w:webHidden/>
              </w:rPr>
              <w:fldChar w:fldCharType="begin"/>
            </w:r>
            <w:r>
              <w:rPr>
                <w:webHidden/>
              </w:rPr>
              <w:instrText xml:space="preserve">PAGEREF _Toc151027899 \h</w:instrText>
            </w:r>
            <w:r>
              <w:rPr>
                <w:webHidden/>
              </w:rPr>
              <w:fldChar w:fldCharType="separate"/>
            </w:r>
            <w:r>
              <w:rPr>
                <w:rStyle w:val="IndexLink"/>
                <w:rFonts w:ascii="Times New Roman" w:hAnsi="Times New Roman"/>
                <w:sz w:val="22"/>
              </w:rPr>
              <w:t>TECHNINĖS SPECIFIKACIJOS SANTRAUKA</w:t>
              <w:tab/>
              <w:t>3</w:t>
            </w:r>
            <w:r>
              <w:rPr>
                <w:webHidden/>
              </w:rPr>
              <w:fldChar w:fldCharType="end"/>
            </w:r>
          </w:hyperlink>
        </w:p>
        <w:p>
          <w:pPr>
            <w:pStyle w:val="TOC1"/>
            <w:tabs>
              <w:tab w:val="clear" w:pos="720"/>
              <w:tab w:val="left" w:pos="440" w:leader="none"/>
              <w:tab w:val="right" w:pos="9962" w:leader="dot"/>
            </w:tabs>
            <w:rPr/>
          </w:pPr>
          <w:hyperlink w:anchor="_Toc151027900">
            <w:r>
              <w:rPr>
                <w:webHidden/>
                <w:rStyle w:val="IndexLink"/>
                <w:rFonts w:ascii="Times New Roman" w:hAnsi="Times New Roman"/>
                <w:vanish w:val="false"/>
                <w:sz w:val="22"/>
              </w:rPr>
              <w:t>2.</w:t>
            </w:r>
            <w:r>
              <w:rPr>
                <w:rStyle w:val="IndexLink"/>
                <w:rFonts w:eastAsia="" w:ascii="Times New Roman" w:hAnsi="Times New Roman" w:eastAsiaTheme="minorEastAsia"/>
                <w:kern w:val="2"/>
                <w:sz w:val="22"/>
                <w:lang w:val="en-US"/>
                <w14:ligatures w14:val="standardContextual"/>
              </w:rPr>
              <w:tab/>
            </w:r>
            <w:r>
              <w:rPr>
                <w:webHidden/>
              </w:rPr>
              <w:fldChar w:fldCharType="begin"/>
            </w:r>
            <w:r>
              <w:rPr>
                <w:webHidden/>
              </w:rPr>
              <w:instrText xml:space="preserve">PAGEREF _Toc151027900 \h</w:instrText>
            </w:r>
            <w:r>
              <w:rPr>
                <w:webHidden/>
              </w:rPr>
              <w:fldChar w:fldCharType="separate"/>
            </w:r>
            <w:r>
              <w:rPr>
                <w:rStyle w:val="IndexLink"/>
                <w:rFonts w:ascii="Times New Roman" w:hAnsi="Times New Roman"/>
                <w:sz w:val="22"/>
              </w:rPr>
              <w:t>BENDRA INFORMACIJA</w:t>
              <w:tab/>
              <w:t>3</w:t>
            </w:r>
            <w:r>
              <w:rPr>
                <w:webHidden/>
              </w:rPr>
              <w:fldChar w:fldCharType="end"/>
            </w:r>
          </w:hyperlink>
        </w:p>
        <w:p>
          <w:pPr>
            <w:pStyle w:val="TOC1"/>
            <w:tabs>
              <w:tab w:val="clear" w:pos="720"/>
              <w:tab w:val="left" w:pos="440" w:leader="none"/>
              <w:tab w:val="right" w:pos="9962" w:leader="dot"/>
            </w:tabs>
            <w:rPr/>
          </w:pPr>
          <w:hyperlink w:anchor="_Toc151027901">
            <w:r>
              <w:rPr>
                <w:webHidden/>
                <w:rStyle w:val="IndexLink"/>
                <w:rFonts w:ascii="Times New Roman" w:hAnsi="Times New Roman"/>
                <w:vanish w:val="false"/>
                <w:sz w:val="22"/>
              </w:rPr>
              <w:t>3.</w:t>
            </w:r>
            <w:r>
              <w:rPr>
                <w:rStyle w:val="IndexLink"/>
                <w:rFonts w:eastAsia="" w:ascii="Times New Roman" w:hAnsi="Times New Roman" w:eastAsiaTheme="minorEastAsia"/>
                <w:kern w:val="2"/>
                <w:sz w:val="22"/>
                <w:lang w:val="en-US"/>
                <w14:ligatures w14:val="standardContextual"/>
              </w:rPr>
              <w:tab/>
            </w:r>
            <w:r>
              <w:rPr>
                <w:webHidden/>
              </w:rPr>
              <w:fldChar w:fldCharType="begin"/>
            </w:r>
            <w:r>
              <w:rPr>
                <w:webHidden/>
              </w:rPr>
              <w:instrText xml:space="preserve">PAGEREF _Toc151027901 \h</w:instrText>
            </w:r>
            <w:r>
              <w:rPr>
                <w:webHidden/>
              </w:rPr>
              <w:fldChar w:fldCharType="separate"/>
            </w:r>
            <w:r>
              <w:rPr>
                <w:rStyle w:val="IndexLink"/>
                <w:rFonts w:ascii="Times New Roman" w:hAnsi="Times New Roman"/>
                <w:sz w:val="22"/>
              </w:rPr>
              <w:t>TEISĖS AKTAI, KURIAIS VADOVAUTASI RENGIANT TECHNINĘ SPECIFIKACIJĄ IR KURIAIS TURI BŪTI VADOVAUJAMASI MODERNIZUOJANT PINREG</w:t>
              <w:tab/>
              <w:t>3</w:t>
            </w:r>
            <w:r>
              <w:rPr>
                <w:webHidden/>
              </w:rPr>
              <w:fldChar w:fldCharType="end"/>
            </w:r>
          </w:hyperlink>
        </w:p>
        <w:p>
          <w:pPr>
            <w:pStyle w:val="TOC1"/>
            <w:tabs>
              <w:tab w:val="clear" w:pos="720"/>
              <w:tab w:val="left" w:pos="440" w:leader="none"/>
              <w:tab w:val="right" w:pos="9962" w:leader="dot"/>
            </w:tabs>
            <w:rPr/>
          </w:pPr>
          <w:hyperlink w:anchor="_Toc151027902">
            <w:r>
              <w:rPr>
                <w:webHidden/>
                <w:rStyle w:val="IndexLink"/>
                <w:rFonts w:ascii="Times New Roman" w:hAnsi="Times New Roman"/>
                <w:vanish w:val="false"/>
                <w:sz w:val="22"/>
              </w:rPr>
              <w:t>4.</w:t>
            </w:r>
            <w:r>
              <w:rPr>
                <w:rStyle w:val="IndexLink"/>
                <w:rFonts w:eastAsia="" w:ascii="Times New Roman" w:hAnsi="Times New Roman" w:eastAsiaTheme="minorEastAsia"/>
                <w:kern w:val="2"/>
                <w:sz w:val="22"/>
                <w:lang w:val="en-US"/>
                <w14:ligatures w14:val="standardContextual"/>
              </w:rPr>
              <w:tab/>
            </w:r>
            <w:r>
              <w:rPr>
                <w:webHidden/>
              </w:rPr>
              <w:fldChar w:fldCharType="begin"/>
            </w:r>
            <w:r>
              <w:rPr>
                <w:webHidden/>
              </w:rPr>
              <w:instrText xml:space="preserve">PAGEREF _Toc151027902 \h</w:instrText>
            </w:r>
            <w:r>
              <w:rPr>
                <w:webHidden/>
              </w:rPr>
              <w:fldChar w:fldCharType="separate"/>
            </w:r>
            <w:r>
              <w:rPr>
                <w:rStyle w:val="IndexLink"/>
                <w:rFonts w:ascii="Times New Roman" w:hAnsi="Times New Roman"/>
                <w:sz w:val="22"/>
              </w:rPr>
              <w:t>PIRKIMO TIKSLAS IR REZULTATAI</w:t>
              <w:tab/>
              <w:t>5</w:t>
            </w:r>
            <w:r>
              <w:rPr>
                <w:webHidden/>
              </w:rPr>
              <w:fldChar w:fldCharType="end"/>
            </w:r>
          </w:hyperlink>
        </w:p>
        <w:p>
          <w:pPr>
            <w:pStyle w:val="TOC1"/>
            <w:tabs>
              <w:tab w:val="clear" w:pos="720"/>
              <w:tab w:val="left" w:pos="440" w:leader="none"/>
              <w:tab w:val="right" w:pos="9962" w:leader="dot"/>
            </w:tabs>
            <w:rPr/>
          </w:pPr>
          <w:hyperlink w:anchor="_Toc151027903">
            <w:r>
              <w:rPr>
                <w:webHidden/>
                <w:rStyle w:val="IndexLink"/>
                <w:rFonts w:ascii="Times New Roman" w:hAnsi="Times New Roman"/>
                <w:vanish w:val="false"/>
                <w:sz w:val="22"/>
              </w:rPr>
              <w:t>5.</w:t>
            </w:r>
            <w:r>
              <w:rPr>
                <w:rStyle w:val="IndexLink"/>
                <w:rFonts w:eastAsia="" w:ascii="Times New Roman" w:hAnsi="Times New Roman" w:eastAsiaTheme="minorEastAsia"/>
                <w:kern w:val="2"/>
                <w:sz w:val="22"/>
                <w:lang w:val="en-US"/>
                <w14:ligatures w14:val="standardContextual"/>
              </w:rPr>
              <w:tab/>
            </w:r>
            <w:r>
              <w:rPr>
                <w:webHidden/>
              </w:rPr>
              <w:fldChar w:fldCharType="begin"/>
            </w:r>
            <w:r>
              <w:rPr>
                <w:webHidden/>
              </w:rPr>
              <w:instrText xml:space="preserve">PAGEREF _Toc151027903 \h</w:instrText>
            </w:r>
            <w:r>
              <w:rPr>
                <w:webHidden/>
              </w:rPr>
              <w:fldChar w:fldCharType="separate"/>
            </w:r>
            <w:r>
              <w:rPr>
                <w:rStyle w:val="IndexLink"/>
                <w:rFonts w:ascii="Times New Roman" w:hAnsi="Times New Roman"/>
                <w:sz w:val="22"/>
              </w:rPr>
              <w:t>ESAMOS SITUACIJOS APRAŠYMAS</w:t>
              <w:tab/>
              <w:t>5</w:t>
            </w:r>
            <w:r>
              <w:rPr>
                <w:webHidden/>
              </w:rPr>
              <w:fldChar w:fldCharType="end"/>
            </w:r>
          </w:hyperlink>
        </w:p>
        <w:p>
          <w:pPr>
            <w:pStyle w:val="TOC2"/>
            <w:tabs>
              <w:tab w:val="clear" w:pos="720"/>
              <w:tab w:val="left" w:pos="880" w:leader="none"/>
              <w:tab w:val="right" w:pos="9962" w:leader="dot"/>
            </w:tabs>
            <w:rPr/>
          </w:pPr>
          <w:hyperlink w:anchor="_Toc151027904">
            <w:r>
              <w:rPr>
                <w:webHidden/>
                <w:rStyle w:val="IndexLink"/>
                <w:rFonts w:ascii="Times New Roman" w:hAnsi="Times New Roman"/>
                <w:vanish w:val="false"/>
                <w:sz w:val="22"/>
              </w:rPr>
              <w:t>5.1.</w:t>
            </w:r>
            <w:r>
              <w:rPr>
                <w:rStyle w:val="IndexLink"/>
                <w:rFonts w:eastAsia="" w:ascii="Times New Roman" w:hAnsi="Times New Roman" w:eastAsiaTheme="minorEastAsia"/>
                <w:kern w:val="2"/>
                <w:sz w:val="22"/>
                <w:lang w:val="en-US"/>
                <w14:ligatures w14:val="standardContextual"/>
              </w:rPr>
              <w:tab/>
            </w:r>
            <w:r>
              <w:rPr>
                <w:webHidden/>
              </w:rPr>
              <w:fldChar w:fldCharType="begin"/>
            </w:r>
            <w:r>
              <w:rPr>
                <w:webHidden/>
              </w:rPr>
              <w:instrText xml:space="preserve">PAGEREF _Toc151027904 \h</w:instrText>
            </w:r>
            <w:r>
              <w:rPr>
                <w:webHidden/>
              </w:rPr>
              <w:fldChar w:fldCharType="separate"/>
            </w:r>
            <w:r>
              <w:rPr>
                <w:rStyle w:val="IndexLink"/>
                <w:rFonts w:ascii="Times New Roman" w:hAnsi="Times New Roman"/>
                <w:sz w:val="22"/>
              </w:rPr>
              <w:t>PINREG aprašymas</w:t>
              <w:tab/>
              <w:t>5</w:t>
            </w:r>
            <w:r>
              <w:rPr>
                <w:webHidden/>
              </w:rPr>
              <w:fldChar w:fldCharType="end"/>
            </w:r>
          </w:hyperlink>
        </w:p>
        <w:p>
          <w:pPr>
            <w:pStyle w:val="TOC1"/>
            <w:tabs>
              <w:tab w:val="clear" w:pos="720"/>
              <w:tab w:val="left" w:pos="440" w:leader="none"/>
              <w:tab w:val="right" w:pos="9962" w:leader="dot"/>
            </w:tabs>
            <w:rPr/>
          </w:pPr>
          <w:hyperlink w:anchor="_Toc151027905">
            <w:r>
              <w:rPr>
                <w:webHidden/>
                <w:rStyle w:val="IndexLink"/>
                <w:rFonts w:ascii="Times New Roman" w:hAnsi="Times New Roman"/>
                <w:vanish w:val="false"/>
                <w:sz w:val="22"/>
              </w:rPr>
              <w:t>6.</w:t>
            </w:r>
            <w:r>
              <w:rPr>
                <w:rStyle w:val="IndexLink"/>
                <w:rFonts w:eastAsia="" w:ascii="Times New Roman" w:hAnsi="Times New Roman" w:eastAsiaTheme="minorEastAsia"/>
                <w:kern w:val="2"/>
                <w:sz w:val="22"/>
                <w:lang w:val="en-US"/>
                <w14:ligatures w14:val="standardContextual"/>
              </w:rPr>
              <w:tab/>
            </w:r>
            <w:r>
              <w:rPr>
                <w:webHidden/>
              </w:rPr>
              <w:fldChar w:fldCharType="begin"/>
            </w:r>
            <w:r>
              <w:rPr>
                <w:webHidden/>
              </w:rPr>
              <w:instrText xml:space="preserve">PAGEREF _Toc151027905 \h</w:instrText>
            </w:r>
            <w:r>
              <w:rPr>
                <w:webHidden/>
              </w:rPr>
              <w:fldChar w:fldCharType="separate"/>
            </w:r>
            <w:r>
              <w:rPr>
                <w:rStyle w:val="IndexLink"/>
                <w:rFonts w:ascii="Times New Roman" w:hAnsi="Times New Roman"/>
                <w:sz w:val="22"/>
              </w:rPr>
              <w:t>REIKALAVIMŲ APRAŠYMAS</w:t>
              <w:tab/>
              <w:t>6</w:t>
            </w:r>
            <w:r>
              <w:rPr>
                <w:webHidden/>
              </w:rPr>
              <w:fldChar w:fldCharType="end"/>
            </w:r>
          </w:hyperlink>
        </w:p>
        <w:p>
          <w:pPr>
            <w:pStyle w:val="TOC2"/>
            <w:tabs>
              <w:tab w:val="clear" w:pos="720"/>
              <w:tab w:val="left" w:pos="880" w:leader="none"/>
              <w:tab w:val="right" w:pos="9962" w:leader="dot"/>
            </w:tabs>
            <w:rPr/>
          </w:pPr>
          <w:hyperlink w:anchor="_Toc151027906">
            <w:r>
              <w:rPr>
                <w:webHidden/>
                <w:rStyle w:val="IndexLink"/>
                <w:rFonts w:ascii="Times New Roman" w:hAnsi="Times New Roman"/>
                <w:vanish w:val="false"/>
                <w:sz w:val="22"/>
              </w:rPr>
              <w:t>6.1.</w:t>
            </w:r>
            <w:r>
              <w:rPr>
                <w:rStyle w:val="IndexLink"/>
                <w:rFonts w:eastAsia="" w:ascii="Times New Roman" w:hAnsi="Times New Roman" w:eastAsiaTheme="minorEastAsia"/>
                <w:kern w:val="2"/>
                <w:sz w:val="22"/>
                <w:lang w:val="en-US"/>
                <w14:ligatures w14:val="standardContextual"/>
              </w:rPr>
              <w:tab/>
            </w:r>
            <w:r>
              <w:rPr>
                <w:webHidden/>
              </w:rPr>
              <w:fldChar w:fldCharType="begin"/>
            </w:r>
            <w:r>
              <w:rPr>
                <w:webHidden/>
              </w:rPr>
              <w:instrText xml:space="preserve">PAGEREF _Toc151027906 \h</w:instrText>
            </w:r>
            <w:r>
              <w:rPr>
                <w:webHidden/>
              </w:rPr>
              <w:fldChar w:fldCharType="separate"/>
            </w:r>
            <w:r>
              <w:rPr>
                <w:rStyle w:val="IndexLink"/>
                <w:rFonts w:ascii="Times New Roman" w:hAnsi="Times New Roman"/>
                <w:sz w:val="22"/>
              </w:rPr>
              <w:t>Reikalavimai PINREG funkcionalumų modernizavimui</w:t>
              <w:tab/>
              <w:t>6</w:t>
            </w:r>
            <w:r>
              <w:rPr>
                <w:webHidden/>
              </w:rPr>
              <w:fldChar w:fldCharType="end"/>
            </w:r>
          </w:hyperlink>
        </w:p>
        <w:p>
          <w:pPr>
            <w:pStyle w:val="TOC2"/>
            <w:tabs>
              <w:tab w:val="clear" w:pos="720"/>
              <w:tab w:val="left" w:pos="440" w:leader="none"/>
              <w:tab w:val="right" w:pos="9962" w:leader="dot"/>
            </w:tabs>
            <w:rPr/>
          </w:pPr>
          <w:hyperlink w:anchor="_Toc151027908">
            <w:r>
              <w:rPr>
                <w:webHidden/>
                <w:rStyle w:val="IndexLink"/>
                <w:rFonts w:ascii="Times New Roman" w:hAnsi="Times New Roman"/>
                <w:vanish w:val="false"/>
                <w:sz w:val="22"/>
              </w:rPr>
              <w:t>7.</w:t>
            </w:r>
            <w:r>
              <w:rPr>
                <w:rStyle w:val="IndexLink"/>
                <w:rFonts w:eastAsia="" w:ascii="Times New Roman" w:hAnsi="Times New Roman" w:eastAsiaTheme="minorEastAsia"/>
                <w:kern w:val="2"/>
                <w:sz w:val="22"/>
                <w14:ligatures w14:val="standardContextual"/>
              </w:rPr>
              <w:tab/>
            </w:r>
            <w:r>
              <w:rPr>
                <w:webHidden/>
              </w:rPr>
              <w:fldChar w:fldCharType="begin"/>
            </w:r>
            <w:r>
              <w:rPr>
                <w:webHidden/>
              </w:rPr>
              <w:instrText xml:space="preserve">PAGEREF _Toc151027908 \h</w:instrText>
            </w:r>
            <w:r>
              <w:rPr>
                <w:webHidden/>
              </w:rPr>
              <w:fldChar w:fldCharType="separate"/>
            </w:r>
            <w:r>
              <w:rPr>
                <w:rStyle w:val="IndexLink"/>
                <w:rFonts w:ascii="Times New Roman" w:hAnsi="Times New Roman"/>
                <w:sz w:val="22"/>
              </w:rPr>
              <w:t>REIKALAVIMAI FUNKCIONALUMŲ VYSTYMUI</w:t>
              <w:tab/>
              <w:t>7</w:t>
            </w:r>
            <w:r>
              <w:rPr>
                <w:webHidden/>
              </w:rPr>
              <w:fldChar w:fldCharType="end"/>
            </w:r>
          </w:hyperlink>
        </w:p>
        <w:p>
          <w:pPr>
            <w:pStyle w:val="TOC2"/>
            <w:tabs>
              <w:tab w:val="clear" w:pos="720"/>
              <w:tab w:val="left" w:pos="880" w:leader="none"/>
              <w:tab w:val="right" w:pos="9962" w:leader="dot"/>
            </w:tabs>
            <w:rPr/>
          </w:pPr>
          <w:hyperlink w:anchor="_Toc151027909">
            <w:r>
              <w:rPr>
                <w:webHidden/>
                <w:rStyle w:val="IndexLink"/>
                <w:rFonts w:ascii="Times New Roman" w:hAnsi="Times New Roman"/>
                <w:vanish w:val="false"/>
                <w:sz w:val="22"/>
              </w:rPr>
              <w:t>7.1.</w:t>
            </w:r>
            <w:r>
              <w:rPr>
                <w:rStyle w:val="IndexLink"/>
                <w:rFonts w:eastAsia="" w:ascii="Times New Roman" w:hAnsi="Times New Roman" w:eastAsiaTheme="minorEastAsia"/>
                <w:kern w:val="2"/>
                <w:sz w:val="22"/>
                <w:lang w:val="en-US"/>
                <w14:ligatures w14:val="standardContextual"/>
              </w:rPr>
              <w:tab/>
            </w:r>
            <w:r>
              <w:rPr>
                <w:webHidden/>
              </w:rPr>
              <w:fldChar w:fldCharType="begin"/>
            </w:r>
            <w:r>
              <w:rPr>
                <w:webHidden/>
              </w:rPr>
              <w:instrText xml:space="preserve">PAGEREF _Toc151027909 \h</w:instrText>
            </w:r>
            <w:r>
              <w:rPr>
                <w:webHidden/>
              </w:rPr>
              <w:fldChar w:fldCharType="separate"/>
            </w:r>
            <w:r>
              <w:rPr>
                <w:rStyle w:val="IndexLink"/>
                <w:rFonts w:ascii="Times New Roman" w:hAnsi="Times New Roman"/>
                <w:sz w:val="22"/>
              </w:rPr>
              <w:t>Reikalavimai reikalavimų įgyvendinimui</w:t>
              <w:tab/>
              <w:t>7</w:t>
            </w:r>
            <w:r>
              <w:rPr>
                <w:webHidden/>
              </w:rPr>
              <w:fldChar w:fldCharType="end"/>
            </w:r>
          </w:hyperlink>
        </w:p>
        <w:p>
          <w:pPr>
            <w:pStyle w:val="TOC2"/>
            <w:tabs>
              <w:tab w:val="clear" w:pos="720"/>
              <w:tab w:val="left" w:pos="880" w:leader="none"/>
              <w:tab w:val="right" w:pos="9962" w:leader="dot"/>
            </w:tabs>
            <w:rPr/>
          </w:pPr>
          <w:hyperlink w:anchor="_Toc151027910">
            <w:r>
              <w:rPr>
                <w:webHidden/>
                <w:rStyle w:val="IndexLink"/>
                <w:rFonts w:ascii="Times New Roman" w:hAnsi="Times New Roman"/>
                <w:vanish w:val="false"/>
                <w:sz w:val="22"/>
              </w:rPr>
              <w:t>7.2.</w:t>
            </w:r>
            <w:r>
              <w:rPr>
                <w:rStyle w:val="IndexLink"/>
                <w:rFonts w:eastAsia="" w:ascii="Times New Roman" w:hAnsi="Times New Roman" w:eastAsiaTheme="minorEastAsia"/>
                <w:kern w:val="2"/>
                <w:sz w:val="22"/>
                <w:lang w:val="en-US"/>
                <w14:ligatures w14:val="standardContextual"/>
              </w:rPr>
              <w:tab/>
            </w:r>
            <w:r>
              <w:rPr>
                <w:webHidden/>
              </w:rPr>
              <w:fldChar w:fldCharType="begin"/>
            </w:r>
            <w:r>
              <w:rPr>
                <w:webHidden/>
              </w:rPr>
              <w:instrText xml:space="preserve">PAGEREF _Toc151027910 \h</w:instrText>
            </w:r>
            <w:r>
              <w:rPr>
                <w:webHidden/>
              </w:rPr>
              <w:fldChar w:fldCharType="separate"/>
            </w:r>
            <w:r>
              <w:rPr>
                <w:rStyle w:val="IndexLink"/>
                <w:rFonts w:ascii="Times New Roman" w:hAnsi="Times New Roman"/>
                <w:sz w:val="22"/>
              </w:rPr>
              <w:t>Reikalavimai saugumui</w:t>
              <w:tab/>
              <w:t>8</w:t>
            </w:r>
            <w:r>
              <w:rPr>
                <w:webHidden/>
              </w:rPr>
              <w:fldChar w:fldCharType="end"/>
            </w:r>
          </w:hyperlink>
        </w:p>
        <w:p>
          <w:pPr>
            <w:pStyle w:val="TOC2"/>
            <w:tabs>
              <w:tab w:val="clear" w:pos="720"/>
              <w:tab w:val="left" w:pos="880" w:leader="none"/>
              <w:tab w:val="right" w:pos="9962" w:leader="dot"/>
            </w:tabs>
            <w:rPr/>
          </w:pPr>
          <w:hyperlink w:anchor="_Toc151027911">
            <w:r>
              <w:rPr>
                <w:webHidden/>
                <w:rStyle w:val="IndexLink"/>
                <w:rFonts w:ascii="Times New Roman" w:hAnsi="Times New Roman"/>
                <w:vanish w:val="false"/>
                <w:sz w:val="22"/>
              </w:rPr>
              <w:t>7.3.</w:t>
            </w:r>
            <w:r>
              <w:rPr>
                <w:rStyle w:val="IndexLink"/>
                <w:rFonts w:eastAsia="" w:ascii="Times New Roman" w:hAnsi="Times New Roman" w:eastAsiaTheme="minorEastAsia"/>
                <w:kern w:val="2"/>
                <w:sz w:val="22"/>
                <w:lang w:val="en-US"/>
                <w14:ligatures w14:val="standardContextual"/>
              </w:rPr>
              <w:tab/>
            </w:r>
            <w:r>
              <w:rPr>
                <w:webHidden/>
              </w:rPr>
              <w:fldChar w:fldCharType="begin"/>
            </w:r>
            <w:r>
              <w:rPr>
                <w:webHidden/>
              </w:rPr>
              <w:instrText xml:space="preserve">PAGEREF _Toc151027911 \h</w:instrText>
            </w:r>
            <w:r>
              <w:rPr>
                <w:webHidden/>
              </w:rPr>
              <w:fldChar w:fldCharType="separate"/>
            </w:r>
            <w:r>
              <w:rPr>
                <w:rStyle w:val="IndexLink"/>
                <w:rFonts w:ascii="Times New Roman" w:hAnsi="Times New Roman"/>
                <w:sz w:val="22"/>
              </w:rPr>
              <w:t>Reikalavimai architektūrai</w:t>
              <w:tab/>
              <w:t>8</w:t>
            </w:r>
            <w:r>
              <w:rPr>
                <w:webHidden/>
              </w:rPr>
              <w:fldChar w:fldCharType="end"/>
            </w:r>
          </w:hyperlink>
        </w:p>
        <w:p>
          <w:pPr>
            <w:pStyle w:val="TOC2"/>
            <w:tabs>
              <w:tab w:val="clear" w:pos="720"/>
              <w:tab w:val="left" w:pos="880" w:leader="none"/>
              <w:tab w:val="right" w:pos="9962" w:leader="dot"/>
            </w:tabs>
            <w:rPr/>
          </w:pPr>
          <w:hyperlink w:anchor="_Toc151027912">
            <w:r>
              <w:rPr>
                <w:webHidden/>
                <w:rStyle w:val="IndexLink"/>
                <w:rFonts w:ascii="Times New Roman" w:hAnsi="Times New Roman"/>
                <w:vanish w:val="false"/>
                <w:sz w:val="22"/>
              </w:rPr>
              <w:t>7.4.</w:t>
            </w:r>
            <w:r>
              <w:rPr>
                <w:rStyle w:val="IndexLink"/>
                <w:rFonts w:eastAsia="" w:ascii="Times New Roman" w:hAnsi="Times New Roman" w:eastAsiaTheme="minorEastAsia"/>
                <w:kern w:val="2"/>
                <w:sz w:val="22"/>
                <w:lang w:val="en-US"/>
                <w14:ligatures w14:val="standardContextual"/>
              </w:rPr>
              <w:tab/>
            </w:r>
            <w:r>
              <w:rPr>
                <w:webHidden/>
              </w:rPr>
              <w:fldChar w:fldCharType="begin"/>
            </w:r>
            <w:r>
              <w:rPr>
                <w:webHidden/>
              </w:rPr>
              <w:instrText xml:space="preserve">PAGEREF _Toc151027912 \h</w:instrText>
            </w:r>
            <w:r>
              <w:rPr>
                <w:webHidden/>
              </w:rPr>
              <w:fldChar w:fldCharType="separate"/>
            </w:r>
            <w:r>
              <w:rPr>
                <w:rStyle w:val="IndexLink"/>
                <w:rFonts w:ascii="Times New Roman" w:hAnsi="Times New Roman"/>
                <w:sz w:val="22"/>
              </w:rPr>
              <w:t>Reikalavimai programinei įrangai ir licencijoms</w:t>
              <w:tab/>
              <w:t>8</w:t>
            </w:r>
            <w:r>
              <w:rPr>
                <w:webHidden/>
              </w:rPr>
              <w:fldChar w:fldCharType="end"/>
            </w:r>
          </w:hyperlink>
        </w:p>
        <w:p>
          <w:pPr>
            <w:pStyle w:val="TOC2"/>
            <w:tabs>
              <w:tab w:val="clear" w:pos="720"/>
              <w:tab w:val="left" w:pos="880" w:leader="none"/>
              <w:tab w:val="right" w:pos="9962" w:leader="dot"/>
            </w:tabs>
            <w:rPr/>
          </w:pPr>
          <w:hyperlink w:anchor="_Toc151027913">
            <w:r>
              <w:rPr>
                <w:webHidden/>
                <w:rStyle w:val="IndexLink"/>
                <w:rFonts w:ascii="Times New Roman" w:hAnsi="Times New Roman"/>
                <w:vanish w:val="false"/>
                <w:sz w:val="22"/>
              </w:rPr>
              <w:t>7.5.</w:t>
            </w:r>
            <w:r>
              <w:rPr>
                <w:rStyle w:val="IndexLink"/>
                <w:rFonts w:eastAsia="" w:ascii="Times New Roman" w:hAnsi="Times New Roman" w:eastAsiaTheme="minorEastAsia"/>
                <w:kern w:val="2"/>
                <w:sz w:val="22"/>
                <w:lang w:val="en-US"/>
                <w14:ligatures w14:val="standardContextual"/>
              </w:rPr>
              <w:tab/>
            </w:r>
            <w:r>
              <w:rPr>
                <w:webHidden/>
              </w:rPr>
              <w:fldChar w:fldCharType="begin"/>
            </w:r>
            <w:r>
              <w:rPr>
                <w:webHidden/>
              </w:rPr>
              <w:instrText xml:space="preserve">PAGEREF _Toc151027913 \h</w:instrText>
            </w:r>
            <w:r>
              <w:rPr>
                <w:webHidden/>
              </w:rPr>
              <w:fldChar w:fldCharType="separate"/>
            </w:r>
            <w:r>
              <w:rPr>
                <w:rStyle w:val="IndexLink"/>
                <w:rFonts w:ascii="Times New Roman" w:hAnsi="Times New Roman"/>
                <w:sz w:val="22"/>
              </w:rPr>
              <w:t>Reikalavimai naudotojo sąsajai ir ergonomikai</w:t>
              <w:tab/>
              <w:t>9</w:t>
            </w:r>
            <w:r>
              <w:rPr>
                <w:webHidden/>
              </w:rPr>
              <w:fldChar w:fldCharType="end"/>
            </w:r>
          </w:hyperlink>
        </w:p>
        <w:p>
          <w:pPr>
            <w:pStyle w:val="TOC2"/>
            <w:tabs>
              <w:tab w:val="clear" w:pos="720"/>
              <w:tab w:val="left" w:pos="880" w:leader="none"/>
              <w:tab w:val="right" w:pos="9962" w:leader="dot"/>
            </w:tabs>
            <w:rPr/>
          </w:pPr>
          <w:hyperlink w:anchor="_Toc151027914">
            <w:r>
              <w:rPr>
                <w:webHidden/>
                <w:rStyle w:val="IndexLink"/>
                <w:rFonts w:ascii="Times New Roman" w:hAnsi="Times New Roman"/>
                <w:vanish w:val="false"/>
                <w:sz w:val="22"/>
              </w:rPr>
              <w:t>7.6.</w:t>
            </w:r>
            <w:r>
              <w:rPr>
                <w:rStyle w:val="IndexLink"/>
                <w:rFonts w:eastAsia="" w:ascii="Times New Roman" w:hAnsi="Times New Roman" w:eastAsiaTheme="minorEastAsia"/>
                <w:kern w:val="2"/>
                <w:sz w:val="22"/>
                <w:lang w:val="en-US"/>
                <w14:ligatures w14:val="standardContextual"/>
              </w:rPr>
              <w:tab/>
            </w:r>
            <w:r>
              <w:rPr>
                <w:webHidden/>
              </w:rPr>
              <w:fldChar w:fldCharType="begin"/>
            </w:r>
            <w:r>
              <w:rPr>
                <w:webHidden/>
              </w:rPr>
              <w:instrText xml:space="preserve">PAGEREF _Toc151027914 \h</w:instrText>
            </w:r>
            <w:r>
              <w:rPr>
                <w:webHidden/>
              </w:rPr>
              <w:fldChar w:fldCharType="separate"/>
            </w:r>
            <w:r>
              <w:rPr>
                <w:rStyle w:val="IndexLink"/>
                <w:rFonts w:ascii="Times New Roman" w:hAnsi="Times New Roman"/>
                <w:sz w:val="22"/>
              </w:rPr>
              <w:t>Reikalavimai greitaveikai ir našumui</w:t>
              <w:tab/>
              <w:t>11</w:t>
            </w:r>
            <w:r>
              <w:rPr>
                <w:webHidden/>
              </w:rPr>
              <w:fldChar w:fldCharType="end"/>
            </w:r>
          </w:hyperlink>
        </w:p>
        <w:p>
          <w:pPr>
            <w:pStyle w:val="TOC2"/>
            <w:tabs>
              <w:tab w:val="clear" w:pos="720"/>
              <w:tab w:val="left" w:pos="880" w:leader="none"/>
              <w:tab w:val="right" w:pos="9962" w:leader="dot"/>
            </w:tabs>
            <w:rPr/>
          </w:pPr>
          <w:hyperlink w:anchor="_Toc151027915">
            <w:r>
              <w:rPr>
                <w:webHidden/>
                <w:rStyle w:val="IndexLink"/>
                <w:rFonts w:ascii="Times New Roman" w:hAnsi="Times New Roman"/>
                <w:vanish w:val="false"/>
                <w:sz w:val="22"/>
              </w:rPr>
              <w:t>7.7.</w:t>
            </w:r>
            <w:r>
              <w:rPr>
                <w:rStyle w:val="IndexLink"/>
                <w:rFonts w:eastAsia="" w:ascii="Times New Roman" w:hAnsi="Times New Roman" w:eastAsiaTheme="minorEastAsia"/>
                <w:kern w:val="2"/>
                <w:sz w:val="22"/>
                <w:lang w:val="en-US"/>
                <w14:ligatures w14:val="standardContextual"/>
              </w:rPr>
              <w:tab/>
            </w:r>
            <w:r>
              <w:rPr>
                <w:webHidden/>
              </w:rPr>
              <w:fldChar w:fldCharType="begin"/>
            </w:r>
            <w:r>
              <w:rPr>
                <w:webHidden/>
              </w:rPr>
              <w:instrText xml:space="preserve">PAGEREF _Toc151027915 \h</w:instrText>
            </w:r>
            <w:r>
              <w:rPr>
                <w:webHidden/>
              </w:rPr>
              <w:fldChar w:fldCharType="separate"/>
            </w:r>
            <w:r>
              <w:rPr>
                <w:rStyle w:val="IndexLink"/>
                <w:rFonts w:ascii="Times New Roman" w:hAnsi="Times New Roman"/>
                <w:sz w:val="22"/>
              </w:rPr>
              <w:t>Reikalavimai paslaugų teikimui</w:t>
              <w:tab/>
              <w:t>11</w:t>
            </w:r>
            <w:r>
              <w:rPr>
                <w:webHidden/>
              </w:rPr>
              <w:fldChar w:fldCharType="end"/>
            </w:r>
          </w:hyperlink>
        </w:p>
        <w:p>
          <w:pPr>
            <w:pStyle w:val="TOC3"/>
            <w:tabs>
              <w:tab w:val="clear" w:pos="720"/>
              <w:tab w:val="left" w:pos="1320" w:leader="none"/>
              <w:tab w:val="right" w:pos="9962" w:leader="dot"/>
            </w:tabs>
            <w:rPr/>
          </w:pPr>
          <w:hyperlink w:anchor="_Toc151027916">
            <w:r>
              <w:rPr>
                <w:webHidden/>
                <w:rStyle w:val="IndexLink"/>
                <w:rFonts w:ascii="Times New Roman" w:hAnsi="Times New Roman"/>
                <w:vanish w:val="false"/>
                <w:sz w:val="22"/>
              </w:rPr>
              <w:t>7.7.1.</w:t>
            </w:r>
            <w:r>
              <w:rPr>
                <w:rStyle w:val="IndexLink"/>
                <w:rFonts w:eastAsia="" w:ascii="Times New Roman" w:hAnsi="Times New Roman" w:eastAsiaTheme="minorEastAsia"/>
                <w:kern w:val="2"/>
                <w:sz w:val="22"/>
                <w:lang w:val="en-US"/>
                <w14:ligatures w14:val="standardContextual"/>
              </w:rPr>
              <w:tab/>
            </w:r>
            <w:r>
              <w:rPr>
                <w:webHidden/>
              </w:rPr>
              <w:fldChar w:fldCharType="begin"/>
            </w:r>
            <w:r>
              <w:rPr>
                <w:webHidden/>
              </w:rPr>
              <w:instrText xml:space="preserve">PAGEREF _Toc151027916 \h</w:instrText>
            </w:r>
            <w:r>
              <w:rPr>
                <w:webHidden/>
              </w:rPr>
              <w:fldChar w:fldCharType="separate"/>
            </w:r>
            <w:r>
              <w:rPr>
                <w:rStyle w:val="IndexLink"/>
                <w:rFonts w:ascii="Times New Roman" w:hAnsi="Times New Roman"/>
                <w:sz w:val="22"/>
              </w:rPr>
              <w:t>Reikalavimai analizei ir projektavimui</w:t>
              <w:tab/>
              <w:t>11</w:t>
            </w:r>
            <w:r>
              <w:rPr>
                <w:webHidden/>
              </w:rPr>
              <w:fldChar w:fldCharType="end"/>
            </w:r>
          </w:hyperlink>
        </w:p>
        <w:p>
          <w:pPr>
            <w:pStyle w:val="TOC3"/>
            <w:tabs>
              <w:tab w:val="clear" w:pos="720"/>
              <w:tab w:val="left" w:pos="1320" w:leader="none"/>
              <w:tab w:val="right" w:pos="9962" w:leader="dot"/>
            </w:tabs>
            <w:rPr/>
          </w:pPr>
          <w:hyperlink w:anchor="_Toc151027917">
            <w:r>
              <w:rPr>
                <w:webHidden/>
                <w:rStyle w:val="IndexLink"/>
                <w:rFonts w:ascii="Times New Roman" w:hAnsi="Times New Roman"/>
                <w:vanish w:val="false"/>
                <w:sz w:val="22"/>
              </w:rPr>
              <w:t>7.7.2.</w:t>
            </w:r>
            <w:r>
              <w:rPr>
                <w:rStyle w:val="IndexLink"/>
                <w:rFonts w:eastAsia="" w:ascii="Times New Roman" w:hAnsi="Times New Roman" w:eastAsiaTheme="minorEastAsia"/>
                <w:kern w:val="2"/>
                <w:sz w:val="22"/>
                <w:lang w:val="en-US"/>
                <w14:ligatures w14:val="standardContextual"/>
              </w:rPr>
              <w:tab/>
            </w:r>
            <w:r>
              <w:rPr>
                <w:webHidden/>
              </w:rPr>
              <w:fldChar w:fldCharType="begin"/>
            </w:r>
            <w:r>
              <w:rPr>
                <w:webHidden/>
              </w:rPr>
              <w:instrText xml:space="preserve">PAGEREF _Toc151027917 \h</w:instrText>
            </w:r>
            <w:r>
              <w:rPr>
                <w:webHidden/>
              </w:rPr>
              <w:fldChar w:fldCharType="separate"/>
            </w:r>
            <w:r>
              <w:rPr>
                <w:rStyle w:val="IndexLink"/>
                <w:rFonts w:ascii="Times New Roman" w:hAnsi="Times New Roman"/>
                <w:sz w:val="22"/>
              </w:rPr>
              <w:t>Reikalavimai testavimui</w:t>
              <w:tab/>
              <w:t>11</w:t>
            </w:r>
            <w:r>
              <w:rPr>
                <w:webHidden/>
              </w:rPr>
              <w:fldChar w:fldCharType="end"/>
            </w:r>
          </w:hyperlink>
        </w:p>
        <w:p>
          <w:pPr>
            <w:pStyle w:val="TOC3"/>
            <w:tabs>
              <w:tab w:val="clear" w:pos="720"/>
              <w:tab w:val="left" w:pos="1320" w:leader="none"/>
              <w:tab w:val="right" w:pos="9962" w:leader="dot"/>
            </w:tabs>
            <w:rPr/>
          </w:pPr>
          <w:hyperlink w:anchor="_Toc151027918">
            <w:r>
              <w:rPr>
                <w:webHidden/>
                <w:rStyle w:val="IndexLink"/>
                <w:rFonts w:ascii="Times New Roman" w:hAnsi="Times New Roman"/>
                <w:vanish w:val="false"/>
                <w:sz w:val="22"/>
              </w:rPr>
              <w:t>7.7.3.</w:t>
            </w:r>
            <w:r>
              <w:rPr>
                <w:rStyle w:val="IndexLink"/>
                <w:rFonts w:eastAsia="" w:ascii="Times New Roman" w:hAnsi="Times New Roman" w:eastAsiaTheme="minorEastAsia"/>
                <w:kern w:val="2"/>
                <w:sz w:val="22"/>
                <w:lang w:val="en-US"/>
                <w14:ligatures w14:val="standardContextual"/>
              </w:rPr>
              <w:tab/>
            </w:r>
            <w:r>
              <w:rPr>
                <w:webHidden/>
              </w:rPr>
              <w:fldChar w:fldCharType="begin"/>
            </w:r>
            <w:r>
              <w:rPr>
                <w:webHidden/>
              </w:rPr>
              <w:instrText xml:space="preserve">PAGEREF _Toc151027918 \h</w:instrText>
            </w:r>
            <w:r>
              <w:rPr>
                <w:webHidden/>
              </w:rPr>
              <w:fldChar w:fldCharType="separate"/>
            </w:r>
            <w:r>
              <w:rPr>
                <w:rStyle w:val="IndexLink"/>
                <w:rFonts w:ascii="Times New Roman" w:hAnsi="Times New Roman"/>
                <w:sz w:val="22"/>
              </w:rPr>
              <w:t>Reikalavimai diegimui</w:t>
              <w:tab/>
              <w:t>13</w:t>
            </w:r>
            <w:r>
              <w:rPr>
                <w:webHidden/>
              </w:rPr>
              <w:fldChar w:fldCharType="end"/>
            </w:r>
          </w:hyperlink>
        </w:p>
        <w:p>
          <w:pPr>
            <w:pStyle w:val="TOC3"/>
            <w:tabs>
              <w:tab w:val="clear" w:pos="720"/>
              <w:tab w:val="left" w:pos="1320" w:leader="none"/>
              <w:tab w:val="right" w:pos="9962" w:leader="dot"/>
            </w:tabs>
            <w:rPr/>
          </w:pPr>
          <w:hyperlink w:anchor="_Toc151027919">
            <w:r>
              <w:rPr>
                <w:webHidden/>
                <w:rStyle w:val="IndexLink"/>
                <w:rFonts w:ascii="Times New Roman" w:hAnsi="Times New Roman"/>
                <w:vanish w:val="false"/>
                <w:sz w:val="22"/>
              </w:rPr>
              <w:t>7.7.4.</w:t>
            </w:r>
            <w:r>
              <w:rPr>
                <w:rStyle w:val="IndexLink"/>
                <w:rFonts w:eastAsia="" w:ascii="Times New Roman" w:hAnsi="Times New Roman" w:eastAsiaTheme="minorEastAsia"/>
                <w:kern w:val="2"/>
                <w:sz w:val="22"/>
                <w:lang w:val="en-US"/>
                <w14:ligatures w14:val="standardContextual"/>
              </w:rPr>
              <w:tab/>
            </w:r>
            <w:r>
              <w:rPr>
                <w:webHidden/>
              </w:rPr>
              <w:fldChar w:fldCharType="begin"/>
            </w:r>
            <w:r>
              <w:rPr>
                <w:webHidden/>
              </w:rPr>
              <w:instrText xml:space="preserve">PAGEREF _Toc151027919 \h</w:instrText>
            </w:r>
            <w:r>
              <w:rPr>
                <w:webHidden/>
              </w:rPr>
              <w:fldChar w:fldCharType="separate"/>
            </w:r>
            <w:r>
              <w:rPr>
                <w:rStyle w:val="IndexLink"/>
                <w:rFonts w:ascii="Times New Roman" w:hAnsi="Times New Roman"/>
                <w:sz w:val="22"/>
              </w:rPr>
              <w:t>Reikalavimai bandomajai eksploatacijai</w:t>
              <w:tab/>
              <w:t>13</w:t>
            </w:r>
            <w:r>
              <w:rPr>
                <w:webHidden/>
              </w:rPr>
              <w:fldChar w:fldCharType="end"/>
            </w:r>
          </w:hyperlink>
        </w:p>
        <w:p>
          <w:pPr>
            <w:pStyle w:val="TOC3"/>
            <w:tabs>
              <w:tab w:val="clear" w:pos="720"/>
              <w:tab w:val="left" w:pos="1320" w:leader="none"/>
              <w:tab w:val="right" w:pos="9962" w:leader="dot"/>
            </w:tabs>
            <w:rPr/>
          </w:pPr>
          <w:hyperlink w:anchor="_Toc151027920">
            <w:r>
              <w:rPr>
                <w:webHidden/>
                <w:rStyle w:val="IndexLink"/>
                <w:rFonts w:ascii="Times New Roman" w:hAnsi="Times New Roman"/>
                <w:vanish w:val="false"/>
                <w:sz w:val="22"/>
              </w:rPr>
              <w:t>7.7.5.</w:t>
            </w:r>
            <w:r>
              <w:rPr>
                <w:rStyle w:val="IndexLink"/>
                <w:rFonts w:eastAsia="" w:ascii="Times New Roman" w:hAnsi="Times New Roman" w:eastAsiaTheme="minorEastAsia"/>
                <w:kern w:val="2"/>
                <w:sz w:val="22"/>
                <w:lang w:val="en-US"/>
                <w14:ligatures w14:val="standardContextual"/>
              </w:rPr>
              <w:tab/>
            </w:r>
            <w:r>
              <w:rPr>
                <w:webHidden/>
              </w:rPr>
              <w:fldChar w:fldCharType="begin"/>
            </w:r>
            <w:r>
              <w:rPr>
                <w:webHidden/>
              </w:rPr>
              <w:instrText xml:space="preserve">PAGEREF _Toc151027920 \h</w:instrText>
            </w:r>
            <w:r>
              <w:rPr>
                <w:webHidden/>
              </w:rPr>
              <w:fldChar w:fldCharType="separate"/>
            </w:r>
            <w:r>
              <w:rPr>
                <w:rStyle w:val="IndexLink"/>
                <w:rFonts w:ascii="Times New Roman" w:hAnsi="Times New Roman"/>
                <w:sz w:val="22"/>
              </w:rPr>
              <w:t>Reikalavimai mokymams</w:t>
              <w:tab/>
              <w:t>14</w:t>
            </w:r>
            <w:r>
              <w:rPr>
                <w:webHidden/>
              </w:rPr>
              <w:fldChar w:fldCharType="end"/>
            </w:r>
          </w:hyperlink>
        </w:p>
        <w:p>
          <w:pPr>
            <w:pStyle w:val="TOC3"/>
            <w:tabs>
              <w:tab w:val="clear" w:pos="720"/>
              <w:tab w:val="left" w:pos="1320" w:leader="none"/>
              <w:tab w:val="right" w:pos="9962" w:leader="dot"/>
            </w:tabs>
            <w:rPr/>
          </w:pPr>
          <w:hyperlink w:anchor="_Toc151027921">
            <w:r>
              <w:rPr>
                <w:webHidden/>
                <w:rStyle w:val="IndexLink"/>
                <w:rFonts w:ascii="Times New Roman" w:hAnsi="Times New Roman"/>
                <w:vanish w:val="false"/>
                <w:sz w:val="22"/>
              </w:rPr>
              <w:t>7.7.6.</w:t>
            </w:r>
            <w:r>
              <w:rPr>
                <w:rStyle w:val="IndexLink"/>
                <w:rFonts w:eastAsia="" w:ascii="Times New Roman" w:hAnsi="Times New Roman" w:eastAsiaTheme="minorEastAsia"/>
                <w:kern w:val="2"/>
                <w:sz w:val="22"/>
                <w:lang w:val="en-US"/>
                <w14:ligatures w14:val="standardContextual"/>
              </w:rPr>
              <w:tab/>
            </w:r>
            <w:r>
              <w:rPr>
                <w:webHidden/>
              </w:rPr>
              <w:fldChar w:fldCharType="begin"/>
            </w:r>
            <w:r>
              <w:rPr>
                <w:webHidden/>
              </w:rPr>
              <w:instrText xml:space="preserve">PAGEREF _Toc151027921 \h</w:instrText>
            </w:r>
            <w:r>
              <w:rPr>
                <w:webHidden/>
              </w:rPr>
              <w:fldChar w:fldCharType="separate"/>
            </w:r>
            <w:r>
              <w:rPr>
                <w:rStyle w:val="IndexLink"/>
                <w:rFonts w:ascii="Times New Roman" w:hAnsi="Times New Roman"/>
                <w:sz w:val="22"/>
              </w:rPr>
              <w:t>Reikalavimai galutiniam modernizuoto PINREG priėmimui</w:t>
              <w:tab/>
              <w:t>14</w:t>
            </w:r>
            <w:r>
              <w:rPr>
                <w:webHidden/>
              </w:rPr>
              <w:fldChar w:fldCharType="end"/>
            </w:r>
          </w:hyperlink>
        </w:p>
        <w:p>
          <w:pPr>
            <w:pStyle w:val="TOC3"/>
            <w:tabs>
              <w:tab w:val="clear" w:pos="720"/>
              <w:tab w:val="left" w:pos="1320" w:leader="none"/>
              <w:tab w:val="right" w:pos="9962" w:leader="dot"/>
            </w:tabs>
            <w:rPr/>
          </w:pPr>
          <w:hyperlink w:anchor="_Toc151027922">
            <w:r>
              <w:rPr>
                <w:webHidden/>
                <w:rStyle w:val="IndexLink"/>
                <w:rFonts w:ascii="Times New Roman" w:hAnsi="Times New Roman"/>
                <w:vanish w:val="false"/>
                <w:sz w:val="22"/>
              </w:rPr>
              <w:t>7.7.7.</w:t>
            </w:r>
            <w:r>
              <w:rPr>
                <w:rStyle w:val="IndexLink"/>
                <w:rFonts w:eastAsia="" w:ascii="Times New Roman" w:hAnsi="Times New Roman" w:eastAsiaTheme="minorEastAsia"/>
                <w:kern w:val="2"/>
                <w:sz w:val="22"/>
                <w:lang w:val="en-US"/>
                <w14:ligatures w14:val="standardContextual"/>
              </w:rPr>
              <w:tab/>
            </w:r>
            <w:r>
              <w:rPr>
                <w:webHidden/>
              </w:rPr>
              <w:fldChar w:fldCharType="begin"/>
            </w:r>
            <w:r>
              <w:rPr>
                <w:webHidden/>
              </w:rPr>
              <w:instrText xml:space="preserve">PAGEREF _Toc151027922 \h</w:instrText>
            </w:r>
            <w:r>
              <w:rPr>
                <w:webHidden/>
              </w:rPr>
              <w:fldChar w:fldCharType="separate"/>
            </w:r>
            <w:r>
              <w:rPr>
                <w:rStyle w:val="IndexLink"/>
                <w:rFonts w:ascii="Times New Roman" w:hAnsi="Times New Roman"/>
                <w:sz w:val="22"/>
              </w:rPr>
              <w:t>Reikalavimai garantinei priežiūrai</w:t>
              <w:tab/>
              <w:t>15</w:t>
            </w:r>
            <w:r>
              <w:rPr>
                <w:webHidden/>
              </w:rPr>
              <w:fldChar w:fldCharType="end"/>
            </w:r>
          </w:hyperlink>
        </w:p>
        <w:p>
          <w:pPr>
            <w:pStyle w:val="TOC2"/>
            <w:tabs>
              <w:tab w:val="clear" w:pos="720"/>
              <w:tab w:val="left" w:pos="880" w:leader="none"/>
              <w:tab w:val="right" w:pos="9962" w:leader="dot"/>
            </w:tabs>
            <w:rPr/>
          </w:pPr>
          <w:hyperlink w:anchor="_Toc151027923">
            <w:r>
              <w:rPr>
                <w:webHidden/>
                <w:rStyle w:val="IndexLink"/>
                <w:rFonts w:ascii="Times New Roman" w:hAnsi="Times New Roman"/>
                <w:vanish w:val="false"/>
                <w:sz w:val="22"/>
              </w:rPr>
              <w:t>7.8.</w:t>
            </w:r>
            <w:r>
              <w:rPr>
                <w:rStyle w:val="IndexLink"/>
                <w:rFonts w:eastAsia="" w:ascii="Times New Roman" w:hAnsi="Times New Roman" w:eastAsiaTheme="minorEastAsia"/>
                <w:kern w:val="2"/>
                <w:sz w:val="22"/>
                <w:lang w:val="en-US"/>
                <w14:ligatures w14:val="standardContextual"/>
              </w:rPr>
              <w:tab/>
            </w:r>
            <w:r>
              <w:rPr>
                <w:webHidden/>
              </w:rPr>
              <w:fldChar w:fldCharType="begin"/>
            </w:r>
            <w:r>
              <w:rPr>
                <w:webHidden/>
              </w:rPr>
              <w:instrText xml:space="preserve">PAGEREF _Toc151027923 \h</w:instrText>
            </w:r>
            <w:r>
              <w:rPr>
                <w:webHidden/>
              </w:rPr>
              <w:fldChar w:fldCharType="separate"/>
            </w:r>
            <w:r>
              <w:rPr>
                <w:rStyle w:val="IndexLink"/>
                <w:rFonts w:ascii="Times New Roman" w:hAnsi="Times New Roman"/>
                <w:sz w:val="22"/>
              </w:rPr>
              <w:t>Reikalavimai dokumentacijai</w:t>
              <w:tab/>
              <w:t>16</w:t>
            </w:r>
            <w:r>
              <w:rPr>
                <w:webHidden/>
              </w:rPr>
              <w:fldChar w:fldCharType="end"/>
            </w:r>
          </w:hyperlink>
        </w:p>
        <w:p>
          <w:pPr>
            <w:pStyle w:val="TOC1"/>
            <w:tabs>
              <w:tab w:val="clear" w:pos="720"/>
              <w:tab w:val="left" w:pos="440" w:leader="none"/>
              <w:tab w:val="right" w:pos="9962" w:leader="dot"/>
            </w:tabs>
            <w:rPr/>
          </w:pPr>
          <w:hyperlink w:anchor="_Toc151027924">
            <w:r>
              <w:rPr>
                <w:webHidden/>
                <w:rStyle w:val="IndexLink"/>
                <w:rFonts w:ascii="Times New Roman" w:hAnsi="Times New Roman"/>
                <w:vanish w:val="false"/>
                <w:sz w:val="22"/>
                <w:lang w:val="en-US"/>
              </w:rPr>
              <w:t>8.</w:t>
            </w:r>
            <w:r>
              <w:rPr>
                <w:rStyle w:val="IndexLink"/>
                <w:rFonts w:eastAsia="" w:ascii="Times New Roman" w:hAnsi="Times New Roman" w:eastAsiaTheme="minorEastAsia"/>
                <w:kern w:val="2"/>
                <w:sz w:val="22"/>
                <w:lang w:val="en-US"/>
                <w14:ligatures w14:val="standardContextual"/>
              </w:rPr>
              <w:tab/>
            </w:r>
            <w:r>
              <w:rPr>
                <w:webHidden/>
              </w:rPr>
              <w:fldChar w:fldCharType="begin"/>
            </w:r>
            <w:r>
              <w:rPr>
                <w:webHidden/>
              </w:rPr>
              <w:instrText xml:space="preserve">PAGEREF _Toc151027924 \h</w:instrText>
            </w:r>
            <w:r>
              <w:rPr>
                <w:webHidden/>
              </w:rPr>
              <w:fldChar w:fldCharType="separate"/>
            </w:r>
            <w:r>
              <w:rPr>
                <w:rStyle w:val="IndexLink"/>
                <w:rFonts w:ascii="Times New Roman" w:hAnsi="Times New Roman"/>
                <w:sz w:val="22"/>
                <w:lang w:val="en-US"/>
              </w:rPr>
              <w:t>REIKALAVIMAI PINREG VYSTYMO IR DIEGIMO ETAPAMS BEI TERMINAMS</w:t>
              <w:tab/>
              <w:t>17</w:t>
            </w:r>
            <w:r>
              <w:rPr>
                <w:webHidden/>
              </w:rPr>
              <w:fldChar w:fldCharType="end"/>
            </w:r>
          </w:hyperlink>
          <w:r>
            <w:rPr>
              <w:rStyle w:val="IndexLink"/>
              <w:sz w:val="22"/>
              <w:rFonts w:ascii="Times New Roman" w:hAnsi="Times New Roman"/>
              <w:lang w:val="en-US"/>
            </w:rPr>
            <w:fldChar w:fldCharType="end"/>
          </w:r>
        </w:p>
      </w:sdtContent>
    </w:sdt>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b/>
        </w:rPr>
      </w:pPr>
      <w:r>
        <w:rPr>
          <w:rFonts w:cs="Times New Roman" w:ascii="Times New Roman" w:hAnsi="Times New Roman"/>
          <w:b/>
        </w:rPr>
      </w:r>
      <w:r>
        <w:br w:type="page"/>
      </w:r>
    </w:p>
    <w:p>
      <w:pPr>
        <w:pStyle w:val="Normal"/>
        <w:spacing w:before="0" w:after="160"/>
        <w:jc w:val="both"/>
        <w:rPr>
          <w:rFonts w:ascii="Times New Roman" w:hAnsi="Times New Roman"/>
        </w:rPr>
      </w:pPr>
      <w:r>
        <w:rPr>
          <w:rFonts w:cs="Times New Roman" w:ascii="Times New Roman" w:hAnsi="Times New Roman"/>
          <w:b/>
        </w:rPr>
        <w:t>SĄVOKOS IR SUTRUMPINIMAI</w:t>
      </w:r>
    </w:p>
    <w:tbl>
      <w:tblPr>
        <w:tblStyle w:val="TableGrid"/>
        <w:tblW w:w="5000" w:type="pct"/>
        <w:jc w:val="left"/>
        <w:tblInd w:w="0" w:type="dxa"/>
        <w:tblLayout w:type="fixed"/>
        <w:tblCellMar>
          <w:top w:w="0" w:type="dxa"/>
          <w:left w:w="108" w:type="dxa"/>
          <w:bottom w:w="0" w:type="dxa"/>
          <w:right w:w="108" w:type="dxa"/>
        </w:tblCellMar>
        <w:tblLook w:firstRow="1" w:noVBand="1" w:lastRow="0" w:firstColumn="1" w:lastColumn="0" w:noHBand="0" w:val="04a0"/>
      </w:tblPr>
      <w:tblGrid>
        <w:gridCol w:w="2310"/>
        <w:gridCol w:w="7661"/>
      </w:tblGrid>
      <w:tr>
        <w:trPr>
          <w:tblHeader w:val="true"/>
          <w:trHeight w:val="454" w:hRule="atLeast"/>
        </w:trPr>
        <w:tc>
          <w:tcPr>
            <w:tcW w:w="2310" w:type="dxa"/>
            <w:tcBorders/>
            <w:shd w:color="auto" w:fill="F2F2F2" w:themeFill="background1" w:themeFillShade="f2" w:val="clear"/>
            <w:vAlign w:val="center"/>
          </w:tcPr>
          <w:p>
            <w:pPr>
              <w:pStyle w:val="Lentelsvirsus"/>
              <w:widowControl/>
              <w:suppressAutoHyphens w:val="true"/>
              <w:spacing w:before="0" w:after="0"/>
              <w:rPr>
                <w:rFonts w:ascii="Times New Roman" w:hAnsi="Times New Roman"/>
              </w:rPr>
            </w:pPr>
            <w:r>
              <w:rPr>
                <w:rFonts w:ascii="Times New Roman" w:hAnsi="Times New Roman"/>
                <w:color w:val="auto"/>
                <w:kern w:val="0"/>
                <w:sz w:val="20"/>
                <w:szCs w:val="20"/>
                <w:lang w:eastAsia="en-US" w:bidi="ar-SA"/>
              </w:rPr>
              <w:t>Sąvoka / sutrumpinimas</w:t>
            </w:r>
          </w:p>
        </w:tc>
        <w:tc>
          <w:tcPr>
            <w:tcW w:w="7661" w:type="dxa"/>
            <w:tcBorders/>
            <w:shd w:color="auto" w:fill="F2F2F2" w:themeFill="background1" w:themeFillShade="f2" w:val="clear"/>
            <w:vAlign w:val="center"/>
          </w:tcPr>
          <w:p>
            <w:pPr>
              <w:pStyle w:val="Lentelsvirsus"/>
              <w:widowControl/>
              <w:suppressAutoHyphens w:val="true"/>
              <w:spacing w:before="0" w:after="0"/>
              <w:rPr>
                <w:rFonts w:ascii="Times New Roman" w:hAnsi="Times New Roman"/>
              </w:rPr>
            </w:pPr>
            <w:r>
              <w:rPr>
                <w:rFonts w:ascii="Times New Roman" w:hAnsi="Times New Roman"/>
                <w:color w:val="auto"/>
                <w:kern w:val="0"/>
                <w:sz w:val="20"/>
                <w:szCs w:val="20"/>
                <w:lang w:eastAsia="en-US" w:bidi="ar-SA"/>
              </w:rPr>
              <w:t>Paaiškinimas</w:t>
            </w:r>
          </w:p>
        </w:tc>
      </w:tr>
      <w:tr>
        <w:trPr>
          <w:trHeight w:val="262" w:hRule="atLeast"/>
        </w:trPr>
        <w:tc>
          <w:tcPr>
            <w:tcW w:w="2310" w:type="dxa"/>
            <w:tcBorders/>
            <w:vAlign w:val="center"/>
          </w:tcPr>
          <w:p>
            <w:pPr>
              <w:pStyle w:val="Lentelsturinys"/>
              <w:widowControl/>
              <w:suppressAutoHyphens w:val="true"/>
              <w:spacing w:lineRule="auto" w:line="276" w:before="0" w:after="0"/>
              <w:jc w:val="left"/>
              <w:rPr>
                <w:rFonts w:ascii="Times New Roman" w:hAnsi="Times New Roman"/>
              </w:rPr>
            </w:pPr>
            <w:r>
              <w:rPr>
                <w:rFonts w:ascii="Times New Roman" w:hAnsi="Times New Roman"/>
                <w:kern w:val="0"/>
                <w:sz w:val="20"/>
                <w:szCs w:val="20"/>
                <w:lang w:eastAsia="en-US" w:bidi="ar-SA"/>
              </w:rPr>
              <w:t>Diegėjas, Paslaugų teikėjas</w:t>
            </w:r>
          </w:p>
        </w:tc>
        <w:tc>
          <w:tcPr>
            <w:tcW w:w="7661" w:type="dxa"/>
            <w:tcBorders/>
          </w:tcPr>
          <w:p>
            <w:pPr>
              <w:pStyle w:val="Lentelsturinys"/>
              <w:widowControl/>
              <w:suppressAutoHyphens w:val="true"/>
              <w:spacing w:lineRule="auto" w:line="276" w:before="0" w:after="0"/>
              <w:jc w:val="both"/>
              <w:rPr>
                <w:rFonts w:ascii="Times New Roman" w:hAnsi="Times New Roman"/>
              </w:rPr>
            </w:pPr>
            <w:r>
              <w:rPr>
                <w:rFonts w:ascii="Times New Roman" w:hAnsi="Times New Roman"/>
                <w:kern w:val="0"/>
                <w:sz w:val="20"/>
                <w:szCs w:val="20"/>
                <w:lang w:eastAsia="en-US" w:bidi="ar-SA"/>
              </w:rPr>
              <w:t xml:space="preserve">Privačių interesų registro </w:t>
            </w:r>
            <w:r>
              <w:rPr>
                <w:rFonts w:ascii="Times New Roman" w:hAnsi="Times New Roman"/>
                <w:kern w:val="0"/>
                <w:sz w:val="20"/>
                <w:szCs w:val="20"/>
                <w:lang w:val="en-US" w:eastAsia="en-US" w:bidi="ar-SA"/>
              </w:rPr>
              <w:t>vystymo</w:t>
            </w:r>
            <w:r>
              <w:rPr>
                <w:rFonts w:ascii="Times New Roman" w:hAnsi="Times New Roman"/>
                <w:kern w:val="0"/>
                <w:sz w:val="20"/>
                <w:szCs w:val="20"/>
                <w:lang w:eastAsia="en-US" w:bidi="ar-SA"/>
              </w:rPr>
              <w:t xml:space="preserve"> paslaugų teikėjas, paslaugas teikiantis pagal šios techninės specifikacijos reikalavimus</w:t>
            </w:r>
          </w:p>
        </w:tc>
      </w:tr>
      <w:tr>
        <w:trPr>
          <w:trHeight w:val="262" w:hRule="atLeast"/>
        </w:trPr>
        <w:tc>
          <w:tcPr>
            <w:tcW w:w="2310" w:type="dxa"/>
            <w:tcBorders/>
            <w:vAlign w:val="center"/>
          </w:tcPr>
          <w:p>
            <w:pPr>
              <w:pStyle w:val="Lentelsturinys"/>
              <w:widowControl/>
              <w:suppressAutoHyphens w:val="true"/>
              <w:spacing w:lineRule="auto" w:line="276" w:before="0" w:after="0"/>
              <w:jc w:val="both"/>
              <w:rPr>
                <w:rFonts w:ascii="Times New Roman" w:hAnsi="Times New Roman"/>
              </w:rPr>
            </w:pPr>
            <w:r>
              <w:rPr>
                <w:rFonts w:ascii="Times New Roman" w:hAnsi="Times New Roman"/>
                <w:kern w:val="0"/>
                <w:sz w:val="20"/>
                <w:szCs w:val="20"/>
                <w:lang w:eastAsia="en-US" w:bidi="ar-SA"/>
              </w:rPr>
              <w:t>Įstatymas</w:t>
            </w:r>
          </w:p>
        </w:tc>
        <w:tc>
          <w:tcPr>
            <w:tcW w:w="7661" w:type="dxa"/>
            <w:tcBorders/>
          </w:tcPr>
          <w:p>
            <w:pPr>
              <w:pStyle w:val="Lentelsturinys"/>
              <w:widowControl/>
              <w:suppressAutoHyphens w:val="true"/>
              <w:spacing w:lineRule="auto" w:line="276" w:before="0" w:after="0"/>
              <w:jc w:val="both"/>
              <w:rPr>
                <w:rFonts w:ascii="Times New Roman" w:hAnsi="Times New Roman"/>
              </w:rPr>
            </w:pPr>
            <w:r>
              <w:rPr>
                <w:rFonts w:ascii="Times New Roman" w:hAnsi="Times New Roman"/>
                <w:kern w:val="0"/>
                <w:sz w:val="20"/>
                <w:szCs w:val="20"/>
                <w:lang w:eastAsia="en-US" w:bidi="ar-SA"/>
              </w:rPr>
              <w:t>Lietuvos Respublikos viešųjų ir privačių interesų derinimo įstatymas</w:t>
            </w:r>
          </w:p>
        </w:tc>
      </w:tr>
      <w:tr>
        <w:trPr>
          <w:trHeight w:val="262" w:hRule="atLeast"/>
        </w:trPr>
        <w:tc>
          <w:tcPr>
            <w:tcW w:w="2310" w:type="dxa"/>
            <w:tcBorders/>
            <w:vAlign w:val="center"/>
          </w:tcPr>
          <w:p>
            <w:pPr>
              <w:pStyle w:val="Lentelsturinys"/>
              <w:widowControl/>
              <w:suppressAutoHyphens w:val="true"/>
              <w:spacing w:lineRule="auto" w:line="276" w:before="0" w:after="0"/>
              <w:jc w:val="both"/>
              <w:rPr>
                <w:rFonts w:ascii="Times New Roman" w:hAnsi="Times New Roman"/>
              </w:rPr>
            </w:pPr>
            <w:r>
              <w:rPr>
                <w:rFonts w:ascii="Times New Roman" w:hAnsi="Times New Roman"/>
                <w:kern w:val="0"/>
                <w:sz w:val="20"/>
                <w:szCs w:val="20"/>
                <w:lang w:eastAsia="en-US" w:bidi="ar-SA"/>
              </w:rPr>
              <w:t>JA</w:t>
            </w:r>
          </w:p>
        </w:tc>
        <w:tc>
          <w:tcPr>
            <w:tcW w:w="7661" w:type="dxa"/>
            <w:tcBorders/>
          </w:tcPr>
          <w:p>
            <w:pPr>
              <w:pStyle w:val="Lentelsturinys"/>
              <w:widowControl/>
              <w:suppressAutoHyphens w:val="true"/>
              <w:spacing w:lineRule="auto" w:line="276" w:before="0" w:after="0"/>
              <w:jc w:val="both"/>
              <w:rPr>
                <w:rFonts w:ascii="Times New Roman" w:hAnsi="Times New Roman"/>
              </w:rPr>
            </w:pPr>
            <w:r>
              <w:rPr>
                <w:rFonts w:ascii="Times New Roman" w:hAnsi="Times New Roman"/>
                <w:kern w:val="0"/>
                <w:sz w:val="20"/>
                <w:szCs w:val="20"/>
                <w:lang w:eastAsia="en-US" w:bidi="ar-SA"/>
              </w:rPr>
              <w:t>Juridinis asmuo</w:t>
            </w:r>
          </w:p>
        </w:tc>
      </w:tr>
      <w:tr>
        <w:trPr/>
        <w:tc>
          <w:tcPr>
            <w:tcW w:w="2310" w:type="dxa"/>
            <w:tcBorders/>
            <w:vAlign w:val="center"/>
          </w:tcPr>
          <w:p>
            <w:pPr>
              <w:pStyle w:val="Lentelsturinys"/>
              <w:widowControl/>
              <w:suppressAutoHyphens w:val="true"/>
              <w:spacing w:lineRule="auto" w:line="276" w:before="0" w:after="0"/>
              <w:jc w:val="left"/>
              <w:rPr>
                <w:rFonts w:ascii="Times New Roman" w:hAnsi="Times New Roman"/>
              </w:rPr>
            </w:pPr>
            <w:r>
              <w:rPr>
                <w:rFonts w:ascii="Times New Roman" w:hAnsi="Times New Roman"/>
                <w:kern w:val="0"/>
                <w:sz w:val="20"/>
                <w:szCs w:val="20"/>
                <w:lang w:eastAsia="en-US" w:bidi="ar-SA"/>
              </w:rPr>
              <w:t>Perkančioji organizacija</w:t>
            </w:r>
          </w:p>
        </w:tc>
        <w:tc>
          <w:tcPr>
            <w:tcW w:w="7661" w:type="dxa"/>
            <w:tcBorders/>
            <w:vAlign w:val="center"/>
          </w:tcPr>
          <w:p>
            <w:pPr>
              <w:pStyle w:val="Lentelsturinys"/>
              <w:widowControl/>
              <w:suppressAutoHyphens w:val="true"/>
              <w:spacing w:lineRule="auto" w:line="276" w:before="0" w:after="0"/>
              <w:jc w:val="both"/>
              <w:rPr>
                <w:rFonts w:ascii="Times New Roman" w:hAnsi="Times New Roman"/>
              </w:rPr>
            </w:pPr>
            <w:r>
              <w:rPr>
                <w:rFonts w:ascii="Times New Roman" w:hAnsi="Times New Roman"/>
                <w:kern w:val="0"/>
                <w:sz w:val="20"/>
                <w:szCs w:val="20"/>
                <w:lang w:eastAsia="en-US" w:bidi="ar-SA"/>
              </w:rPr>
              <w:t>Vyriausioji tarnybinės etikos komisija</w:t>
            </w:r>
          </w:p>
        </w:tc>
      </w:tr>
      <w:tr>
        <w:trPr/>
        <w:tc>
          <w:tcPr>
            <w:tcW w:w="2310" w:type="dxa"/>
            <w:tcBorders/>
            <w:vAlign w:val="center"/>
          </w:tcPr>
          <w:p>
            <w:pPr>
              <w:pStyle w:val="Lentelsturinys"/>
              <w:widowControl/>
              <w:suppressAutoHyphens w:val="true"/>
              <w:spacing w:lineRule="auto" w:line="276" w:before="0" w:after="0"/>
              <w:jc w:val="left"/>
              <w:rPr>
                <w:rFonts w:ascii="Times New Roman" w:hAnsi="Times New Roman"/>
              </w:rPr>
            </w:pPr>
            <w:r>
              <w:rPr>
                <w:rFonts w:ascii="Times New Roman" w:hAnsi="Times New Roman"/>
                <w:kern w:val="0"/>
                <w:sz w:val="20"/>
                <w:szCs w:val="20"/>
                <w:lang w:eastAsia="en-US" w:bidi="ar-SA"/>
              </w:rPr>
              <w:t>PID</w:t>
            </w:r>
          </w:p>
        </w:tc>
        <w:tc>
          <w:tcPr>
            <w:tcW w:w="7661" w:type="dxa"/>
            <w:tcBorders/>
            <w:vAlign w:val="center"/>
          </w:tcPr>
          <w:p>
            <w:pPr>
              <w:pStyle w:val="Lentelsturinys"/>
              <w:widowControl/>
              <w:suppressAutoHyphens w:val="true"/>
              <w:spacing w:lineRule="auto" w:line="276" w:before="0" w:after="0"/>
              <w:jc w:val="both"/>
              <w:rPr>
                <w:rFonts w:ascii="Times New Roman" w:hAnsi="Times New Roman"/>
              </w:rPr>
            </w:pPr>
            <w:r>
              <w:rPr>
                <w:rFonts w:ascii="Times New Roman" w:hAnsi="Times New Roman"/>
                <w:kern w:val="0"/>
                <w:sz w:val="20"/>
                <w:szCs w:val="20"/>
                <w:lang w:eastAsia="en-US" w:bidi="ar-SA"/>
              </w:rPr>
              <w:t>Privačių interesų deklaracija</w:t>
            </w:r>
          </w:p>
        </w:tc>
      </w:tr>
      <w:tr>
        <w:trPr/>
        <w:tc>
          <w:tcPr>
            <w:tcW w:w="2310" w:type="dxa"/>
            <w:tcBorders/>
            <w:vAlign w:val="center"/>
          </w:tcPr>
          <w:p>
            <w:pPr>
              <w:pStyle w:val="Lentelsturinys"/>
              <w:widowControl/>
              <w:suppressAutoHyphens w:val="true"/>
              <w:spacing w:lineRule="auto" w:line="276" w:before="0" w:after="0"/>
              <w:jc w:val="left"/>
              <w:rPr>
                <w:rFonts w:ascii="Times New Roman" w:hAnsi="Times New Roman"/>
              </w:rPr>
            </w:pPr>
            <w:r>
              <w:rPr>
                <w:rFonts w:ascii="Times New Roman" w:hAnsi="Times New Roman"/>
                <w:kern w:val="0"/>
                <w:sz w:val="20"/>
                <w:szCs w:val="20"/>
                <w:lang w:eastAsia="en-US" w:bidi="ar-SA"/>
              </w:rPr>
              <w:t>PINREG</w:t>
            </w:r>
          </w:p>
        </w:tc>
        <w:tc>
          <w:tcPr>
            <w:tcW w:w="7661" w:type="dxa"/>
            <w:tcBorders/>
            <w:vAlign w:val="center"/>
          </w:tcPr>
          <w:p>
            <w:pPr>
              <w:pStyle w:val="Lentelsturinys"/>
              <w:widowControl/>
              <w:suppressAutoHyphens w:val="true"/>
              <w:spacing w:lineRule="auto" w:line="276" w:before="0" w:after="0"/>
              <w:jc w:val="both"/>
              <w:rPr>
                <w:rFonts w:ascii="Times New Roman" w:hAnsi="Times New Roman"/>
              </w:rPr>
            </w:pPr>
            <w:r>
              <w:rPr>
                <w:rFonts w:ascii="Times New Roman" w:hAnsi="Times New Roman"/>
                <w:kern w:val="0"/>
                <w:sz w:val="20"/>
                <w:szCs w:val="20"/>
                <w:lang w:eastAsia="en-US" w:bidi="ar-SA"/>
              </w:rPr>
              <w:t>Privačių interesų registras</w:t>
            </w:r>
          </w:p>
        </w:tc>
      </w:tr>
      <w:tr>
        <w:trPr>
          <w:trHeight w:val="262" w:hRule="atLeast"/>
        </w:trPr>
        <w:tc>
          <w:tcPr>
            <w:tcW w:w="2310" w:type="dxa"/>
            <w:tcBorders/>
            <w:vAlign w:val="center"/>
          </w:tcPr>
          <w:p>
            <w:pPr>
              <w:pStyle w:val="Lentelsturinys"/>
              <w:widowControl/>
              <w:suppressAutoHyphens w:val="true"/>
              <w:spacing w:lineRule="auto" w:line="276" w:before="0" w:after="0"/>
              <w:jc w:val="left"/>
              <w:rPr>
                <w:rFonts w:ascii="Times New Roman" w:hAnsi="Times New Roman"/>
              </w:rPr>
            </w:pPr>
            <w:r>
              <w:rPr>
                <w:rFonts w:ascii="Times New Roman" w:hAnsi="Times New Roman"/>
                <w:kern w:val="0"/>
                <w:sz w:val="20"/>
                <w:szCs w:val="20"/>
                <w:lang w:eastAsia="en-US" w:bidi="ar-SA"/>
              </w:rPr>
              <w:t>Pirkimas</w:t>
            </w:r>
          </w:p>
        </w:tc>
        <w:tc>
          <w:tcPr>
            <w:tcW w:w="7661" w:type="dxa"/>
            <w:tcBorders/>
          </w:tcPr>
          <w:p>
            <w:pPr>
              <w:pStyle w:val="Lentelsturinys"/>
              <w:widowControl/>
              <w:suppressAutoHyphens w:val="true"/>
              <w:spacing w:lineRule="auto" w:line="276" w:before="0" w:after="0"/>
              <w:jc w:val="both"/>
              <w:rPr>
                <w:rFonts w:ascii="Times New Roman" w:hAnsi="Times New Roman"/>
              </w:rPr>
            </w:pPr>
            <w:r>
              <w:rPr>
                <w:rFonts w:ascii="Times New Roman" w:hAnsi="Times New Roman"/>
                <w:kern w:val="0"/>
                <w:sz w:val="20"/>
                <w:szCs w:val="20"/>
                <w:lang w:eastAsia="en-US" w:bidi="ar-SA"/>
              </w:rPr>
              <w:t>Privačių interesų registro modernizavimo ir palaikymo paslaugų pirkimas</w:t>
            </w:r>
          </w:p>
        </w:tc>
      </w:tr>
      <w:tr>
        <w:trPr>
          <w:trHeight w:val="262" w:hRule="atLeast"/>
        </w:trPr>
        <w:tc>
          <w:tcPr>
            <w:tcW w:w="2310" w:type="dxa"/>
            <w:tcBorders/>
            <w:vAlign w:val="center"/>
          </w:tcPr>
          <w:p>
            <w:pPr>
              <w:pStyle w:val="Lentelsturinys"/>
              <w:widowControl/>
              <w:suppressAutoHyphens w:val="true"/>
              <w:spacing w:lineRule="auto" w:line="276" w:before="0" w:after="0"/>
              <w:jc w:val="both"/>
              <w:rPr>
                <w:rFonts w:ascii="Times New Roman" w:hAnsi="Times New Roman"/>
              </w:rPr>
            </w:pPr>
            <w:r>
              <w:rPr>
                <w:rFonts w:ascii="Times New Roman" w:hAnsi="Times New Roman"/>
                <w:kern w:val="0"/>
                <w:sz w:val="20"/>
                <w:szCs w:val="20"/>
                <w:lang w:eastAsia="en-US" w:bidi="ar-SA"/>
              </w:rPr>
              <w:t>Projektas</w:t>
            </w:r>
          </w:p>
        </w:tc>
        <w:tc>
          <w:tcPr>
            <w:tcW w:w="7661" w:type="dxa"/>
            <w:tcBorders/>
          </w:tcPr>
          <w:p>
            <w:pPr>
              <w:pStyle w:val="Lentelsturinys"/>
              <w:widowControl/>
              <w:suppressAutoHyphens w:val="true"/>
              <w:spacing w:lineRule="auto" w:line="276" w:before="0" w:after="0"/>
              <w:jc w:val="both"/>
              <w:rPr>
                <w:rFonts w:ascii="Times New Roman" w:hAnsi="Times New Roman"/>
              </w:rPr>
            </w:pPr>
            <w:r>
              <w:rPr>
                <w:rFonts w:ascii="Times New Roman" w:hAnsi="Times New Roman"/>
                <w:kern w:val="0"/>
                <w:sz w:val="20"/>
                <w:szCs w:val="20"/>
                <w:lang w:eastAsia="en-US" w:bidi="ar-SA"/>
              </w:rPr>
              <w:t>Projektas „Privačių interesų registro modernizavimas“</w:t>
            </w:r>
          </w:p>
        </w:tc>
      </w:tr>
      <w:tr>
        <w:trPr/>
        <w:tc>
          <w:tcPr>
            <w:tcW w:w="2310" w:type="dxa"/>
            <w:tcBorders/>
            <w:vAlign w:val="center"/>
          </w:tcPr>
          <w:p>
            <w:pPr>
              <w:pStyle w:val="Lentelsturinys"/>
              <w:widowControl/>
              <w:suppressAutoHyphens w:val="true"/>
              <w:spacing w:lineRule="auto" w:line="276" w:before="0" w:after="0"/>
              <w:jc w:val="both"/>
              <w:rPr>
                <w:rFonts w:ascii="Times New Roman" w:hAnsi="Times New Roman"/>
              </w:rPr>
            </w:pPr>
            <w:r>
              <w:rPr>
                <w:rFonts w:ascii="Times New Roman" w:hAnsi="Times New Roman"/>
                <w:kern w:val="0"/>
                <w:sz w:val="20"/>
                <w:szCs w:val="20"/>
                <w:lang w:eastAsia="en-US" w:bidi="ar-SA"/>
              </w:rPr>
              <w:t>Sutartis</w:t>
            </w:r>
          </w:p>
        </w:tc>
        <w:tc>
          <w:tcPr>
            <w:tcW w:w="7661" w:type="dxa"/>
            <w:tcBorders/>
            <w:vAlign w:val="center"/>
          </w:tcPr>
          <w:p>
            <w:pPr>
              <w:pStyle w:val="Lentelsturinys"/>
              <w:widowControl/>
              <w:suppressAutoHyphens w:val="true"/>
              <w:spacing w:lineRule="auto" w:line="276" w:before="0" w:after="0"/>
              <w:jc w:val="both"/>
              <w:rPr>
                <w:rFonts w:ascii="Times New Roman" w:hAnsi="Times New Roman"/>
              </w:rPr>
            </w:pPr>
            <w:r>
              <w:rPr>
                <w:rFonts w:ascii="Times New Roman" w:hAnsi="Times New Roman"/>
                <w:kern w:val="0"/>
                <w:sz w:val="20"/>
                <w:szCs w:val="20"/>
                <w:lang w:eastAsia="en-US" w:bidi="ar-SA"/>
              </w:rPr>
              <w:t>Su Privačių interesų registro modernizavimo ir palaikymo paslaugų viešojo pirkimo laimėtoju pasirašyta paslaugų teikimo sutartis</w:t>
            </w:r>
          </w:p>
        </w:tc>
      </w:tr>
      <w:tr>
        <w:trPr/>
        <w:tc>
          <w:tcPr>
            <w:tcW w:w="2310" w:type="dxa"/>
            <w:tcBorders/>
            <w:vAlign w:val="center"/>
          </w:tcPr>
          <w:p>
            <w:pPr>
              <w:pStyle w:val="Lentelsturinys"/>
              <w:widowControl/>
              <w:suppressAutoHyphens w:val="true"/>
              <w:spacing w:lineRule="auto" w:line="276" w:before="0" w:after="0"/>
              <w:jc w:val="left"/>
              <w:rPr>
                <w:rFonts w:ascii="Times New Roman" w:hAnsi="Times New Roman"/>
              </w:rPr>
            </w:pPr>
            <w:r>
              <w:rPr>
                <w:rFonts w:ascii="Times New Roman" w:hAnsi="Times New Roman"/>
                <w:kern w:val="0"/>
                <w:sz w:val="20"/>
                <w:szCs w:val="20"/>
                <w:lang w:eastAsia="en-US" w:bidi="ar-SA"/>
              </w:rPr>
              <w:t>Techninė specifikacija</w:t>
            </w:r>
          </w:p>
        </w:tc>
        <w:tc>
          <w:tcPr>
            <w:tcW w:w="7661" w:type="dxa"/>
            <w:tcBorders/>
            <w:vAlign w:val="center"/>
          </w:tcPr>
          <w:p>
            <w:pPr>
              <w:pStyle w:val="Lentelsturinys"/>
              <w:widowControl/>
              <w:suppressAutoHyphens w:val="true"/>
              <w:spacing w:lineRule="auto" w:line="276" w:before="0" w:after="0"/>
              <w:jc w:val="both"/>
              <w:rPr>
                <w:rFonts w:ascii="Times New Roman" w:hAnsi="Times New Roman"/>
              </w:rPr>
            </w:pPr>
            <w:r>
              <w:rPr>
                <w:rFonts w:ascii="Times New Roman" w:hAnsi="Times New Roman"/>
                <w:kern w:val="0"/>
                <w:sz w:val="20"/>
                <w:szCs w:val="20"/>
                <w:lang w:eastAsia="en-US" w:bidi="ar-SA"/>
              </w:rPr>
              <w:t>PINREG modernizavimo ir diegimo techninė specifikacija</w:t>
            </w:r>
          </w:p>
        </w:tc>
      </w:tr>
      <w:tr>
        <w:trPr>
          <w:trHeight w:val="262" w:hRule="atLeast"/>
        </w:trPr>
        <w:tc>
          <w:tcPr>
            <w:tcW w:w="2310" w:type="dxa"/>
            <w:tcBorders/>
            <w:vAlign w:val="center"/>
          </w:tcPr>
          <w:p>
            <w:pPr>
              <w:pStyle w:val="Lentelsturinys"/>
              <w:widowControl/>
              <w:suppressAutoHyphens w:val="true"/>
              <w:spacing w:lineRule="auto" w:line="276" w:before="0" w:after="0"/>
              <w:jc w:val="both"/>
              <w:rPr>
                <w:rFonts w:ascii="Times New Roman" w:hAnsi="Times New Roman"/>
              </w:rPr>
            </w:pPr>
            <w:r>
              <w:rPr>
                <w:rFonts w:ascii="Times New Roman" w:hAnsi="Times New Roman"/>
                <w:kern w:val="0"/>
                <w:sz w:val="20"/>
                <w:szCs w:val="20"/>
                <w:lang w:eastAsia="en-US" w:bidi="ar-SA"/>
              </w:rPr>
              <w:t>VTEK</w:t>
            </w:r>
          </w:p>
        </w:tc>
        <w:tc>
          <w:tcPr>
            <w:tcW w:w="7661" w:type="dxa"/>
            <w:tcBorders/>
          </w:tcPr>
          <w:p>
            <w:pPr>
              <w:pStyle w:val="Lentelsturinys"/>
              <w:widowControl/>
              <w:suppressAutoHyphens w:val="true"/>
              <w:spacing w:lineRule="auto" w:line="276" w:before="0" w:after="0"/>
              <w:jc w:val="both"/>
              <w:rPr>
                <w:rFonts w:ascii="Times New Roman" w:hAnsi="Times New Roman"/>
              </w:rPr>
            </w:pPr>
            <w:r>
              <w:rPr>
                <w:rFonts w:ascii="Times New Roman" w:hAnsi="Times New Roman"/>
                <w:kern w:val="0"/>
                <w:sz w:val="20"/>
                <w:szCs w:val="20"/>
                <w:lang w:eastAsia="en-US" w:bidi="ar-SA"/>
              </w:rPr>
              <w:t>Vyriausioji tarnybinės etikos komisija</w:t>
            </w:r>
          </w:p>
        </w:tc>
      </w:tr>
    </w:tbl>
    <w:p>
      <w:pPr>
        <w:pStyle w:val="Lentelsturinys"/>
        <w:spacing w:lineRule="auto" w:line="276"/>
        <w:jc w:val="both"/>
        <w:rPr>
          <w:rFonts w:ascii="Times New Roman" w:hAnsi="Times New Roman"/>
        </w:rPr>
      </w:pPr>
      <w:r>
        <w:rPr>
          <w:rFonts w:ascii="Times New Roman" w:hAnsi="Times New Roman"/>
        </w:rPr>
      </w:r>
    </w:p>
    <w:p>
      <w:pPr>
        <w:pStyle w:val="Normal"/>
        <w:rPr>
          <w:rFonts w:ascii="Times New Roman" w:hAnsi="Times New Roman" w:eastAsia="Calibri" w:cs="Times New Roman"/>
          <w:b/>
          <w:bCs/>
          <w:caps/>
          <w:kern w:val="2"/>
          <w:lang w:eastAsia="lt-LT"/>
        </w:rPr>
      </w:pPr>
      <w:r>
        <w:rPr>
          <w:rFonts w:eastAsia="Calibri" w:cs="Times New Roman" w:ascii="Times New Roman" w:hAnsi="Times New Roman"/>
          <w:b/>
          <w:bCs/>
          <w:caps/>
          <w:kern w:val="2"/>
          <w:lang w:eastAsia="lt-LT"/>
        </w:rPr>
      </w:r>
      <w:r>
        <w:br w:type="page"/>
      </w:r>
    </w:p>
    <w:p>
      <w:pPr>
        <w:pStyle w:val="Heading1"/>
        <w:spacing w:before="0" w:after="240"/>
        <w:rPr>
          <w:rFonts w:ascii="Times New Roman" w:hAnsi="Times New Roman"/>
        </w:rPr>
      </w:pPr>
      <w:bookmarkStart w:id="1" w:name="_Toc151027899"/>
      <w:r>
        <w:rPr>
          <w:rFonts w:ascii="Times New Roman" w:hAnsi="Times New Roman"/>
          <w:sz w:val="22"/>
          <w:szCs w:val="22"/>
        </w:rPr>
        <w:t>TECHNINĖS SPECIFIKACIJOS SANTRAUKA</w:t>
      </w:r>
      <w:bookmarkEnd w:id="1"/>
    </w:p>
    <w:p>
      <w:pPr>
        <w:pStyle w:val="ListParagraph"/>
        <w:numPr>
          <w:ilvl w:val="0"/>
          <w:numId w:val="2"/>
        </w:numPr>
        <w:spacing w:before="0" w:after="0"/>
        <w:jc w:val="both"/>
        <w:rPr>
          <w:rFonts w:ascii="Times New Roman" w:hAnsi="Times New Roman"/>
        </w:rPr>
      </w:pPr>
      <w:r>
        <w:rPr>
          <w:rFonts w:ascii="Times New Roman" w:hAnsi="Times New Roman"/>
          <w:sz w:val="22"/>
        </w:rPr>
        <w:t xml:space="preserve">Šiame dokumente – Privačių interesų </w:t>
      </w:r>
      <w:r>
        <w:rPr>
          <w:rFonts w:ascii="Times New Roman" w:hAnsi="Times New Roman"/>
          <w:sz w:val="22"/>
          <w:lang w:val="en-US"/>
        </w:rPr>
        <w:t>registro vystymo techninėje</w:t>
      </w:r>
      <w:r>
        <w:rPr>
          <w:rFonts w:ascii="Times New Roman" w:hAnsi="Times New Roman"/>
          <w:sz w:val="22"/>
        </w:rPr>
        <w:t xml:space="preserve"> specifikacijoje (toliau – Techninė specifikacija) </w:t>
      </w:r>
      <w:r>
        <w:rPr>
          <w:rFonts w:ascii="Times New Roman" w:hAnsi="Times New Roman"/>
          <w:w w:val="102"/>
          <w:sz w:val="22"/>
        </w:rPr>
        <w:t>–</w:t>
      </w:r>
      <w:r>
        <w:rPr>
          <w:rFonts w:ascii="Times New Roman" w:hAnsi="Times New Roman"/>
          <w:sz w:val="22"/>
        </w:rPr>
        <w:t xml:space="preserve"> pateikiami reikalavimai, pagal kuriuos turi būti </w:t>
      </w:r>
      <w:r>
        <w:rPr>
          <w:rFonts w:ascii="Times New Roman" w:hAnsi="Times New Roman"/>
          <w:sz w:val="22"/>
          <w:lang w:val="en-US"/>
        </w:rPr>
        <w:t>vystomas</w:t>
      </w:r>
      <w:r>
        <w:rPr>
          <w:rFonts w:ascii="Times New Roman" w:hAnsi="Times New Roman"/>
          <w:sz w:val="22"/>
        </w:rPr>
        <w:t xml:space="preserve"> Privačių interesų registras (toliau – PINREG) ir teikiamos palaikymo paslaugos.</w:t>
      </w:r>
    </w:p>
    <w:p>
      <w:pPr>
        <w:pStyle w:val="ListParagraph"/>
        <w:numPr>
          <w:ilvl w:val="0"/>
          <w:numId w:val="2"/>
        </w:numPr>
        <w:spacing w:before="0" w:after="0"/>
        <w:jc w:val="both"/>
        <w:rPr>
          <w:rFonts w:ascii="Times New Roman" w:hAnsi="Times New Roman"/>
        </w:rPr>
      </w:pPr>
      <w:r>
        <w:rPr>
          <w:rFonts w:ascii="Times New Roman" w:hAnsi="Times New Roman"/>
          <w:sz w:val="22"/>
        </w:rPr>
        <w:t>Dokumente pateikiama informacija apie teisės aktus, kuriais turi vadovautis PINREG</w:t>
      </w:r>
      <w:r>
        <w:rPr>
          <w:rFonts w:ascii="Times New Roman" w:hAnsi="Times New Roman"/>
          <w:sz w:val="22"/>
          <w:lang w:val="en-US"/>
        </w:rPr>
        <w:t xml:space="preserve"> vystymo </w:t>
      </w:r>
      <w:r>
        <w:rPr>
          <w:rFonts w:ascii="Times New Roman" w:hAnsi="Times New Roman"/>
          <w:sz w:val="22"/>
        </w:rPr>
        <w:t>paslaugų teikėjas (toliau – Diegėjas arba Paslaugų teikėjas), įvardijamas PINREG</w:t>
      </w:r>
      <w:r>
        <w:rPr>
          <w:rFonts w:ascii="Times New Roman" w:hAnsi="Times New Roman"/>
          <w:sz w:val="22"/>
          <w:lang w:val="en-US"/>
        </w:rPr>
        <w:t xml:space="preserve"> vystymo </w:t>
      </w:r>
      <w:r>
        <w:rPr>
          <w:rFonts w:ascii="Times New Roman" w:hAnsi="Times New Roman"/>
          <w:sz w:val="22"/>
        </w:rPr>
        <w:t>paslaugų pirkimo (toliau – Pirkimas) tikslas ir apimtis, nurodomi reikalavimai, kurie turi būti įgyvendinti</w:t>
      </w:r>
      <w:r>
        <w:rPr>
          <w:rFonts w:ascii="Times New Roman" w:hAnsi="Times New Roman"/>
          <w:sz w:val="22"/>
          <w:lang w:val="en-US"/>
        </w:rPr>
        <w:t xml:space="preserve"> vystant </w:t>
      </w:r>
      <w:r>
        <w:rPr>
          <w:rFonts w:ascii="Times New Roman" w:hAnsi="Times New Roman"/>
          <w:sz w:val="22"/>
        </w:rPr>
        <w:t xml:space="preserve">PINREG. </w:t>
      </w:r>
    </w:p>
    <w:p>
      <w:pPr>
        <w:pStyle w:val="Heading1"/>
        <w:rPr>
          <w:rFonts w:ascii="Times New Roman" w:hAnsi="Times New Roman"/>
        </w:rPr>
      </w:pPr>
      <w:bookmarkStart w:id="2" w:name="_Toc151027900"/>
      <w:bookmarkStart w:id="3" w:name="_Toc8118835"/>
      <w:r>
        <w:rPr>
          <w:rFonts w:ascii="Times New Roman" w:hAnsi="Times New Roman"/>
          <w:sz w:val="22"/>
          <w:szCs w:val="22"/>
        </w:rPr>
        <w:t>BENDRA INFORMACIJA</w:t>
      </w:r>
      <w:bookmarkEnd w:id="2"/>
      <w:bookmarkEnd w:id="3"/>
    </w:p>
    <w:p>
      <w:pPr>
        <w:pStyle w:val="ListParagraph"/>
        <w:numPr>
          <w:ilvl w:val="0"/>
          <w:numId w:val="2"/>
        </w:numPr>
        <w:spacing w:before="0" w:after="0"/>
        <w:jc w:val="both"/>
        <w:rPr>
          <w:rFonts w:ascii="Times New Roman" w:hAnsi="Times New Roman"/>
        </w:rPr>
      </w:pPr>
      <w:r>
        <w:rPr>
          <w:rFonts w:ascii="Times New Roman" w:hAnsi="Times New Roman"/>
          <w:sz w:val="22"/>
        </w:rPr>
        <w:t xml:space="preserve">Vyriausiosios tarnybinės etikos komisijos (juridinio asmens kodas – 188736355, adresas – A. Goštauto g. </w:t>
      </w:r>
      <w:r>
        <w:rPr>
          <w:rFonts w:ascii="Times New Roman" w:hAnsi="Times New Roman"/>
          <w:sz w:val="22"/>
          <w:lang w:val="en-US"/>
        </w:rPr>
        <w:t>9</w:t>
      </w:r>
      <w:r>
        <w:rPr>
          <w:rFonts w:ascii="Times New Roman" w:hAnsi="Times New Roman"/>
          <w:sz w:val="22"/>
        </w:rPr>
        <w:t>, 01108 Vilnius, Lietuva) (toliau – VTEK arba Perkančioji organizacija) strateginis veiklos tikslas – sistemiškai, automatizuotu būdu, vertinti viešojo sektoriaus institucijų veiklos sritis taikant Lietuvos Respublikos viešųjų ir privačių interesų derinimo įstatymo (toliau – Įstatymas) nuostatas, suteikti metodinę pagalbą atsakingiems asmenims, koordinuoti, konsultuoti bei parinkti reikalingas prevencijos priemones.</w:t>
      </w:r>
    </w:p>
    <w:p>
      <w:pPr>
        <w:pStyle w:val="ListParagraph"/>
        <w:numPr>
          <w:ilvl w:val="0"/>
          <w:numId w:val="2"/>
        </w:numPr>
        <w:spacing w:before="0" w:after="0"/>
        <w:jc w:val="both"/>
        <w:rPr>
          <w:rFonts w:ascii="Times New Roman" w:hAnsi="Times New Roman"/>
        </w:rPr>
      </w:pPr>
      <w:r>
        <w:rPr>
          <w:rFonts w:ascii="Times New Roman" w:hAnsi="Times New Roman"/>
          <w:sz w:val="22"/>
        </w:rPr>
        <w:t>Siekiant palengvinti VTEK, o taip pat institucijų vadovams ar jų įgaliotiems asmenims veiksmus kontroliuojant, kaip vykdomos Įstatymo nuostatos, planuojami PINREG</w:t>
      </w:r>
      <w:r>
        <w:rPr>
          <w:rFonts w:ascii="Times New Roman" w:hAnsi="Times New Roman"/>
          <w:sz w:val="22"/>
          <w:lang w:val="en-US"/>
        </w:rPr>
        <w:t xml:space="preserve"> vystymo </w:t>
      </w:r>
      <w:r>
        <w:rPr>
          <w:rFonts w:ascii="Times New Roman" w:hAnsi="Times New Roman"/>
          <w:sz w:val="22"/>
        </w:rPr>
        <w:t>darbai, įdiegiant papildomus funkcionalumus PINREG: duomenų .excl arba .pdf formatu parsisiuntimo, įstaigoje gautų dovanų registravimo, išankstinių rašytinių rekomendacijų registravimo, detalesni pranešimų siuntimo funkcionalumai.</w:t>
      </w:r>
    </w:p>
    <w:p>
      <w:pPr>
        <w:pStyle w:val="ListParagraph"/>
        <w:numPr>
          <w:ilvl w:val="0"/>
          <w:numId w:val="2"/>
        </w:numPr>
        <w:spacing w:before="0" w:after="0"/>
        <w:jc w:val="both"/>
        <w:rPr>
          <w:rFonts w:ascii="Times New Roman" w:hAnsi="Times New Roman"/>
        </w:rPr>
      </w:pPr>
      <w:r>
        <w:rPr>
          <w:rFonts w:ascii="Times New Roman" w:hAnsi="Times New Roman"/>
          <w:sz w:val="22"/>
        </w:rPr>
        <w:t>PINREG</w:t>
      </w:r>
      <w:r>
        <w:rPr>
          <w:rFonts w:ascii="Times New Roman" w:hAnsi="Times New Roman"/>
          <w:sz w:val="22"/>
          <w:lang w:val="en-US"/>
        </w:rPr>
        <w:t xml:space="preserve"> vystys </w:t>
      </w:r>
      <w:r>
        <w:rPr>
          <w:rFonts w:ascii="Times New Roman" w:hAnsi="Times New Roman"/>
          <w:sz w:val="22"/>
        </w:rPr>
        <w:t>ir įdiegs Diegėjas, įgyvendindamas visus funkcinius bei nefunkcinius reikalavimus.</w:t>
      </w:r>
    </w:p>
    <w:p>
      <w:pPr>
        <w:pStyle w:val="Heading1"/>
        <w:rPr>
          <w:rFonts w:ascii="Times New Roman" w:hAnsi="Times New Roman"/>
        </w:rPr>
      </w:pPr>
      <w:bookmarkStart w:id="4" w:name="_Toc151027901"/>
      <w:bookmarkStart w:id="5" w:name="_Ref34669706"/>
      <w:bookmarkStart w:id="6" w:name="_Toc70458243"/>
      <w:bookmarkStart w:id="7" w:name="_Toc70458242"/>
      <w:bookmarkEnd w:id="6"/>
      <w:bookmarkEnd w:id="7"/>
      <w:r>
        <w:rPr>
          <w:rFonts w:ascii="Times New Roman" w:hAnsi="Times New Roman"/>
          <w:sz w:val="22"/>
          <w:szCs w:val="22"/>
        </w:rPr>
        <w:t>TEISĖS AKTAI, KURIAIS VADOVAUTASI RENGIANT TECHNINĘ SPECIFIKACIJĄ IR KURIAIS TURI BŪTI VADOVAUJAMASI</w:t>
      </w:r>
      <w:r>
        <w:rPr>
          <w:rFonts w:ascii="Times New Roman" w:hAnsi="Times New Roman"/>
          <w:sz w:val="22"/>
          <w:szCs w:val="22"/>
          <w:lang w:val="en-US"/>
        </w:rPr>
        <w:t xml:space="preserve"> </w:t>
      </w:r>
      <w:bookmarkEnd w:id="5"/>
      <w:r>
        <w:rPr>
          <w:rFonts w:ascii="Times New Roman" w:hAnsi="Times New Roman"/>
          <w:sz w:val="22"/>
          <w:szCs w:val="22"/>
          <w:lang w:val="en-US"/>
        </w:rPr>
        <w:t xml:space="preserve">VYSTANT </w:t>
      </w:r>
      <w:r>
        <w:rPr>
          <w:rFonts w:ascii="Times New Roman" w:hAnsi="Times New Roman"/>
          <w:sz w:val="22"/>
          <w:szCs w:val="22"/>
        </w:rPr>
        <w:t>PINREG</w:t>
      </w:r>
      <w:bookmarkEnd w:id="4"/>
    </w:p>
    <w:p>
      <w:pPr>
        <w:pStyle w:val="ListParagraph"/>
        <w:numPr>
          <w:ilvl w:val="0"/>
          <w:numId w:val="2"/>
        </w:numPr>
        <w:spacing w:before="0" w:after="0"/>
        <w:jc w:val="both"/>
        <w:rPr>
          <w:rFonts w:ascii="Times New Roman" w:hAnsi="Times New Roman"/>
        </w:rPr>
      </w:pPr>
      <w:r>
        <w:rPr>
          <w:rFonts w:ascii="Times New Roman" w:hAnsi="Times New Roman"/>
          <w:sz w:val="22"/>
        </w:rPr>
        <w:t>Teisės aktai ir metodiniai dokumentai, kuriais vadovautasis rengiant techninę specifikaciją ir kuriais turi vadovautis Diegėjas,</w:t>
      </w:r>
      <w:r>
        <w:rPr>
          <w:rFonts w:ascii="Times New Roman" w:hAnsi="Times New Roman"/>
          <w:sz w:val="22"/>
          <w:lang w:val="en-US"/>
        </w:rPr>
        <w:t xml:space="preserve"> vystydamas </w:t>
      </w:r>
      <w:r>
        <w:rPr>
          <w:rFonts w:ascii="Times New Roman" w:hAnsi="Times New Roman"/>
          <w:sz w:val="22"/>
        </w:rPr>
        <w:t>PINREG:</w:t>
      </w:r>
    </w:p>
    <w:p>
      <w:pPr>
        <w:pStyle w:val="ListParagraph"/>
        <w:numPr>
          <w:ilvl w:val="1"/>
          <w:numId w:val="2"/>
        </w:numPr>
        <w:spacing w:before="0" w:after="0"/>
        <w:jc w:val="both"/>
        <w:rPr>
          <w:rFonts w:ascii="Times New Roman" w:hAnsi="Times New Roman"/>
        </w:rPr>
      </w:pPr>
      <w:r>
        <w:rPr>
          <w:rFonts w:ascii="Times New Roman" w:hAnsi="Times New Roman"/>
          <w:b/>
          <w:bCs/>
          <w:sz w:val="22"/>
        </w:rPr>
        <w:t>Teisės aktai, kuriais reglamentuojama kompiuterizuojama veiklos sritis:</w:t>
      </w:r>
    </w:p>
    <w:p>
      <w:pPr>
        <w:pStyle w:val="ListParagraph"/>
        <w:numPr>
          <w:ilvl w:val="2"/>
          <w:numId w:val="2"/>
        </w:numPr>
        <w:spacing w:before="0" w:after="0"/>
        <w:jc w:val="both"/>
        <w:rPr>
          <w:rFonts w:ascii="Times New Roman" w:hAnsi="Times New Roman"/>
        </w:rPr>
      </w:pPr>
      <w:r>
        <w:rPr>
          <w:rFonts w:ascii="Times New Roman" w:hAnsi="Times New Roman"/>
          <w:w w:val="102"/>
          <w:sz w:val="22"/>
        </w:rPr>
        <w:t>Lietuvos</w:t>
      </w:r>
      <w:r>
        <w:rPr>
          <w:rFonts w:ascii="Times New Roman" w:hAnsi="Times New Roman"/>
          <w:sz w:val="22"/>
        </w:rPr>
        <w:t xml:space="preserve"> Respublikos viešųjų ir privačių interesų derinimo įstatymas;</w:t>
      </w:r>
    </w:p>
    <w:p>
      <w:pPr>
        <w:pStyle w:val="ListParagraph"/>
        <w:numPr>
          <w:ilvl w:val="2"/>
          <w:numId w:val="2"/>
        </w:numPr>
        <w:spacing w:before="0" w:after="0"/>
        <w:jc w:val="both"/>
        <w:rPr>
          <w:rFonts w:ascii="Times New Roman" w:hAnsi="Times New Roman"/>
        </w:rPr>
      </w:pPr>
      <w:r>
        <w:rPr>
          <w:rFonts w:ascii="Times New Roman" w:hAnsi="Times New Roman"/>
          <w:w w:val="102"/>
          <w:sz w:val="22"/>
        </w:rPr>
        <w:t>Kuriamų viešųjų ir administracinių elektroninių paslaugų tinkamumo naudotojams užtikrinimo priemonių metodinės rekomendacijos, patvirtintos 2014 m. gegužės 5 d.  Informacinės visuomenės plėtros komiteto prie Susisiekimo ministerijos direktoriaus įsakymu Nr. T-65;</w:t>
      </w:r>
    </w:p>
    <w:p>
      <w:pPr>
        <w:pStyle w:val="ListParagraph"/>
        <w:numPr>
          <w:ilvl w:val="2"/>
          <w:numId w:val="2"/>
        </w:numPr>
        <w:spacing w:before="0" w:after="0"/>
        <w:jc w:val="both"/>
        <w:rPr>
          <w:rFonts w:ascii="Times New Roman" w:hAnsi="Times New Roman"/>
        </w:rPr>
      </w:pPr>
      <w:r>
        <w:rPr>
          <w:rFonts w:ascii="Times New Roman" w:hAnsi="Times New Roman"/>
          <w:w w:val="102"/>
          <w:sz w:val="22"/>
        </w:rPr>
        <w:t>VTEK 2020 m. gruodžio 30 d. sprendimas Nr. KS – 176 „Dėl Privačių interesų deklaracijos formos bei jos pildymo, tikslinimo, papildymo ir pateikimo taisyklių patvirtinimo“.</w:t>
      </w:r>
    </w:p>
    <w:p>
      <w:pPr>
        <w:pStyle w:val="ListParagraph"/>
        <w:numPr>
          <w:ilvl w:val="1"/>
          <w:numId w:val="2"/>
        </w:numPr>
        <w:spacing w:before="0" w:after="0"/>
        <w:jc w:val="both"/>
        <w:rPr>
          <w:rFonts w:ascii="Times New Roman" w:hAnsi="Times New Roman"/>
        </w:rPr>
      </w:pPr>
      <w:bookmarkStart w:id="8" w:name="_Ref69126255"/>
      <w:r>
        <w:rPr>
          <w:rFonts w:ascii="Times New Roman" w:hAnsi="Times New Roman"/>
          <w:b/>
          <w:bCs/>
          <w:sz w:val="22"/>
        </w:rPr>
        <w:t>Valstybės informacinių išteklių valdymą ir tvarkymą reglamentuojantys teisės aktai:</w:t>
      </w:r>
      <w:bookmarkEnd w:id="8"/>
    </w:p>
    <w:p>
      <w:pPr>
        <w:pStyle w:val="ListParagraph"/>
        <w:numPr>
          <w:ilvl w:val="2"/>
          <w:numId w:val="2"/>
        </w:numPr>
        <w:spacing w:before="0" w:after="0"/>
        <w:jc w:val="both"/>
        <w:rPr>
          <w:rFonts w:ascii="Times New Roman" w:hAnsi="Times New Roman"/>
        </w:rPr>
      </w:pPr>
      <w:r>
        <w:rPr>
          <w:rFonts w:ascii="Times New Roman" w:hAnsi="Times New Roman"/>
          <w:sz w:val="22"/>
        </w:rPr>
        <w:t>Lietuvos Respublikos valstybės informacinių išteklių valdymo įstatymas;</w:t>
      </w:r>
    </w:p>
    <w:p>
      <w:pPr>
        <w:pStyle w:val="ListParagraph"/>
        <w:numPr>
          <w:ilvl w:val="2"/>
          <w:numId w:val="2"/>
        </w:numPr>
        <w:spacing w:before="0" w:after="0"/>
        <w:jc w:val="both"/>
        <w:rPr>
          <w:rFonts w:ascii="Times New Roman" w:hAnsi="Times New Roman"/>
        </w:rPr>
      </w:pPr>
      <w:r>
        <w:rPr>
          <w:rFonts w:ascii="Times New Roman" w:hAnsi="Times New Roman"/>
          <w:sz w:val="22"/>
        </w:rPr>
        <w:t>Valstybės informacinių sistemų steigimo, kūrimo, modernizavimo ir likvidavimo tvarkos aprašas, patvirtintas Lietuvos Respublikos Vyriausybės 2013 m. vasario 27 d. nutarimu Nr. 180 „Dėl Valstybės informacinių sistemų steigimo, kūrimo, modernizavimo ir likvidavimo tvarkos aprašo patvirtinimo“;</w:t>
      </w:r>
    </w:p>
    <w:p>
      <w:pPr>
        <w:pStyle w:val="ListParagraph"/>
        <w:numPr>
          <w:ilvl w:val="2"/>
          <w:numId w:val="2"/>
        </w:numPr>
        <w:spacing w:before="0" w:after="0"/>
        <w:jc w:val="both"/>
        <w:rPr>
          <w:rFonts w:ascii="Times New Roman" w:hAnsi="Times New Roman"/>
        </w:rPr>
      </w:pPr>
      <w:r>
        <w:rPr>
          <w:rFonts w:ascii="Times New Roman" w:hAnsi="Times New Roman"/>
          <w:sz w:val="22"/>
        </w:rPr>
        <w:t>Registrų steigimo, kūrimo, reorganizavimo ir likvidavimo tvarkos aprašas, patvirtintas Lietuvos Respublikos Vyriausybės 2012 m. liepos 18 d. nutarimu Nr. 881 „Dėl registrų steigimo, kūrimo, modernizavimo ir likvidavimo tvarkos aprašo patvirtinimo“;</w:t>
      </w:r>
    </w:p>
    <w:p>
      <w:pPr>
        <w:pStyle w:val="ListParagraph"/>
        <w:numPr>
          <w:ilvl w:val="2"/>
          <w:numId w:val="2"/>
        </w:numPr>
        <w:spacing w:before="0" w:after="0"/>
        <w:jc w:val="both"/>
        <w:rPr>
          <w:rFonts w:ascii="Times New Roman" w:hAnsi="Times New Roman"/>
        </w:rPr>
      </w:pPr>
      <w:r>
        <w:rPr>
          <w:rFonts w:ascii="Times New Roman" w:hAnsi="Times New Roman"/>
          <w:sz w:val="22"/>
        </w:rPr>
        <w:t>Valstybės informacinių sistemų gyvavimo ciklo valdymo metodika, patvirtinta Informacinės visuomenės plėtros komiteto prie Susisiekimo ministerijos direktoriaus 2014 m. vasario 25 d. įsakymu Nr. T-29 „Dėl Valstybės informacinių sistemų gyvavimo ciklo valdymo metodikos patvirtinimo“.</w:t>
      </w:r>
    </w:p>
    <w:p>
      <w:pPr>
        <w:pStyle w:val="ListParagraph"/>
        <w:numPr>
          <w:ilvl w:val="1"/>
          <w:numId w:val="2"/>
        </w:numPr>
        <w:spacing w:before="0" w:after="0"/>
        <w:jc w:val="both"/>
        <w:rPr>
          <w:rFonts w:ascii="Times New Roman" w:hAnsi="Times New Roman"/>
        </w:rPr>
      </w:pPr>
      <w:r>
        <w:rPr>
          <w:rFonts w:ascii="Times New Roman" w:hAnsi="Times New Roman"/>
          <w:b/>
          <w:bCs/>
          <w:sz w:val="22"/>
        </w:rPr>
        <w:t>Duomenų saugą reglamentuojantys teisės aktai:</w:t>
      </w:r>
    </w:p>
    <w:p>
      <w:pPr>
        <w:pStyle w:val="ListParagraph"/>
        <w:numPr>
          <w:ilvl w:val="2"/>
          <w:numId w:val="2"/>
        </w:numPr>
        <w:spacing w:before="0" w:after="0"/>
        <w:jc w:val="both"/>
        <w:rPr>
          <w:rFonts w:ascii="Times New Roman" w:hAnsi="Times New Roman"/>
        </w:rPr>
      </w:pPr>
      <w:r>
        <w:rPr>
          <w:rFonts w:ascii="Times New Roman" w:hAnsi="Times New Roman"/>
          <w:sz w:val="22"/>
        </w:rPr>
        <w:t>2016 m. balandžio 27 d. Europos Parlamento ir Tarybos reglamentas (ES) 2016/679 dėl fizinių asmenų apsaugos tvarkant asmens duomenis ir dėl laisvo tokių duomenų judėjimo ir kuriuo panaikinama Direktyva 95/46/EB (OL 2016 L 119, p. 1);</w:t>
      </w:r>
    </w:p>
    <w:p>
      <w:pPr>
        <w:pStyle w:val="ListParagraph"/>
        <w:numPr>
          <w:ilvl w:val="2"/>
          <w:numId w:val="2"/>
        </w:numPr>
        <w:spacing w:before="0" w:after="0"/>
        <w:jc w:val="both"/>
        <w:rPr>
          <w:rFonts w:ascii="Times New Roman" w:hAnsi="Times New Roman"/>
        </w:rPr>
      </w:pPr>
      <w:r>
        <w:rPr>
          <w:rFonts w:ascii="Times New Roman" w:hAnsi="Times New Roman"/>
          <w:sz w:val="22"/>
        </w:rPr>
        <w:t>Lietuvos Respublikos asmens duomenų teisinės apsaugos įstatymas;</w:t>
      </w:r>
    </w:p>
    <w:p>
      <w:pPr>
        <w:pStyle w:val="ListParagraph"/>
        <w:numPr>
          <w:ilvl w:val="2"/>
          <w:numId w:val="2"/>
        </w:numPr>
        <w:spacing w:before="0" w:after="0"/>
        <w:jc w:val="both"/>
        <w:rPr>
          <w:rFonts w:ascii="Times New Roman" w:hAnsi="Times New Roman"/>
        </w:rPr>
      </w:pPr>
      <w:r>
        <w:rPr>
          <w:rFonts w:ascii="Times New Roman" w:hAnsi="Times New Roman"/>
          <w:sz w:val="22"/>
        </w:rPr>
        <w:t>Lietuvos Respublikos kibernetinio saugumo įstatymas;</w:t>
      </w:r>
    </w:p>
    <w:p>
      <w:pPr>
        <w:pStyle w:val="ListParagraph"/>
        <w:numPr>
          <w:ilvl w:val="2"/>
          <w:numId w:val="2"/>
        </w:numPr>
        <w:spacing w:before="0" w:after="0"/>
        <w:jc w:val="both"/>
        <w:rPr>
          <w:rFonts w:ascii="Times New Roman" w:hAnsi="Times New Roman"/>
        </w:rPr>
      </w:pPr>
      <w:r>
        <w:rPr>
          <w:rFonts w:ascii="Times New Roman" w:hAnsi="Times New Roman"/>
          <w:sz w:val="22"/>
        </w:rPr>
        <w:t xml:space="preserve">Organizacinių ir techninių kibernetinio saugumo reikalavimų, taikomų kibernetinio saugumo subjektams, aprašas, patvirtintas Lietuvos Respublikos Vyriausybės 2018 m. gruodžio 5 d. nutarimu Nr. 1209 „Dėl Lietuvos Respublikos Vyriausybės 2018 m. rugpjūčio 13 d. nutarimo Nr. 818 „Dėl Nacionalinės kibernetinio saugumo strategijos patvirtinimo“ pakeitimo“; </w:t>
      </w:r>
    </w:p>
    <w:p>
      <w:pPr>
        <w:pStyle w:val="ListParagraph"/>
        <w:numPr>
          <w:ilvl w:val="2"/>
          <w:numId w:val="2"/>
        </w:numPr>
        <w:spacing w:before="0" w:after="0"/>
        <w:jc w:val="both"/>
        <w:rPr>
          <w:rFonts w:ascii="Times New Roman" w:hAnsi="Times New Roman"/>
        </w:rPr>
      </w:pPr>
      <w:r>
        <w:rPr>
          <w:rFonts w:ascii="Times New Roman" w:hAnsi="Times New Roman"/>
          <w:sz w:val="22"/>
        </w:rPr>
        <w:t>Bendrųjų elektroninės informacijos saugos reikalavimų aprašas, Saugos dokumentų turinio gairių aprašas ir Elektroninės informacijos, sudarančios valstybės informacinius išteklius, svarbos įvertinimo ir Valstybės informacinių sistemų, registrų ir kitų informacinių sistemų klasifikavimo gairių aprašas, patvirtinti Lietuvos Respublikos Vyriausybės 2013 m. liepos 24 d. nutarimu Nr. 716 „Dėl Bendrųjų elektroninės informacijos saugos reikalavimų aprašo, Saugos dokumentų turinio gairių aprašo ir Elektroninės informacijos, sudarančios valstybės informacinius išteklius, svarbos įvertinimo ir Valstybės informacinių sistemų, registrų ir kitų informacinių sistemų klasifikavimo gairių aprašo patvirtinimo;</w:t>
      </w:r>
    </w:p>
    <w:p>
      <w:pPr>
        <w:pStyle w:val="ListParagraph"/>
        <w:numPr>
          <w:ilvl w:val="2"/>
          <w:numId w:val="2"/>
        </w:numPr>
        <w:spacing w:before="0" w:after="0"/>
        <w:jc w:val="both"/>
        <w:rPr>
          <w:rFonts w:ascii="Times New Roman" w:hAnsi="Times New Roman"/>
        </w:rPr>
      </w:pPr>
      <w:r>
        <w:rPr>
          <w:rFonts w:ascii="Times New Roman" w:hAnsi="Times New Roman"/>
          <w:sz w:val="22"/>
        </w:rPr>
        <w:t>Duomenų teikimo formatų ir standartų rekomendacijos, patvirtintos Informacinės visuomenės plėtros komiteto prie Susisiekimo ministerijos direktoriaus 2013 m. kovo 25 d. įsakymu Nr. T-36 „Dėl Duomenų teikimo formatų ir standartų rekomendacijų patvirtinimo“.</w:t>
      </w:r>
    </w:p>
    <w:p>
      <w:pPr>
        <w:pStyle w:val="ListParagraph"/>
        <w:numPr>
          <w:ilvl w:val="2"/>
          <w:numId w:val="2"/>
        </w:numPr>
        <w:spacing w:before="0" w:after="0"/>
        <w:jc w:val="both"/>
        <w:rPr>
          <w:rFonts w:ascii="Times New Roman" w:hAnsi="Times New Roman"/>
        </w:rPr>
      </w:pPr>
      <w:r>
        <w:rPr>
          <w:rFonts w:ascii="Times New Roman" w:hAnsi="Times New Roman"/>
          <w:sz w:val="22"/>
        </w:rPr>
        <w:t>Vyriausiosios tarnybinės etikos komisijos duomenų saugos nuostatai, patvirtinti 2018 m. balandžio 12 d. Vyriausiosios tarnybinės etikos komisijos pirmininko įsakymu Nr. T-14 „Dėl Vyriausiosios tarnybinės etikos komisijos duomenų saugos nuostatų patvirtinimo“.</w:t>
      </w:r>
    </w:p>
    <w:p>
      <w:pPr>
        <w:pStyle w:val="ListParagraph"/>
        <w:numPr>
          <w:ilvl w:val="1"/>
          <w:numId w:val="2"/>
        </w:numPr>
        <w:spacing w:before="0" w:after="0"/>
        <w:jc w:val="both"/>
        <w:rPr>
          <w:rFonts w:ascii="Times New Roman" w:hAnsi="Times New Roman"/>
        </w:rPr>
      </w:pPr>
      <w:r>
        <w:rPr>
          <w:rFonts w:ascii="Times New Roman" w:hAnsi="Times New Roman"/>
          <w:sz w:val="22"/>
        </w:rPr>
        <w:t xml:space="preserve">Kiti su teikiamomis paslaugomis ir su Perkančiosios organizacijos veiklos reglamentavimu susiję teisės aktai ir dokumentai. </w:t>
      </w:r>
    </w:p>
    <w:p>
      <w:pPr>
        <w:pStyle w:val="ListParagraph"/>
        <w:numPr>
          <w:ilvl w:val="0"/>
          <w:numId w:val="2"/>
        </w:numPr>
        <w:spacing w:before="0" w:after="0"/>
        <w:jc w:val="both"/>
        <w:rPr>
          <w:rFonts w:ascii="Times New Roman" w:hAnsi="Times New Roman"/>
        </w:rPr>
      </w:pPr>
      <w:r>
        <w:rPr>
          <w:rFonts w:ascii="Times New Roman" w:hAnsi="Times New Roman"/>
          <w:sz w:val="22"/>
        </w:rPr>
        <w:t>Diegėjas privalo vadovautis ne tik aukščiau išvardintais, bet ir visais kitais su šios techninės specifikacijos įgyvendinimu susijusiais teisės aktais, taip pat jų naujausiais pakeitimais ir papildymais. Diegėjas turi vadovautis vykdymo metu naujai priimtais teisės aktai, jeigu jie susiję su šios techninės specifikacijos  įgyvendinimu.</w:t>
      </w:r>
    </w:p>
    <w:p>
      <w:pPr>
        <w:pStyle w:val="Heading1"/>
        <w:rPr>
          <w:rFonts w:ascii="Times New Roman" w:hAnsi="Times New Roman"/>
        </w:rPr>
      </w:pPr>
      <w:bookmarkStart w:id="9" w:name="_Toc151027902"/>
      <w:bookmarkStart w:id="10" w:name="_Ref8144335"/>
      <w:bookmarkStart w:id="11" w:name="_Toc8118837"/>
      <w:r>
        <w:rPr>
          <w:rFonts w:ascii="Times New Roman" w:hAnsi="Times New Roman"/>
          <w:sz w:val="22"/>
          <w:szCs w:val="22"/>
        </w:rPr>
        <w:t>PIRKIMO TIKSLAS IR REZULTATAI</w:t>
      </w:r>
      <w:bookmarkEnd w:id="9"/>
      <w:bookmarkEnd w:id="10"/>
      <w:bookmarkEnd w:id="11"/>
    </w:p>
    <w:p>
      <w:pPr>
        <w:pStyle w:val="ListParagraph"/>
        <w:numPr>
          <w:ilvl w:val="0"/>
          <w:numId w:val="2"/>
        </w:numPr>
        <w:spacing w:before="0" w:after="0"/>
        <w:jc w:val="both"/>
        <w:rPr>
          <w:rFonts w:ascii="Times New Roman" w:hAnsi="Times New Roman"/>
        </w:rPr>
      </w:pPr>
      <w:r>
        <w:rPr>
          <w:rFonts w:ascii="Times New Roman" w:hAnsi="Times New Roman"/>
          <w:b/>
          <w:bCs/>
          <w:sz w:val="22"/>
        </w:rPr>
        <w:t>Pirkimo tikslas</w:t>
      </w:r>
      <w:r>
        <w:rPr>
          <w:rFonts w:ascii="Times New Roman" w:hAnsi="Times New Roman"/>
          <w:sz w:val="22"/>
        </w:rPr>
        <w:t xml:space="preserve"> – atrinkti paslaugų teikėją, kuris suteiktų šioje Techninėje specifikacijoje nurodytas paslaugas (sukurtų, įdiegtų, ištestuotų, išbandytų bei parengtų darbinei eksploatacijai PINREG </w:t>
      </w:r>
      <w:r>
        <w:rPr>
          <w:rFonts w:ascii="Times New Roman" w:hAnsi="Times New Roman"/>
          <w:sz w:val="22"/>
          <w:lang w:val="en-US"/>
        </w:rPr>
        <w:t>v</w:t>
      </w:r>
      <w:r>
        <w:rPr>
          <w:rFonts w:ascii="Times New Roman" w:hAnsi="Times New Roman"/>
          <w:sz w:val="22"/>
        </w:rPr>
        <w:t>ystytą</w:t>
      </w:r>
      <w:r>
        <w:rPr>
          <w:rFonts w:ascii="Times New Roman" w:hAnsi="Times New Roman"/>
          <w:sz w:val="22"/>
          <w:lang w:val="en-US"/>
        </w:rPr>
        <w:t xml:space="preserve"> </w:t>
      </w:r>
      <w:r>
        <w:rPr>
          <w:rFonts w:ascii="Times New Roman" w:hAnsi="Times New Roman"/>
          <w:sz w:val="22"/>
        </w:rPr>
        <w:t>d</w:t>
      </w:r>
      <w:r>
        <w:rPr>
          <w:rFonts w:ascii="Times New Roman" w:hAnsi="Times New Roman"/>
          <w:sz w:val="22"/>
          <w:shd w:fill="FFFFFF" w:val="clear"/>
        </w:rPr>
        <w:t>alį).</w:t>
      </w:r>
    </w:p>
    <w:p>
      <w:pPr>
        <w:pStyle w:val="ListParagraph"/>
        <w:numPr>
          <w:ilvl w:val="0"/>
          <w:numId w:val="2"/>
        </w:numPr>
        <w:spacing w:before="0" w:after="0"/>
        <w:jc w:val="both"/>
        <w:rPr>
          <w:rFonts w:ascii="Times New Roman" w:hAnsi="Times New Roman"/>
        </w:rPr>
      </w:pPr>
      <w:r>
        <w:rPr>
          <w:rFonts w:ascii="Times New Roman" w:hAnsi="Times New Roman"/>
          <w:b/>
          <w:bCs/>
          <w:sz w:val="22"/>
          <w:shd w:fill="FFFFFF" w:val="clear"/>
        </w:rPr>
        <w:t>Perkamų paslaugų rezultatai</w:t>
      </w:r>
      <w:r>
        <w:rPr>
          <w:rFonts w:ascii="Times New Roman" w:hAnsi="Times New Roman"/>
          <w:sz w:val="22"/>
          <w:shd w:fill="FFFFFF" w:val="clear"/>
        </w:rPr>
        <w:t>:</w:t>
      </w:r>
    </w:p>
    <w:p>
      <w:pPr>
        <w:pStyle w:val="ListParagraph"/>
        <w:numPr>
          <w:ilvl w:val="1"/>
          <w:numId w:val="2"/>
        </w:numPr>
        <w:spacing w:before="0" w:after="0"/>
        <w:jc w:val="both"/>
        <w:rPr>
          <w:rFonts w:ascii="Times New Roman" w:hAnsi="Times New Roman"/>
        </w:rPr>
      </w:pPr>
      <w:r>
        <w:rPr>
          <w:rFonts w:ascii="Times New Roman" w:hAnsi="Times New Roman"/>
          <w:sz w:val="22"/>
          <w:shd w:fill="FFFFFF" w:val="clear"/>
        </w:rPr>
        <w:t>modernizuotas PINREG;</w:t>
      </w:r>
    </w:p>
    <w:p>
      <w:pPr>
        <w:pStyle w:val="ListParagraph"/>
        <w:numPr>
          <w:ilvl w:val="1"/>
          <w:numId w:val="2"/>
        </w:numPr>
        <w:spacing w:before="0" w:after="0"/>
        <w:jc w:val="both"/>
        <w:rPr>
          <w:rFonts w:ascii="Times New Roman" w:hAnsi="Times New Roman"/>
        </w:rPr>
      </w:pPr>
      <w:r>
        <w:rPr>
          <w:rFonts w:ascii="Times New Roman" w:hAnsi="Times New Roman"/>
          <w:sz w:val="22"/>
          <w:shd w:fill="FFFFFF" w:val="clear"/>
        </w:rPr>
        <w:t>parengta modernizuoto PINREG techninė dokumentacija;</w:t>
      </w:r>
    </w:p>
    <w:p>
      <w:pPr>
        <w:pStyle w:val="ListParagraph"/>
        <w:numPr>
          <w:ilvl w:val="1"/>
          <w:numId w:val="2"/>
        </w:numPr>
        <w:spacing w:before="0" w:after="0"/>
        <w:jc w:val="both"/>
        <w:rPr>
          <w:rFonts w:ascii="Times New Roman" w:hAnsi="Times New Roman"/>
        </w:rPr>
      </w:pPr>
      <w:r>
        <w:rPr>
          <w:rFonts w:ascii="Times New Roman" w:hAnsi="Times New Roman"/>
          <w:sz w:val="22"/>
          <w:shd w:fill="FFFFFF" w:val="clear"/>
        </w:rPr>
        <w:t>apmokyti PINREG naudotojai;</w:t>
      </w:r>
    </w:p>
    <w:p>
      <w:pPr>
        <w:pStyle w:val="ListParagraph"/>
        <w:numPr>
          <w:ilvl w:val="1"/>
          <w:numId w:val="2"/>
        </w:numPr>
        <w:spacing w:before="0" w:after="0"/>
        <w:jc w:val="both"/>
        <w:rPr>
          <w:rFonts w:ascii="Times New Roman" w:hAnsi="Times New Roman"/>
        </w:rPr>
      </w:pPr>
      <w:r>
        <w:rPr>
          <w:rFonts w:ascii="Times New Roman" w:hAnsi="Times New Roman"/>
          <w:sz w:val="22"/>
          <w:shd w:fill="FFFFFF" w:val="clear"/>
        </w:rPr>
        <w:t>suteiktos PINREG palaikymo paslaugos;</w:t>
      </w:r>
    </w:p>
    <w:p>
      <w:pPr>
        <w:pStyle w:val="ListParagraph"/>
        <w:numPr>
          <w:ilvl w:val="1"/>
          <w:numId w:val="2"/>
        </w:numPr>
        <w:spacing w:before="0" w:after="0"/>
        <w:jc w:val="both"/>
        <w:rPr>
          <w:rFonts w:ascii="Times New Roman" w:hAnsi="Times New Roman"/>
        </w:rPr>
      </w:pPr>
      <w:r>
        <w:rPr>
          <w:rFonts w:ascii="Times New Roman" w:hAnsi="Times New Roman"/>
          <w:sz w:val="22"/>
          <w:shd w:fill="FFFFFF" w:val="clear"/>
        </w:rPr>
        <w:t>suteikta PINREG modernizuotos dalies garantinė priežiūra.</w:t>
      </w:r>
    </w:p>
    <w:p>
      <w:pPr>
        <w:pStyle w:val="ListParagraph"/>
        <w:numPr>
          <w:ilvl w:val="0"/>
          <w:numId w:val="2"/>
        </w:numPr>
        <w:spacing w:before="0" w:after="0"/>
        <w:jc w:val="both"/>
        <w:rPr>
          <w:rFonts w:ascii="Times New Roman" w:hAnsi="Times New Roman"/>
        </w:rPr>
      </w:pPr>
      <w:r>
        <w:rPr>
          <w:rFonts w:ascii="Times New Roman" w:hAnsi="Times New Roman"/>
          <w:sz w:val="22"/>
          <w:shd w:fill="FFFFFF" w:val="clear"/>
        </w:rPr>
        <w:t xml:space="preserve"> </w:t>
      </w:r>
      <w:r>
        <w:rPr>
          <w:rFonts w:ascii="Times New Roman" w:hAnsi="Times New Roman"/>
          <w:sz w:val="22"/>
          <w:shd w:fill="FFFFFF" w:val="clear"/>
        </w:rPr>
        <w:t>Įvykdžius Pirkimą bus sudaryta sutartis tarp VTEK ir šioje techninėje specifikacijoje įvardinto Paslaugų teikėjo (toliau – Sutartis).</w:t>
      </w:r>
    </w:p>
    <w:p>
      <w:pPr>
        <w:pStyle w:val="ListParagraph"/>
        <w:spacing w:before="0" w:after="0"/>
        <w:ind w:left="0"/>
        <w:jc w:val="both"/>
        <w:rPr>
          <w:rFonts w:ascii="Times New Roman" w:hAnsi="Times New Roman"/>
          <w:sz w:val="22"/>
        </w:rPr>
      </w:pPr>
      <w:r>
        <w:rPr>
          <w:rFonts w:ascii="Times New Roman" w:hAnsi="Times New Roman"/>
          <w:sz w:val="22"/>
        </w:rPr>
      </w:r>
    </w:p>
    <w:p>
      <w:pPr>
        <w:pStyle w:val="Heading1"/>
        <w:rPr>
          <w:rFonts w:ascii="Times New Roman" w:hAnsi="Times New Roman"/>
        </w:rPr>
      </w:pPr>
      <w:bookmarkStart w:id="12" w:name="_Toc151027903"/>
      <w:bookmarkStart w:id="13" w:name="_Ref69126295"/>
      <w:bookmarkStart w:id="14" w:name="_Toc8118839"/>
      <w:r>
        <w:rPr>
          <w:rFonts w:ascii="Times New Roman" w:hAnsi="Times New Roman"/>
          <w:sz w:val="22"/>
          <w:szCs w:val="22"/>
        </w:rPr>
        <w:t>ESAMOS SITUACIJOS APRAŠYMAS</w:t>
      </w:r>
      <w:bookmarkEnd w:id="12"/>
      <w:bookmarkEnd w:id="13"/>
      <w:bookmarkEnd w:id="14"/>
    </w:p>
    <w:p>
      <w:pPr>
        <w:pStyle w:val="Heading2"/>
        <w:rPr>
          <w:rFonts w:ascii="Times New Roman" w:hAnsi="Times New Roman"/>
        </w:rPr>
      </w:pPr>
      <w:r>
        <w:rPr>
          <w:rFonts w:ascii="Times New Roman" w:hAnsi="Times New Roman"/>
          <w:sz w:val="22"/>
          <w:szCs w:val="22"/>
        </w:rPr>
        <w:t xml:space="preserve"> </w:t>
      </w:r>
      <w:bookmarkStart w:id="15" w:name="_Toc151027904"/>
      <w:r>
        <w:rPr>
          <w:rFonts w:ascii="Times New Roman" w:hAnsi="Times New Roman"/>
          <w:sz w:val="22"/>
          <w:szCs w:val="22"/>
        </w:rPr>
        <w:t>PINREG aprašymas</w:t>
      </w:r>
      <w:bookmarkEnd w:id="15"/>
    </w:p>
    <w:p>
      <w:pPr>
        <w:pStyle w:val="ListParagraph"/>
        <w:numPr>
          <w:ilvl w:val="0"/>
          <w:numId w:val="2"/>
        </w:numPr>
        <w:spacing w:before="0" w:after="0"/>
        <w:jc w:val="both"/>
        <w:rPr>
          <w:rFonts w:ascii="Times New Roman" w:hAnsi="Times New Roman"/>
        </w:rPr>
      </w:pPr>
      <w:r>
        <w:rPr>
          <w:rFonts w:ascii="Times New Roman" w:hAnsi="Times New Roman"/>
          <w:sz w:val="22"/>
        </w:rPr>
        <w:t>Nuo 2021 m. pradžios VTEK pradėtas naudoti PINREG, kuris leidžia patogiau deklaruoti interesus teikiant privačių interesų deklaraciją (toliau – PID) ir kontroliuoti jos teikimo procesą. Preliminarią deklaraciją sistema automatiškai užpildo tam tikrais duomenimis iš daugiau nei 8-ių valstybės registrų bei informacinių sistemų, o deklaruojančiam asmeniui lieka informaciją patikrinti, prireikus papildyti ir patvirtinti. Taip pat asmuo el. paštu gauna PINREG priminimą, kad atėjo laikas deklaruoti interesus (gavus atitinkamus duomenis iš kitų informacinių sistemų). Visa tai suteikia galimybę laiku ir tiksliai pateikti informaciją bei įgyvendinti interesų konfliktų prevenciją.</w:t>
      </w:r>
    </w:p>
    <w:p>
      <w:pPr>
        <w:pStyle w:val="ListParagraph"/>
        <w:numPr>
          <w:ilvl w:val="0"/>
          <w:numId w:val="2"/>
        </w:numPr>
        <w:spacing w:before="0" w:after="0"/>
        <w:jc w:val="both"/>
        <w:rPr>
          <w:rFonts w:ascii="Times New Roman" w:hAnsi="Times New Roman"/>
        </w:rPr>
      </w:pPr>
      <w:r>
        <w:rPr>
          <w:rFonts w:ascii="Times New Roman" w:hAnsi="Times New Roman"/>
          <w:sz w:val="22"/>
        </w:rPr>
        <w:t xml:space="preserve">VTEK vykdo interesų konfliktų prevenciją, t. y. koordinuoja ir užtikrina privačių interesų deklaravimo procesą, teikia informaciją apie asmenų patikimumą, tinkamo tarnautojų elgesio rekomendacijas bei metodinę pagalbą, organizuoja aktyvią šviečiamąją veiklą. Įstatymo nuostatų taikymo ir įgyvendinimo užtikrinimui VTEK itin naudingas PINREG. </w:t>
      </w:r>
    </w:p>
    <w:p>
      <w:pPr>
        <w:pStyle w:val="ListParagraph"/>
        <w:numPr>
          <w:ilvl w:val="0"/>
          <w:numId w:val="2"/>
        </w:numPr>
        <w:spacing w:before="0" w:after="0"/>
        <w:jc w:val="both"/>
        <w:rPr>
          <w:rFonts w:ascii="Times New Roman" w:hAnsi="Times New Roman"/>
        </w:rPr>
      </w:pPr>
      <w:r>
        <w:rPr>
          <w:rFonts w:ascii="Times New Roman" w:hAnsi="Times New Roman"/>
          <w:sz w:val="22"/>
        </w:rPr>
        <w:t xml:space="preserve">Esamos PINREG funkcinės architektūros schema: </w:t>
      </w:r>
    </w:p>
    <w:p>
      <w:pPr>
        <w:pStyle w:val="Normal"/>
        <w:spacing w:before="0" w:after="0"/>
        <w:jc w:val="center"/>
        <w:rPr>
          <w:rFonts w:ascii="Times New Roman" w:hAnsi="Times New Roman"/>
        </w:rPr>
      </w:pPr>
      <w:r>
        <w:rPr>
          <w:rFonts w:ascii="Times New Roman" w:hAnsi="Times New Roman"/>
        </w:rPr>
      </w:r>
    </w:p>
    <w:p>
      <w:pPr>
        <w:pStyle w:val="Normal"/>
        <w:spacing w:before="0" w:after="0"/>
        <w:jc w:val="center"/>
        <w:rPr>
          <w:rFonts w:ascii="Times New Roman" w:hAnsi="Times New Roman"/>
        </w:rPr>
      </w:pPr>
      <w:r>
        <w:rPr>
          <w:rFonts w:ascii="Times New Roman" w:hAnsi="Times New Roman"/>
        </w:rPr>
      </w:r>
    </w:p>
    <w:p>
      <w:pPr>
        <w:pStyle w:val="Normal"/>
        <w:spacing w:before="0" w:after="0"/>
        <w:jc w:val="center"/>
        <w:rPr>
          <w:rFonts w:ascii="Times New Roman" w:hAnsi="Times New Roman"/>
        </w:rPr>
      </w:pPr>
      <w:r>
        <w:rPr>
          <w:rFonts w:ascii="Times New Roman" w:hAnsi="Times New Roman"/>
        </w:rPr>
      </w:r>
    </w:p>
    <w:p>
      <w:pPr>
        <w:pStyle w:val="Normal"/>
        <w:spacing w:before="0" w:after="0"/>
        <w:jc w:val="center"/>
        <w:rPr>
          <w:rFonts w:ascii="Times New Roman" w:hAnsi="Times New Roman"/>
        </w:rPr>
      </w:pPr>
      <w:r>
        <w:rPr>
          <w:rFonts w:ascii="Times New Roman" w:hAnsi="Times New Roman"/>
        </w:rPr>
        <w:drawing>
          <wp:inline distT="0" distB="0" distL="0" distR="0">
            <wp:extent cx="3743960" cy="4477385"/>
            <wp:effectExtent l="0" t="0" r="0" b="0"/>
            <wp:docPr id="1" name="Picture 1"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creenshot of a computer screen&#10;&#10;Description automatically generated"/>
                    <pic:cNvPicPr>
                      <a:picLocks noChangeAspect="1" noChangeArrowheads="1"/>
                    </pic:cNvPicPr>
                  </pic:nvPicPr>
                  <pic:blipFill>
                    <a:blip r:embed="rId2"/>
                    <a:stretch>
                      <a:fillRect/>
                    </a:stretch>
                  </pic:blipFill>
                  <pic:spPr bwMode="auto">
                    <a:xfrm>
                      <a:off x="0" y="0"/>
                      <a:ext cx="3743960" cy="4477385"/>
                    </a:xfrm>
                    <a:prstGeom prst="rect">
                      <a:avLst/>
                    </a:prstGeom>
                  </pic:spPr>
                </pic:pic>
              </a:graphicData>
            </a:graphic>
          </wp:inline>
        </w:drawing>
      </w:r>
    </w:p>
    <w:p>
      <w:pPr>
        <w:pStyle w:val="Pavpavadarial"/>
        <w:rPr>
          <w:rFonts w:ascii="Times New Roman" w:hAnsi="Times New Roman"/>
        </w:rPr>
      </w:pPr>
      <w:r>
        <w:fldChar w:fldCharType="begin"/>
      </w:r>
      <w:r>
        <w:rPr>
          <w:rFonts w:ascii="Times New Roman" w:hAnsi="Times New Roman"/>
        </w:rPr>
        <w:instrText xml:space="preserve">STYLEREF 1 \s</w:instrText>
      </w:r>
      <w:r>
        <w:rPr>
          <w:rFonts w:ascii="Times New Roman" w:hAnsi="Times New Roman"/>
        </w:rPr>
      </w:r>
      <w:r>
        <w:rPr>
          <w:rFonts w:ascii="Times New Roman" w:hAnsi="Times New Roman"/>
        </w:rPr>
        <w:fldChar w:fldCharType="separate"/>
      </w:r>
      <w:r>
        <w:rPr>
          <w:rFonts w:ascii="Times New Roman" w:hAnsi="Times New Roman"/>
        </w:rPr>
      </w:r>
      <w:bookmarkStart w:id="16" w:name="_Toc70458512"/>
      <w:r>
        <w:rPr>
          <w:rFonts w:ascii="Times New Roman" w:hAnsi="Times New Roman"/>
          <w:szCs w:val="22"/>
        </w:rPr>
        <w:t>5</w:t>
      </w:r>
      <w:r>
        <w:rPr>
          <w:rFonts w:ascii="Times New Roman" w:hAnsi="Times New Roman"/>
        </w:rPr>
      </w:r>
      <w:r>
        <w:rPr>
          <w:rFonts w:ascii="Times New Roman" w:hAnsi="Times New Roman"/>
        </w:rPr>
        <w:fldChar w:fldCharType="end"/>
      </w:r>
      <w:r>
        <w:rPr>
          <w:rFonts w:ascii="Times New Roman" w:hAnsi="Times New Roman"/>
          <w:szCs w:val="22"/>
        </w:rPr>
        <w:t>.</w:t>
      </w:r>
      <w:r>
        <w:rPr>
          <w:rFonts w:ascii="Times New Roman" w:hAnsi="Times New Roman"/>
          <w:szCs w:val="22"/>
        </w:rPr>
        <w:fldChar w:fldCharType="begin"/>
      </w:r>
      <w:r>
        <w:rPr>
          <w:szCs w:val="22"/>
          <w:rFonts w:ascii="Times New Roman" w:hAnsi="Times New Roman"/>
        </w:rPr>
        <w:instrText xml:space="preserve"> SEQ Figūra \* ARABIC </w:instrText>
      </w:r>
      <w:r>
        <w:rPr>
          <w:szCs w:val="22"/>
          <w:rFonts w:ascii="Times New Roman" w:hAnsi="Times New Roman"/>
        </w:rPr>
        <w:fldChar w:fldCharType="separate"/>
      </w:r>
      <w:r>
        <w:rPr>
          <w:szCs w:val="22"/>
          <w:rFonts w:ascii="Times New Roman" w:hAnsi="Times New Roman"/>
        </w:rPr>
        <w:t>1</w:t>
      </w:r>
      <w:r>
        <w:rPr>
          <w:szCs w:val="22"/>
          <w:rFonts w:ascii="Times New Roman" w:hAnsi="Times New Roman"/>
        </w:rPr>
        <w:fldChar w:fldCharType="end"/>
      </w:r>
      <w:r>
        <w:rPr>
          <w:rFonts w:ascii="Times New Roman" w:hAnsi="Times New Roman"/>
          <w:szCs w:val="22"/>
        </w:rPr>
        <w:t xml:space="preserve"> pav. Esamos PINREG funkcinės architektūros schema</w:t>
      </w:r>
      <w:bookmarkEnd w:id="16"/>
    </w:p>
    <w:p>
      <w:pPr>
        <w:pStyle w:val="Heading1"/>
        <w:rPr>
          <w:rFonts w:ascii="Times New Roman" w:hAnsi="Times New Roman"/>
        </w:rPr>
      </w:pPr>
      <w:bookmarkStart w:id="17" w:name="_Toc151027905"/>
      <w:bookmarkStart w:id="18" w:name="_Ref66651682"/>
      <w:bookmarkStart w:id="19" w:name="_Ref66281657"/>
      <w:bookmarkStart w:id="20" w:name="_Toc8118841"/>
      <w:r>
        <w:rPr>
          <w:rFonts w:ascii="Times New Roman" w:hAnsi="Times New Roman"/>
          <w:sz w:val="22"/>
          <w:szCs w:val="22"/>
        </w:rPr>
        <w:t>REIKALAVIMŲ APRAŠYMAS</w:t>
      </w:r>
      <w:bookmarkEnd w:id="17"/>
      <w:bookmarkEnd w:id="18"/>
      <w:bookmarkEnd w:id="19"/>
      <w:bookmarkEnd w:id="20"/>
    </w:p>
    <w:p>
      <w:pPr>
        <w:pStyle w:val="Heading2"/>
        <w:ind w:hanging="792" w:left="792"/>
        <w:rPr>
          <w:rFonts w:ascii="Times New Roman" w:hAnsi="Times New Roman"/>
        </w:rPr>
      </w:pPr>
      <w:bookmarkStart w:id="21" w:name="_Toc151027906"/>
      <w:bookmarkStart w:id="22" w:name="_Toc70458287"/>
      <w:bookmarkStart w:id="23" w:name="_Toc70458286"/>
      <w:bookmarkStart w:id="24" w:name="_Toc70458285"/>
      <w:bookmarkStart w:id="25" w:name="_Toc70458284"/>
      <w:bookmarkStart w:id="26" w:name="_Toc70458283"/>
      <w:bookmarkStart w:id="27" w:name="_Toc70458282"/>
      <w:bookmarkStart w:id="28" w:name="_Toc70458281"/>
      <w:bookmarkStart w:id="29" w:name="_Toc70458280"/>
      <w:bookmarkStart w:id="30" w:name="_Toc70458279"/>
      <w:bookmarkStart w:id="31" w:name="_Toc70458278"/>
      <w:bookmarkStart w:id="32" w:name="_Toc70458277"/>
      <w:bookmarkStart w:id="33" w:name="_Toc70458276"/>
      <w:bookmarkStart w:id="34" w:name="_Toc70458275"/>
      <w:bookmarkEnd w:id="22"/>
      <w:bookmarkEnd w:id="23"/>
      <w:bookmarkEnd w:id="24"/>
      <w:bookmarkEnd w:id="25"/>
      <w:bookmarkEnd w:id="26"/>
      <w:bookmarkEnd w:id="27"/>
      <w:bookmarkEnd w:id="28"/>
      <w:bookmarkEnd w:id="29"/>
      <w:bookmarkEnd w:id="30"/>
      <w:bookmarkEnd w:id="31"/>
      <w:bookmarkEnd w:id="32"/>
      <w:bookmarkEnd w:id="33"/>
      <w:bookmarkEnd w:id="34"/>
      <w:r>
        <w:rPr>
          <w:rFonts w:ascii="Times New Roman" w:hAnsi="Times New Roman"/>
          <w:sz w:val="22"/>
          <w:szCs w:val="22"/>
        </w:rPr>
        <w:t xml:space="preserve">Reikalavimai PINREG funkcionalumų </w:t>
      </w:r>
      <w:bookmarkEnd w:id="21"/>
      <w:r>
        <w:rPr>
          <w:rFonts w:ascii="Times New Roman" w:hAnsi="Times New Roman"/>
          <w:sz w:val="22"/>
          <w:szCs w:val="22"/>
        </w:rPr>
        <w:t>vystymui</w:t>
      </w:r>
    </w:p>
    <w:p>
      <w:pPr>
        <w:pStyle w:val="ListParagraph"/>
        <w:numPr>
          <w:ilvl w:val="0"/>
          <w:numId w:val="2"/>
        </w:numPr>
        <w:spacing w:before="0" w:after="0"/>
        <w:jc w:val="both"/>
        <w:rPr>
          <w:rFonts w:ascii="Times New Roman" w:hAnsi="Times New Roman"/>
        </w:rPr>
      </w:pPr>
      <w:r>
        <w:rPr>
          <w:rFonts w:ascii="Times New Roman" w:hAnsi="Times New Roman"/>
        </w:rPr>
        <w:t>Vystant PINREG planuojama atlikti šiuos darbus:</w:t>
      </w:r>
    </w:p>
    <w:p>
      <w:pPr>
        <w:pStyle w:val="Normal"/>
        <w:rPr>
          <w:rFonts w:ascii="Times New Roman" w:hAnsi="Times New Roman" w:cstheme="minorBidi"/>
          <w:highlight w:val="none"/>
          <w:shd w:fill="FFFFFF" w:val="clear"/>
        </w:rPr>
      </w:pPr>
      <w:r>
        <w:rPr>
          <w:rFonts w:asciiTheme="minorHAnsi" w:cstheme="minorBidi" w:eastAsiaTheme="minorHAnsi" w:hAnsiTheme="minorHAnsi" w:ascii="Times New Roman" w:hAnsi="Times New Roman"/>
          <w:b/>
          <w:bCs/>
          <w:shd w:fill="FFFFFF" w:val="clear"/>
          <w:lang w:val="lt-LT"/>
        </w:rPr>
        <w:t>1</w:t>
      </w:r>
      <w:r>
        <w:rPr>
          <w:rFonts w:asciiTheme="minorHAnsi" w:cstheme="minorBidi" w:eastAsiaTheme="minorHAnsi" w:hAnsiTheme="minorHAnsi" w:ascii="Times New Roman" w:hAnsi="Times New Roman"/>
          <w:b/>
          <w:bCs/>
          <w:shd w:fill="FFFFFF" w:val="clear"/>
          <w:lang w:val="lt-LT"/>
        </w:rPr>
        <w:t>)</w:t>
      </w:r>
      <w:r>
        <w:rPr>
          <w:rFonts w:asciiTheme="minorHAnsi" w:cstheme="minorBidi" w:eastAsiaTheme="minorHAnsi" w:hAnsiTheme="minorHAnsi" w:ascii="Times New Roman" w:hAnsi="Times New Roman"/>
          <w:b/>
          <w:bCs/>
          <w:shd w:fill="FFFFFF" w:val="clear"/>
          <w:lang w:val="lt-LT"/>
        </w:rPr>
        <w:t xml:space="preserve"> Statistikos elementai (ne mažiau </w:t>
      </w:r>
      <w:r>
        <w:rPr>
          <w:rFonts w:asciiTheme="minorHAnsi" w:cstheme="minorBidi" w:eastAsiaTheme="minorHAnsi" w:hAnsiTheme="minorHAnsi" w:ascii="Times New Roman" w:hAnsi="Times New Roman"/>
          <w:b/>
          <w:bCs/>
          <w:shd w:fill="FFFFFF" w:val="clear"/>
          <w:lang w:val="en-US"/>
        </w:rPr>
        <w:t>10 vnt.)</w:t>
      </w:r>
    </w:p>
    <w:p>
      <w:pPr>
        <w:pStyle w:val="Normal"/>
        <w:rPr>
          <w:rFonts w:ascii="Times New Roman" w:hAnsi="Times New Roman"/>
        </w:rPr>
      </w:pPr>
      <w:r>
        <w:rPr>
          <w:rFonts w:ascii="Times New Roman" w:hAnsi="Times New Roman"/>
          <w:lang w:val="lt-LT"/>
        </w:rPr>
        <w:t>Turi būti įgyvendintos ataskaitų ir statistinių pjūvių kūrimo, formavimo ir publikavimo priemonės iš PINREG saugomų duomenų pagal:</w:t>
      </w:r>
    </w:p>
    <w:p>
      <w:pPr>
        <w:pStyle w:val="Normal"/>
        <w:rPr>
          <w:rFonts w:ascii="Times New Roman" w:hAnsi="Times New Roman"/>
        </w:rPr>
      </w:pPr>
      <w:r>
        <w:rPr>
          <w:rFonts w:ascii="Times New Roman" w:hAnsi="Times New Roman"/>
          <w:lang w:val="lt-LT"/>
        </w:rPr>
        <w:t>a)    Iš anksto suprojektuotus šablonus;</w:t>
      </w:r>
    </w:p>
    <w:p>
      <w:pPr>
        <w:pStyle w:val="Normal"/>
        <w:rPr>
          <w:rFonts w:ascii="Times New Roman" w:hAnsi="Times New Roman"/>
        </w:rPr>
      </w:pPr>
      <w:r>
        <w:rPr>
          <w:rFonts w:ascii="Times New Roman" w:hAnsi="Times New Roman"/>
          <w:lang w:val="lt-LT"/>
        </w:rPr>
        <w:t>b)    VTEK naudotojo formuojamus šablonus.</w:t>
      </w:r>
    </w:p>
    <w:p>
      <w:pPr>
        <w:pStyle w:val="Normal"/>
        <w:rPr>
          <w:rFonts w:ascii="Times New Roman" w:hAnsi="Times New Roman"/>
        </w:rPr>
      </w:pPr>
      <w:r>
        <w:rPr>
          <w:rFonts w:ascii="Times New Roman" w:hAnsi="Times New Roman"/>
          <w:lang w:val="lt-LT"/>
        </w:rPr>
        <w:t>Suteikti šias galimybes:</w:t>
      </w:r>
    </w:p>
    <w:p>
      <w:pPr>
        <w:pStyle w:val="Normal"/>
        <w:rPr>
          <w:rFonts w:ascii="Times New Roman" w:hAnsi="Times New Roman"/>
        </w:rPr>
      </w:pPr>
      <w:r>
        <w:rPr>
          <w:rFonts w:ascii="Times New Roman" w:hAnsi="Times New Roman"/>
          <w:lang w:val="lt-LT"/>
        </w:rPr>
        <w:t>- atitinkamas teises turinčiam VTEK naudotojui kurti bei generuoti ataskaitas ir pjūvius: tekstines ar su grafiniais elementais: pyrago tipo grafikais, stulpelinėmis diagramomis ir kitais;</w:t>
      </w:r>
    </w:p>
    <w:p>
      <w:pPr>
        <w:pStyle w:val="Normal"/>
        <w:rPr>
          <w:rFonts w:ascii="Times New Roman" w:hAnsi="Times New Roman"/>
        </w:rPr>
      </w:pPr>
      <w:r>
        <w:rPr>
          <w:rFonts w:ascii="Times New Roman" w:hAnsi="Times New Roman"/>
          <w:lang w:val="lt-LT"/>
        </w:rPr>
        <w:t xml:space="preserve">- turėti galimybę kurti ir keisti atitinkamų ataskaitų šablonus (formą) – stulpelių ir eilučių pavadinimus, pridėti ar pašalinti stulpelius/ eilutes. Kiekvienam pridėtam naujam stulpeliui turi būti galimybė nustatyti filtravimą; </w:t>
      </w:r>
    </w:p>
    <w:p>
      <w:pPr>
        <w:pStyle w:val="Normal"/>
        <w:rPr>
          <w:rFonts w:ascii="Times New Roman" w:hAnsi="Times New Roman"/>
        </w:rPr>
      </w:pPr>
      <w:r>
        <w:rPr>
          <w:rFonts w:ascii="Times New Roman" w:hAnsi="Times New Roman"/>
          <w:lang w:val="lt-LT"/>
        </w:rPr>
        <w:t>- kurti ataskaitas, skirtas spausdinimui, kurių grafinis vaizdas atitiktų su VTEK suderintas ataskaitų formas;</w:t>
      </w:r>
    </w:p>
    <w:p>
      <w:pPr>
        <w:pStyle w:val="Normal"/>
        <w:rPr>
          <w:rFonts w:ascii="Times New Roman" w:hAnsi="Times New Roman"/>
        </w:rPr>
      </w:pPr>
      <w:r>
        <w:rPr>
          <w:rFonts w:ascii="Times New Roman" w:hAnsi="Times New Roman"/>
          <w:lang w:val="lt-LT"/>
        </w:rPr>
        <w:t>- formuoti ir publikuoti įvairiais formatais: PDF, HTML, XLS, RTF ar kitais lygiaverčiais;</w:t>
      </w:r>
    </w:p>
    <w:p>
      <w:pPr>
        <w:pStyle w:val="Normal"/>
        <w:rPr>
          <w:rFonts w:ascii="Times New Roman" w:hAnsi="Times New Roman"/>
        </w:rPr>
      </w:pPr>
      <w:r>
        <w:rPr>
          <w:rFonts w:ascii="Times New Roman" w:hAnsi="Times New Roman"/>
          <w:lang w:val="lt-LT"/>
        </w:rPr>
        <w:t xml:space="preserve">- keisti ataskaitos duomenų (stulpelių) išdėstymo ataskaitoje eiliškumą; </w:t>
      </w:r>
    </w:p>
    <w:p>
      <w:pPr>
        <w:pStyle w:val="Normal"/>
        <w:rPr>
          <w:rFonts w:ascii="Times New Roman" w:hAnsi="Times New Roman"/>
        </w:rPr>
      </w:pPr>
      <w:r>
        <w:rPr>
          <w:rFonts w:ascii="Times New Roman" w:hAnsi="Times New Roman"/>
          <w:lang w:val="lt-LT"/>
        </w:rPr>
        <w:t>- atlikti duomenų filtravimą, grupavimą, automatiškai sumuoti duomenis;</w:t>
      </w:r>
    </w:p>
    <w:p>
      <w:pPr>
        <w:pStyle w:val="Normal"/>
        <w:rPr>
          <w:rFonts w:ascii="Times New Roman" w:hAnsi="Times New Roman"/>
        </w:rPr>
      </w:pPr>
      <w:r>
        <w:rPr>
          <w:rFonts w:ascii="Times New Roman" w:hAnsi="Times New Roman"/>
          <w:lang w:val="lt-LT"/>
        </w:rPr>
        <w:t>- atlikti pateiktų duomenų rūšiavimą pagal ataskaitos eilučių pavadinimus (nuo A iki Ž ir atvirkščiai);</w:t>
      </w:r>
    </w:p>
    <w:p>
      <w:pPr>
        <w:pStyle w:val="Normal"/>
        <w:rPr>
          <w:rFonts w:ascii="Times New Roman" w:hAnsi="Times New Roman"/>
        </w:rPr>
      </w:pPr>
      <w:r>
        <w:rPr>
          <w:rFonts w:ascii="Times New Roman" w:hAnsi="Times New Roman"/>
          <w:lang w:val="lt-LT"/>
        </w:rPr>
        <w:t>- atlikti pateiktų duomenų rūšiavimą pagal tam tikrą pasirinktą kriterijų (pagal tam tikro stulpelio duomenis nuo mažiausio iki didžiausio ar atvirkščiai);</w:t>
      </w:r>
    </w:p>
    <w:p>
      <w:pPr>
        <w:pStyle w:val="Normal"/>
        <w:rPr>
          <w:rFonts w:ascii="Times New Roman" w:hAnsi="Times New Roman"/>
        </w:rPr>
      </w:pPr>
      <w:r>
        <w:rPr>
          <w:rFonts w:ascii="Times New Roman" w:hAnsi="Times New Roman"/>
          <w:lang w:val="lt-LT"/>
        </w:rPr>
        <w:t>- sukurti ir kuriamai analizės ataskaitai nurodyti parametrus, pagal kuriuos bus galima taikyti filtrus.</w:t>
      </w:r>
    </w:p>
    <w:p>
      <w:pPr>
        <w:pStyle w:val="Normal"/>
        <w:rPr>
          <w:rFonts w:ascii="Times New Roman" w:hAnsi="Times New Roman"/>
          <w:b/>
          <w:bCs/>
          <w:lang w:val="lt-LT"/>
        </w:rPr>
      </w:pPr>
      <w:r>
        <w:rPr>
          <w:rFonts w:ascii="Times New Roman" w:hAnsi="Times New Roman"/>
          <w:b/>
          <w:bCs/>
          <w:lang w:val="lt-LT"/>
        </w:rPr>
      </w:r>
    </w:p>
    <w:p>
      <w:pPr>
        <w:pStyle w:val="Normal"/>
        <w:rPr>
          <w:rFonts w:ascii="Times New Roman" w:hAnsi="Times New Roman"/>
        </w:rPr>
      </w:pPr>
      <w:r>
        <w:rPr>
          <w:rFonts w:ascii="Times New Roman" w:hAnsi="Times New Roman"/>
          <w:b/>
          <w:bCs/>
          <w:lang w:val="lt-LT"/>
        </w:rPr>
        <w:t>2</w:t>
      </w:r>
      <w:r>
        <w:rPr>
          <w:rFonts w:ascii="Times New Roman" w:hAnsi="Times New Roman"/>
          <w:b/>
          <w:bCs/>
          <w:lang w:val="lt-LT"/>
        </w:rPr>
        <w:t>)</w:t>
      </w:r>
      <w:r>
        <w:rPr>
          <w:rFonts w:ascii="Times New Roman" w:hAnsi="Times New Roman"/>
          <w:b/>
          <w:bCs/>
          <w:lang w:val="lt-LT"/>
        </w:rPr>
        <w:t xml:space="preserve"> Pažymos apie tinkamumą eiti pareigas sudarymas</w:t>
      </w:r>
    </w:p>
    <w:p>
      <w:pPr>
        <w:pStyle w:val="Normal"/>
        <w:rPr>
          <w:rFonts w:ascii="Times New Roman" w:hAnsi="Times New Roman"/>
        </w:rPr>
      </w:pPr>
      <w:r>
        <w:rPr>
          <w:rFonts w:ascii="Times New Roman" w:hAnsi="Times New Roman"/>
          <w:lang w:val="lt-LT"/>
        </w:rPr>
        <w:t>Suteikti galimybę VTEK išoriniam naudotojui, turinčiam jam priskirtą teisę, formuoti pažymas apie tinkamumą eiti pareigas.</w:t>
      </w:r>
    </w:p>
    <w:p>
      <w:pPr>
        <w:pStyle w:val="Normal"/>
        <w:rPr>
          <w:rFonts w:ascii="Times New Roman" w:hAnsi="Times New Roman"/>
        </w:rPr>
      </w:pPr>
      <w:r>
        <w:rPr>
          <w:rFonts w:ascii="Times New Roman" w:hAnsi="Times New Roman"/>
          <w:lang w:val="lt-LT"/>
        </w:rPr>
        <w:t>Atlikti pakeitimus, susijusius su VTEK turima funkcija "Pažymos apie tinkamumą eiti pareigas sudarymas", kad VTEK vidinis naudotojas šiai funkcijai naudoti galėtų suteikti teisę pasirinktam konkrečiam išoriniam naudotojui.</w:t>
      </w:r>
    </w:p>
    <w:p>
      <w:pPr>
        <w:pStyle w:val="Normal"/>
        <w:rPr>
          <w:rFonts w:ascii="Times New Roman" w:hAnsi="Times New Roman"/>
        </w:rPr>
      </w:pPr>
      <w:r>
        <w:rPr>
          <w:rFonts w:ascii="Times New Roman" w:hAnsi="Times New Roman"/>
          <w:lang w:val="lt-LT"/>
        </w:rPr>
        <w:t>Atlikti funkcijos pakeitimus, kad sąraše būtų atvaizduojama informacija pagal sistemoje registruojamus objektus: tyrimus (įskaitant viešuosius VTEK sprendimus) ir "Institucijų ir įstaigų sprendimai" informaciją.</w:t>
      </w:r>
    </w:p>
    <w:p>
      <w:pPr>
        <w:pStyle w:val="Normal"/>
        <w:rPr>
          <w:rFonts w:ascii="Times New Roman" w:hAnsi="Times New Roman"/>
        </w:rPr>
      </w:pPr>
      <w:r>
        <w:rPr>
          <w:rFonts w:ascii="Times New Roman" w:hAnsi="Times New Roman"/>
          <w:b/>
          <w:bCs/>
          <w:lang w:val="lt-LT"/>
        </w:rPr>
        <w:t>3</w:t>
      </w:r>
      <w:r>
        <w:rPr>
          <w:rFonts w:ascii="Times New Roman" w:hAnsi="Times New Roman"/>
          <w:b/>
          <w:bCs/>
          <w:lang w:val="lt-LT"/>
        </w:rPr>
        <w:t>)</w:t>
      </w:r>
      <w:r>
        <w:rPr>
          <w:rFonts w:ascii="Times New Roman" w:hAnsi="Times New Roman"/>
          <w:b/>
          <w:bCs/>
          <w:lang w:val="lt-LT"/>
        </w:rPr>
        <w:t xml:space="preserve"> Asmenų grupės kūrimas</w:t>
      </w:r>
    </w:p>
    <w:p>
      <w:pPr>
        <w:pStyle w:val="Normal"/>
        <w:rPr>
          <w:rFonts w:ascii="Times New Roman" w:hAnsi="Times New Roman"/>
          <w:lang w:val="lt-LT"/>
        </w:rPr>
      </w:pPr>
      <w:r>
        <w:rPr>
          <w:rFonts w:ascii="Times New Roman" w:hAnsi="Times New Roman"/>
          <w:lang w:val="lt-LT"/>
        </w:rPr>
      </w:r>
    </w:p>
    <w:p>
      <w:pPr>
        <w:pStyle w:val="Normal"/>
        <w:rPr>
          <w:rFonts w:ascii="Times New Roman" w:hAnsi="Times New Roman"/>
        </w:rPr>
      </w:pPr>
      <w:r>
        <w:rPr>
          <w:rFonts w:ascii="Times New Roman" w:hAnsi="Times New Roman"/>
          <w:lang w:val="lt-LT"/>
        </w:rPr>
        <w:t>Suteikti galimybę kurti asmenų grupes, filtruojant asmenis ne tik pagal deklaruojančiojo asmens duomenis, bet ir kitą (nedeklaruojančio) statusą turinčio asmens: pvz. deklaruojančiojo sutuoktinio arba artimo asmens duomenis.</w:t>
      </w:r>
    </w:p>
    <w:p>
      <w:pPr>
        <w:pStyle w:val="Normal"/>
        <w:rPr>
          <w:rFonts w:ascii="Times New Roman" w:hAnsi="Times New Roman"/>
        </w:rPr>
      </w:pPr>
      <w:r>
        <w:rPr>
          <w:rFonts w:ascii="Times New Roman" w:hAnsi="Times New Roman"/>
          <w:b/>
          <w:bCs/>
          <w:lang w:val="lt-LT"/>
        </w:rPr>
        <w:t>4</w:t>
      </w:r>
      <w:r>
        <w:rPr>
          <w:rFonts w:ascii="Times New Roman" w:hAnsi="Times New Roman"/>
          <w:b/>
          <w:bCs/>
          <w:lang w:val="lt-LT"/>
        </w:rPr>
        <w:t>)</w:t>
      </w:r>
      <w:r>
        <w:rPr>
          <w:rFonts w:ascii="Times New Roman" w:hAnsi="Times New Roman"/>
          <w:b/>
          <w:bCs/>
          <w:lang w:val="lt-LT"/>
        </w:rPr>
        <w:t xml:space="preserve"> Mokymų priskyrimai</w:t>
      </w:r>
    </w:p>
    <w:p>
      <w:pPr>
        <w:pStyle w:val="Normal"/>
        <w:rPr>
          <w:rFonts w:ascii="Times New Roman" w:hAnsi="Times New Roman"/>
        </w:rPr>
      </w:pPr>
      <w:r>
        <w:rPr>
          <w:rFonts w:ascii="Times New Roman" w:hAnsi="Times New Roman"/>
          <w:lang w:val="lt-LT"/>
        </w:rPr>
        <w:t>Atliekant mokymų priskyrimus, turi būti sudaryta galimybė šalinti asmenis ir matyti pridedamų asmenų sąrašą, kuriant priskyrimą.</w:t>
      </w:r>
    </w:p>
    <w:p>
      <w:pPr>
        <w:pStyle w:val="Normal"/>
        <w:rPr>
          <w:rFonts w:ascii="Times New Roman" w:hAnsi="Times New Roman"/>
        </w:rPr>
      </w:pPr>
      <w:r>
        <w:rPr>
          <w:rFonts w:ascii="Times New Roman" w:hAnsi="Times New Roman"/>
          <w:b/>
          <w:bCs/>
          <w:lang w:val="lt-LT"/>
        </w:rPr>
        <w:t>5</w:t>
      </w:r>
      <w:r>
        <w:rPr>
          <w:rFonts w:ascii="Times New Roman" w:hAnsi="Times New Roman"/>
          <w:b/>
          <w:bCs/>
          <w:lang w:val="lt-LT"/>
        </w:rPr>
        <w:t>)</w:t>
      </w:r>
      <w:r>
        <w:rPr>
          <w:rFonts w:ascii="Times New Roman" w:hAnsi="Times New Roman"/>
          <w:b/>
          <w:bCs/>
          <w:lang w:val="lt-LT"/>
        </w:rPr>
        <w:t xml:space="preserve"> Asmenų stebėjimo funkcijos</w:t>
      </w:r>
    </w:p>
    <w:p>
      <w:pPr>
        <w:pStyle w:val="Normal"/>
        <w:rPr>
          <w:rFonts w:ascii="Times New Roman" w:hAnsi="Times New Roman"/>
        </w:rPr>
      </w:pPr>
      <w:r>
        <w:rPr>
          <w:rFonts w:ascii="Times New Roman" w:hAnsi="Times New Roman"/>
          <w:lang w:val="lt-LT"/>
        </w:rPr>
        <w:t>Pasirinktų asmenų stebėjimas: informavimas apie darbovietės pasikeitimą, pagal gaunamus darboviečių duomenis iš SODRA.</w:t>
      </w:r>
    </w:p>
    <w:p>
      <w:pPr>
        <w:pStyle w:val="Normal"/>
        <w:rPr>
          <w:rFonts w:ascii="Times New Roman" w:hAnsi="Times New Roman"/>
        </w:rPr>
      </w:pPr>
      <w:r>
        <w:rPr>
          <w:rFonts w:ascii="Times New Roman" w:hAnsi="Times New Roman"/>
          <w:lang w:val="lt-LT"/>
        </w:rPr>
        <w:t>Sukurti funkciją, kuri periodiškai kreiptųsi į SODRA ir lygintų su PINREG esančiais pasirinkto/-ų asmens/-ų duomenimis. Esant pasikeitimams informuotų VTEK naudotojus, užsakiusius pasirinkto asmens darbovietės pokyčių prenumeratą.</w:t>
      </w:r>
    </w:p>
    <w:p>
      <w:pPr>
        <w:pStyle w:val="Normal"/>
        <w:rPr>
          <w:rFonts w:ascii="Times New Roman" w:hAnsi="Times New Roman"/>
        </w:rPr>
      </w:pPr>
      <w:r>
        <w:rPr>
          <w:rFonts w:ascii="Times New Roman" w:hAnsi="Times New Roman"/>
          <w:b/>
          <w:bCs/>
          <w:lang w:val="lt-LT"/>
        </w:rPr>
        <w:t>6</w:t>
      </w:r>
      <w:r>
        <w:rPr>
          <w:rFonts w:ascii="Times New Roman" w:hAnsi="Times New Roman"/>
          <w:b/>
          <w:bCs/>
          <w:lang w:val="lt-LT"/>
        </w:rPr>
        <w:t>)</w:t>
      </w:r>
      <w:r>
        <w:rPr>
          <w:rFonts w:ascii="Times New Roman" w:hAnsi="Times New Roman"/>
          <w:b/>
          <w:bCs/>
          <w:lang w:val="lt-LT"/>
        </w:rPr>
        <w:t xml:space="preserve"> Kursai ir testai</w:t>
      </w:r>
    </w:p>
    <w:p>
      <w:pPr>
        <w:pStyle w:val="Normal"/>
        <w:rPr>
          <w:rFonts w:ascii="Times New Roman" w:hAnsi="Times New Roman"/>
        </w:rPr>
      </w:pPr>
      <w:r>
        <w:rPr>
          <w:rFonts w:ascii="Times New Roman" w:hAnsi="Times New Roman"/>
          <w:lang w:val="lt-LT"/>
        </w:rPr>
        <w:t>Sudaryti galimybę vidiniams bei išoriniams naudotojams atsisiųsti mokymų medžiagą .pdf formatu.</w:t>
      </w:r>
    </w:p>
    <w:p>
      <w:pPr>
        <w:pStyle w:val="Normal"/>
        <w:rPr>
          <w:rFonts w:ascii="Times New Roman" w:hAnsi="Times New Roman"/>
        </w:rPr>
      </w:pPr>
      <w:r>
        <w:rPr>
          <w:rFonts w:ascii="Times New Roman" w:hAnsi="Times New Roman"/>
          <w:lang w:val="lt-LT"/>
        </w:rPr>
        <w:t>Papildyti kurso/testo sukūrimo/redagavimo formas nauju atributu, skirtu preliminiariam kurso/testo valandų skaičiui įvesti.</w:t>
      </w:r>
    </w:p>
    <w:p>
      <w:pPr>
        <w:pStyle w:val="Normal"/>
        <w:rPr>
          <w:rFonts w:ascii="Times New Roman" w:hAnsi="Times New Roman"/>
        </w:rPr>
      </w:pPr>
      <w:r>
        <w:rPr>
          <w:rFonts w:ascii="Times New Roman" w:hAnsi="Times New Roman"/>
          <w:lang w:val="lt-LT"/>
        </w:rPr>
        <w:t>Sukurti funkciją, skirtą sekti naudotojo praleistą laiką kursams ir testams bei skaičiuoti praleisto laiko vidurkį pagal pasirinktą kursą ir asmenis atlikusius mokymus/testus.</w:t>
      </w:r>
    </w:p>
    <w:p>
      <w:pPr>
        <w:pStyle w:val="Normal"/>
        <w:rPr>
          <w:rFonts w:ascii="Times New Roman" w:hAnsi="Times New Roman"/>
        </w:rPr>
      </w:pPr>
      <w:r>
        <w:rPr>
          <w:rFonts w:ascii="Times New Roman" w:hAnsi="Times New Roman"/>
          <w:b/>
          <w:bCs/>
          <w:lang w:val="lt-LT"/>
        </w:rPr>
        <w:t>7</w:t>
      </w:r>
      <w:r>
        <w:rPr>
          <w:rFonts w:ascii="Times New Roman" w:hAnsi="Times New Roman"/>
          <w:b/>
          <w:bCs/>
          <w:lang w:val="lt-LT"/>
        </w:rPr>
        <w:t>)</w:t>
      </w:r>
      <w:r>
        <w:rPr>
          <w:rFonts w:ascii="Times New Roman" w:hAnsi="Times New Roman"/>
          <w:b/>
          <w:bCs/>
          <w:lang w:val="lt-LT"/>
        </w:rPr>
        <w:t xml:space="preserve"> Tyrimai ir sprendimai</w:t>
      </w:r>
    </w:p>
    <w:p>
      <w:pPr>
        <w:pStyle w:val="Normal"/>
        <w:rPr>
          <w:rFonts w:ascii="Times New Roman" w:hAnsi="Times New Roman"/>
        </w:rPr>
      </w:pPr>
      <w:r>
        <w:rPr>
          <w:rFonts w:ascii="Times New Roman" w:hAnsi="Times New Roman"/>
          <w:lang w:val="lt-LT"/>
        </w:rPr>
        <w:t>Modernizuoti viešo VTEK sprendimo informacijos įvedimo formą, kad viešo VTEK sprendimo informacija būtų įvedama prie tyrimo įvedimo/redagavimo vedlio žingsnio, o ne atskirai. Papildyti tyrimų sąrašo filtrą ir peržiūros formas papildomais viešojo VTEK sprendimo atributais.</w:t>
      </w:r>
    </w:p>
    <w:p>
      <w:pPr>
        <w:pStyle w:val="Normal"/>
        <w:rPr>
          <w:rFonts w:ascii="Times New Roman" w:hAnsi="Times New Roman"/>
        </w:rPr>
      </w:pPr>
      <w:r>
        <w:rPr>
          <w:rFonts w:ascii="Times New Roman" w:hAnsi="Times New Roman"/>
          <w:lang w:val="lt-LT"/>
        </w:rPr>
        <w:t>Esamą informavimo apie nuasmeninimo terminą funkciją pataisyti taip, kad apie tai būtų informuojamas už tyrimą atsakingas VTEK darbuotojas.</w:t>
      </w:r>
    </w:p>
    <w:p>
      <w:pPr>
        <w:pStyle w:val="Normal"/>
        <w:rPr>
          <w:rFonts w:ascii="Times New Roman" w:hAnsi="Times New Roman"/>
        </w:rPr>
      </w:pPr>
      <w:r>
        <w:rPr>
          <w:rFonts w:ascii="Times New Roman" w:hAnsi="Times New Roman"/>
          <w:lang w:val="lt-LT"/>
        </w:rPr>
        <w:t xml:space="preserve">Atlikti išoriniams naudotojams skirto viešų VEK sprendimų sąrašo atvaizdavimo pakeitimus: </w:t>
      </w:r>
    </w:p>
    <w:p>
      <w:pPr>
        <w:pStyle w:val="Normal"/>
        <w:rPr>
          <w:rFonts w:ascii="Times New Roman" w:hAnsi="Times New Roman"/>
        </w:rPr>
      </w:pPr>
      <w:r>
        <w:rPr>
          <w:rFonts w:ascii="Times New Roman" w:hAnsi="Times New Roman"/>
          <w:lang w:val="lt-LT"/>
        </w:rPr>
        <w:t>1. Sąraše duomenis atvaizduoti pagal tyrimų bendruosius duomenis ir tyrimų dalies "VTEK sprendimo vieša informacija" duomenis;</w:t>
      </w:r>
    </w:p>
    <w:p>
      <w:pPr>
        <w:pStyle w:val="Normal"/>
        <w:rPr>
          <w:rFonts w:ascii="Times New Roman" w:hAnsi="Times New Roman"/>
        </w:rPr>
      </w:pPr>
      <w:r>
        <w:rPr>
          <w:rFonts w:ascii="Times New Roman" w:hAnsi="Times New Roman"/>
          <w:lang w:val="lt-LT"/>
        </w:rPr>
        <w:t>2. Išorinio naudotojo srityje Vertinamojo asmens vardas ir pavardė turi būti rodomi tik tuomet, kol nėra suėjęs nuasmeninimo terminas.</w:t>
      </w:r>
    </w:p>
    <w:p>
      <w:pPr>
        <w:pStyle w:val="Normal"/>
        <w:rPr>
          <w:rFonts w:ascii="Times New Roman" w:hAnsi="Times New Roman"/>
        </w:rPr>
      </w:pPr>
      <w:r>
        <w:rPr>
          <w:rFonts w:ascii="Times New Roman" w:hAnsi="Times New Roman"/>
        </w:rPr>
      </w:r>
    </w:p>
    <w:p>
      <w:pPr>
        <w:pStyle w:val="Normal"/>
        <w:rPr>
          <w:rFonts w:ascii="Times New Roman" w:hAnsi="Times New Roman"/>
        </w:rPr>
      </w:pPr>
      <w:r>
        <w:rPr>
          <w:rFonts w:ascii="Times New Roman" w:hAnsi="Times New Roman"/>
          <w:b/>
          <w:bCs/>
          <w:lang w:val="lt-LT"/>
        </w:rPr>
        <w:t>8)</w:t>
      </w:r>
      <w:r>
        <w:rPr>
          <w:rFonts w:ascii="Times New Roman" w:hAnsi="Times New Roman"/>
          <w:b/>
          <w:bCs/>
          <w:lang w:val="lt-LT"/>
        </w:rPr>
        <w:t xml:space="preserve"> Integracijų modulio realizacija</w:t>
      </w:r>
    </w:p>
    <w:p>
      <w:pPr>
        <w:pStyle w:val="Normal"/>
        <w:rPr>
          <w:rFonts w:ascii="Times New Roman" w:hAnsi="Times New Roman"/>
        </w:rPr>
      </w:pPr>
      <w:r>
        <w:rPr>
          <w:rFonts w:ascii="Times New Roman" w:hAnsi="Times New Roman"/>
          <w:lang w:val="lt-LT"/>
        </w:rPr>
        <w:t>Realizuoti atskirą integracijų aplikaciją, atskiriant integracines funkcijas nuo bendrosios PINREG aplikacijos.</w:t>
      </w:r>
    </w:p>
    <w:p>
      <w:pPr>
        <w:pStyle w:val="Normal"/>
        <w:rPr>
          <w:rFonts w:ascii="Times New Roman" w:hAnsi="Times New Roman"/>
        </w:rPr>
      </w:pPr>
      <w:r>
        <w:rPr>
          <w:rFonts w:ascii="Times New Roman" w:hAnsi="Times New Roman"/>
          <w:b/>
          <w:bCs/>
          <w:lang w:val="lt-LT"/>
        </w:rPr>
        <w:t>9)</w:t>
      </w:r>
      <w:r>
        <w:rPr>
          <w:rFonts w:ascii="Times New Roman" w:hAnsi="Times New Roman"/>
          <w:b/>
          <w:bCs/>
          <w:lang w:val="en-US"/>
        </w:rPr>
        <w:t xml:space="preserve">. </w:t>
      </w:r>
      <w:r>
        <w:rPr>
          <w:rFonts w:ascii="Times New Roman" w:hAnsi="Times New Roman"/>
          <w:b/>
          <w:bCs/>
        </w:rPr>
        <w:t>Diegiant naujus funkcionalum</w:t>
      </w:r>
      <w:r>
        <w:rPr>
          <w:rFonts w:ascii="Times New Roman" w:hAnsi="Times New Roman"/>
          <w:b/>
          <w:bCs/>
          <w:lang w:val="lt-LT"/>
        </w:rPr>
        <w:t xml:space="preserve">ų modulius, reikalingas jų įvertinimas kibernetinio saugumo aspektu. </w:t>
      </w:r>
    </w:p>
    <w:p>
      <w:pPr>
        <w:pStyle w:val="ListParagraph"/>
        <w:spacing w:before="0" w:after="0"/>
        <w:jc w:val="both"/>
        <w:rPr>
          <w:rFonts w:ascii="Times New Roman" w:hAnsi="Times New Roman"/>
        </w:rPr>
      </w:pPr>
      <w:r>
        <w:rPr>
          <w:rFonts w:ascii="Times New Roman" w:hAnsi="Times New Roman"/>
        </w:rPr>
      </w:r>
    </w:p>
    <w:p>
      <w:pPr>
        <w:pStyle w:val="ListParagraph"/>
        <w:spacing w:before="0" w:after="0"/>
        <w:jc w:val="both"/>
        <w:rPr>
          <w:rFonts w:ascii="Times New Roman" w:hAnsi="Times New Roman"/>
        </w:rPr>
      </w:pPr>
      <w:r>
        <w:rPr>
          <w:rFonts w:ascii="Times New Roman" w:hAnsi="Times New Roman"/>
        </w:rPr>
      </w:r>
    </w:p>
    <w:p>
      <w:pPr>
        <w:pStyle w:val="ListParagraph"/>
        <w:numPr>
          <w:ilvl w:val="0"/>
          <w:numId w:val="2"/>
        </w:numPr>
        <w:spacing w:before="0" w:after="0"/>
        <w:jc w:val="both"/>
        <w:rPr>
          <w:rFonts w:ascii="Times New Roman" w:hAnsi="Times New Roman"/>
        </w:rPr>
      </w:pPr>
      <w:r>
        <w:rPr>
          <w:rFonts w:ascii="Times New Roman" w:hAnsi="Times New Roman"/>
          <w:sz w:val="22"/>
        </w:rPr>
        <w:t>Perkančioji organizacija turi teisę ir galimybę (bet neįsipareigoja) užsakyti pagal poreikį ne daugiau kaip 3</w:t>
      </w:r>
      <w:r>
        <w:rPr>
          <w:rFonts w:ascii="Times New Roman" w:hAnsi="Times New Roman"/>
          <w:sz w:val="22"/>
        </w:rPr>
        <w:t>2</w:t>
      </w:r>
      <w:r>
        <w:rPr>
          <w:rFonts w:ascii="Times New Roman" w:hAnsi="Times New Roman"/>
          <w:sz w:val="22"/>
        </w:rPr>
        <w:t xml:space="preserve">00 papildomų darbo valandų funkcionalumų vystymo paslaugoms </w:t>
      </w:r>
      <w:r>
        <w:rPr>
          <w:rFonts w:ascii="Times New Roman" w:hAnsi="Times New Roman"/>
          <w:sz w:val="22"/>
        </w:rPr>
        <w:t>(neapimančioms paslaugų nurodytų Techninės specifikacijos 14 punkte)</w:t>
      </w:r>
      <w:r>
        <w:rPr>
          <w:rFonts w:ascii="Times New Roman" w:hAnsi="Times New Roman"/>
          <w:sz w:val="22"/>
        </w:rPr>
        <w:t xml:space="preserve"> įsigyti. </w:t>
      </w:r>
    </w:p>
    <w:p>
      <w:pPr>
        <w:pStyle w:val="ListParagraph"/>
        <w:numPr>
          <w:ilvl w:val="0"/>
          <w:numId w:val="2"/>
        </w:numPr>
        <w:spacing w:before="0" w:after="0"/>
        <w:jc w:val="both"/>
        <w:rPr>
          <w:rFonts w:ascii="Times New Roman" w:hAnsi="Times New Roman"/>
        </w:rPr>
      </w:pPr>
      <w:r>
        <w:rPr>
          <w:rFonts w:ascii="Times New Roman" w:hAnsi="Times New Roman"/>
          <w:sz w:val="22"/>
        </w:rPr>
        <w:t>Papildomų funkcionalumų, programinės įrangos modifikacijos ar naujų funkcionalumų sukūrimas vykdomas pagal Perkančiosios organizacijos pateiktus užsakymus. Kiekvienu atskiru atveju prieš pradedant darbus, Diegėjas turi pristatyti (detalizuoti) ir su Perkančiąja organizacija suderinti planuojamų atlikti papildomų modifikavimų ar sukūrimo darbų realizavimo aprašymą, laiko sąnaudas, pateikti laiko sąnaudų pagrindimą bei įgyvendinimo terminą.</w:t>
      </w:r>
    </w:p>
    <w:p>
      <w:pPr>
        <w:pStyle w:val="Heading1"/>
        <w:rPr>
          <w:rFonts w:ascii="Times New Roman" w:hAnsi="Times New Roman"/>
        </w:rPr>
      </w:pPr>
      <w:r>
        <w:rPr>
          <w:rFonts w:ascii="Times New Roman" w:hAnsi="Times New Roman"/>
          <w:sz w:val="22"/>
          <w:szCs w:val="22"/>
        </w:rPr>
        <w:t>Reikalavimai funkcionalumų vystymui</w:t>
      </w:r>
      <w:bookmarkStart w:id="35" w:name="_Toc151027908"/>
      <w:bookmarkStart w:id="36" w:name="_Ref69126329"/>
      <w:bookmarkStart w:id="37" w:name="_Ref66651684"/>
      <w:bookmarkStart w:id="38" w:name="_Ref66281690"/>
      <w:bookmarkStart w:id="39" w:name="_Ref8144409"/>
      <w:bookmarkStart w:id="40" w:name="_Toc8118844"/>
      <w:bookmarkEnd w:id="35"/>
      <w:bookmarkEnd w:id="36"/>
      <w:bookmarkEnd w:id="37"/>
      <w:bookmarkEnd w:id="38"/>
      <w:bookmarkEnd w:id="39"/>
      <w:bookmarkEnd w:id="40"/>
    </w:p>
    <w:p>
      <w:pPr>
        <w:pStyle w:val="Heading2"/>
        <w:ind w:hanging="792" w:left="716"/>
        <w:rPr>
          <w:rFonts w:ascii="Times New Roman" w:hAnsi="Times New Roman"/>
        </w:rPr>
      </w:pPr>
      <w:bookmarkStart w:id="41" w:name="_Toc151027909"/>
      <w:bookmarkStart w:id="42" w:name="_Toc8118845"/>
      <w:r>
        <w:rPr>
          <w:rFonts w:ascii="Times New Roman" w:hAnsi="Times New Roman"/>
          <w:sz w:val="22"/>
          <w:szCs w:val="22"/>
        </w:rPr>
        <w:t>Reikalavimai reikalavimų įgyvendinimui</w:t>
      </w:r>
      <w:bookmarkEnd w:id="41"/>
      <w:bookmarkEnd w:id="42"/>
    </w:p>
    <w:p>
      <w:pPr>
        <w:pStyle w:val="ListParagraph"/>
        <w:numPr>
          <w:ilvl w:val="0"/>
          <w:numId w:val="2"/>
        </w:numPr>
        <w:spacing w:before="0" w:after="0"/>
        <w:jc w:val="both"/>
        <w:rPr>
          <w:rFonts w:ascii="Times New Roman" w:hAnsi="Times New Roman"/>
        </w:rPr>
      </w:pPr>
      <w:r>
        <w:rPr>
          <w:rFonts w:ascii="Times New Roman" w:hAnsi="Times New Roman"/>
          <w:sz w:val="22"/>
        </w:rPr>
        <w:t>Diegėjas privalo realizuoti visus šios Techninės specifikacijos reikalavimus.</w:t>
      </w:r>
    </w:p>
    <w:p>
      <w:pPr>
        <w:pStyle w:val="ListParagraph"/>
        <w:numPr>
          <w:ilvl w:val="0"/>
          <w:numId w:val="2"/>
        </w:numPr>
        <w:spacing w:before="0" w:after="0"/>
        <w:jc w:val="both"/>
        <w:rPr>
          <w:rFonts w:ascii="Times New Roman" w:hAnsi="Times New Roman"/>
        </w:rPr>
      </w:pPr>
      <w:r>
        <w:rPr>
          <w:rFonts w:ascii="Times New Roman" w:hAnsi="Times New Roman"/>
          <w:sz w:val="22"/>
        </w:rPr>
        <w:t>Šiame dokumente vartojami terminai „turi būti / turėti / veikti / užtikrinti / leisti / atitikti“, „turi turėti galimybę“, „turi būti galima“ yra lygiaverčiai ir reiškia, kad Diegėjas privalo sukurti ir įdiegti (ar pateikti ir įdiegti) atitinkamą funkcionalumą ir suteikti atitinkamas paslaugas. Funkcionalumas, kuris yra nurodytas būsimuoju laiku („bus“, „leis“, „apims“) nurodo siekiamą įgyvendinti būseną ir reiškia, kad Diegėjas privalo sukurti ir įdiegti (ar pateikti ir įdiegti) atitinkamą funkcionalumą.</w:t>
      </w:r>
    </w:p>
    <w:p>
      <w:pPr>
        <w:pStyle w:val="ListParagraph"/>
        <w:numPr>
          <w:ilvl w:val="0"/>
          <w:numId w:val="2"/>
        </w:numPr>
        <w:spacing w:before="0" w:after="0"/>
        <w:jc w:val="both"/>
        <w:rPr>
          <w:rFonts w:ascii="Times New Roman" w:hAnsi="Times New Roman"/>
        </w:rPr>
      </w:pPr>
      <w:r>
        <w:rPr>
          <w:rFonts w:ascii="Times New Roman" w:hAnsi="Times New Roman"/>
          <w:sz w:val="22"/>
        </w:rPr>
        <w:t>Diegėjas ar VTEK gali siūlyti alternatyvų atskiro Techninės specifikacijos reikalavimo įgyvendinimo būdą arba reikalavimo įgyvendinimo iškeitimą į lygiavertį funkcionalumą, kuris niekaip neigiamai neturėtų įtakos projekto tikslo, uždavinių ir galutinių rezultatų įgyvendinimui bei neprieštarautų pirkimus reglamentuojančių teisės aktų reikalavimams. Kiekvienas siūlomas alternatyvus ar reikalavimą keičiantis funkcionalumas turi būti suderinamas su VTEK bei tvirtinimas Reikalavimo pakeitimo, tikslinimo protokolu. Reikalavimo keitimo į lygiavertį funkcionalumą atveju, Diegėjas turės pateikti raštišką pagrindimą, apimantį pakeitimo poveikio ir kritiškumo aprašymą, pagrindžiant, kad pakeitimas neįtakoja viso PINREG funkcionalumo.</w:t>
      </w:r>
    </w:p>
    <w:p>
      <w:pPr>
        <w:sectPr>
          <w:headerReference w:type="default" r:id="rId3"/>
          <w:footerReference w:type="default" r:id="rId4"/>
          <w:type w:val="nextPage"/>
          <w:pgSz w:w="12240" w:h="15840"/>
          <w:pgMar w:left="1701" w:right="567" w:gutter="0" w:header="0" w:top="1134" w:footer="283" w:bottom="1134"/>
          <w:pgNumType w:fmt="decimal"/>
          <w:formProt w:val="false"/>
          <w:textDirection w:val="lrTb"/>
          <w:docGrid w:type="default" w:linePitch="360" w:charSpace="12288"/>
        </w:sectPr>
        <w:pStyle w:val="ListParagraph"/>
        <w:numPr>
          <w:ilvl w:val="0"/>
          <w:numId w:val="2"/>
        </w:numPr>
        <w:spacing w:before="0" w:after="0"/>
        <w:jc w:val="both"/>
        <w:rPr>
          <w:rFonts w:ascii="Times New Roman" w:hAnsi="Times New Roman"/>
        </w:rPr>
      </w:pPr>
      <w:r>
        <w:rPr>
          <w:rFonts w:ascii="Times New Roman" w:hAnsi="Times New Roman"/>
          <w:sz w:val="22"/>
        </w:rPr>
        <w:t>Diegėjas gali siūlyti alternatyvius architektūros realizavimo būdus, kurie užtikrintų lygiavertę ar geresnę modernizuotos PINREG greitaveiką, aukštą prieinamumą, plečiamumą, interoperabilumą, palaikymą, saugumą ir patogumą. Kiekvienas siūlymas turi būti įvertintas ir patvirtintas VTEK.</w:t>
      </w:r>
    </w:p>
    <w:p>
      <w:pPr>
        <w:pStyle w:val="Heading2"/>
        <w:ind w:hanging="792" w:left="716"/>
        <w:rPr>
          <w:rFonts w:ascii="Times New Roman" w:hAnsi="Times New Roman"/>
        </w:rPr>
      </w:pPr>
      <w:bookmarkStart w:id="43" w:name="_Toc151027910"/>
      <w:bookmarkStart w:id="44" w:name="_Toc8118846"/>
      <w:r>
        <w:rPr>
          <w:rFonts w:ascii="Times New Roman" w:hAnsi="Times New Roman"/>
          <w:sz w:val="22"/>
          <w:szCs w:val="22"/>
        </w:rPr>
        <w:t>Reikalavimai saugumui</w:t>
      </w:r>
      <w:bookmarkEnd w:id="43"/>
      <w:bookmarkEnd w:id="44"/>
    </w:p>
    <w:p>
      <w:pPr>
        <w:pStyle w:val="ListParagraph"/>
        <w:numPr>
          <w:ilvl w:val="0"/>
          <w:numId w:val="2"/>
        </w:numPr>
        <w:spacing w:before="0" w:after="0"/>
        <w:jc w:val="both"/>
        <w:rPr>
          <w:rFonts w:ascii="Times New Roman" w:hAnsi="Times New Roman"/>
        </w:rPr>
      </w:pPr>
      <w:r>
        <w:rPr>
          <w:rFonts w:ascii="Times New Roman" w:hAnsi="Times New Roman"/>
          <w:sz w:val="22"/>
        </w:rPr>
        <w:t>Modernizuojama PINREG dalis turi būti projektuojama ir kuriama atsižvelgiant į PINREG teisės aktų keliamus saugumo reikalavimus.</w:t>
      </w:r>
    </w:p>
    <w:p>
      <w:pPr>
        <w:pStyle w:val="ListParagraph"/>
        <w:numPr>
          <w:ilvl w:val="0"/>
          <w:numId w:val="2"/>
        </w:numPr>
        <w:spacing w:before="0" w:after="0"/>
        <w:jc w:val="both"/>
        <w:rPr>
          <w:rFonts w:ascii="Times New Roman" w:hAnsi="Times New Roman"/>
        </w:rPr>
      </w:pPr>
      <w:r>
        <w:rPr>
          <w:rFonts w:ascii="Times New Roman" w:hAnsi="Times New Roman"/>
          <w:sz w:val="22"/>
        </w:rPr>
        <w:t>Modernizuotas PINREG turi būti apsaugotas nuo pažeidžiamumų, skelbiamų projekte „OWASP Top Ten Project“, kuriame periodiškai išanalizuojama ir paskelbiama dešimt kritiškiausių pažeidžiamumų, aptinkamų internetinių technologijų pagrindu sukurtose aplikacijose. Diegėjas, prieš prasidedant bandomajai eksploatacijai turės pateikti deklaraciją, kurioje turi būti nurodyta, jog aplikacija buvo patikrinta dėl „OWASP Top Ten Project“ projekte skelbiamų kritiškiausių pažeidžiamumų.</w:t>
      </w:r>
    </w:p>
    <w:p>
      <w:pPr>
        <w:pStyle w:val="ListParagraph"/>
        <w:numPr>
          <w:ilvl w:val="0"/>
          <w:numId w:val="2"/>
        </w:numPr>
        <w:spacing w:before="0" w:after="0"/>
        <w:jc w:val="both"/>
        <w:rPr>
          <w:rFonts w:ascii="Times New Roman" w:hAnsi="Times New Roman"/>
        </w:rPr>
      </w:pPr>
      <w:r>
        <w:rPr>
          <w:rFonts w:ascii="Times New Roman" w:hAnsi="Times New Roman"/>
          <w:sz w:val="22"/>
        </w:rPr>
        <w:t>PINREG auditavimo mechanizmas modernizavimo metu turi būti patobulintas taip, kad audito įrašų žurnaluose būtų saugoma su naujų funkcijų atsiradimu aktuali informacija.</w:t>
      </w:r>
    </w:p>
    <w:p>
      <w:pPr>
        <w:pStyle w:val="ListParagraph"/>
        <w:numPr>
          <w:ilvl w:val="0"/>
          <w:numId w:val="2"/>
        </w:numPr>
        <w:spacing w:before="0" w:after="0"/>
        <w:jc w:val="both"/>
        <w:rPr>
          <w:rFonts w:ascii="Times New Roman" w:hAnsi="Times New Roman"/>
        </w:rPr>
      </w:pPr>
      <w:r>
        <w:rPr>
          <w:rFonts w:ascii="Times New Roman" w:hAnsi="Times New Roman"/>
          <w:sz w:val="22"/>
        </w:rPr>
        <w:t>Siekiant išvengti perteklinės auditavimo informacijos kaupimo tikslūs audito įrašų darymo momentai turi būti suderinti su Perkančiąja organizacija analizės ir projektavimo etapų metu.</w:t>
      </w:r>
    </w:p>
    <w:p>
      <w:pPr>
        <w:pStyle w:val="Heading2"/>
        <w:ind w:hanging="792" w:left="716"/>
        <w:rPr>
          <w:rFonts w:ascii="Times New Roman" w:hAnsi="Times New Roman"/>
        </w:rPr>
      </w:pPr>
      <w:bookmarkStart w:id="45" w:name="_Toc151027911"/>
      <w:bookmarkStart w:id="46" w:name="_Toc8118847"/>
      <w:bookmarkStart w:id="47" w:name="_Toc70458312"/>
      <w:bookmarkEnd w:id="47"/>
      <w:r>
        <w:rPr>
          <w:rFonts w:ascii="Times New Roman" w:hAnsi="Times New Roman"/>
          <w:sz w:val="22"/>
          <w:szCs w:val="22"/>
        </w:rPr>
        <w:t>Reikalavimai architektūrai</w:t>
      </w:r>
      <w:bookmarkEnd w:id="45"/>
      <w:bookmarkEnd w:id="46"/>
    </w:p>
    <w:p>
      <w:pPr>
        <w:pStyle w:val="ListParagraph"/>
        <w:numPr>
          <w:ilvl w:val="0"/>
          <w:numId w:val="2"/>
        </w:numPr>
        <w:spacing w:before="0" w:after="0"/>
        <w:jc w:val="both"/>
        <w:rPr>
          <w:rFonts w:ascii="Times New Roman" w:hAnsi="Times New Roman"/>
        </w:rPr>
      </w:pPr>
      <w:r>
        <w:rPr>
          <w:rFonts w:ascii="Times New Roman" w:hAnsi="Times New Roman"/>
          <w:sz w:val="22"/>
        </w:rPr>
        <w:t>PINREG modernizuojamos dalies sprendimo realizacija turi būti orientuojama į atitikimą (suderinamumą) atviriems, bet patikimiems standartams.</w:t>
      </w:r>
    </w:p>
    <w:p>
      <w:pPr>
        <w:pStyle w:val="ListParagraph"/>
        <w:numPr>
          <w:ilvl w:val="0"/>
          <w:numId w:val="2"/>
        </w:numPr>
        <w:spacing w:before="0" w:after="0"/>
        <w:jc w:val="both"/>
        <w:rPr>
          <w:rFonts w:ascii="Times New Roman" w:hAnsi="Times New Roman"/>
        </w:rPr>
      </w:pPr>
      <w:r>
        <w:rPr>
          <w:rFonts w:ascii="Times New Roman" w:hAnsi="Times New Roman"/>
          <w:sz w:val="22"/>
        </w:rPr>
        <w:t>Diegimo metu turi būti vadovaujamasi rekomendacijomis dėl atvirųjų elektroninių dokumentų standartų naudojimo.</w:t>
      </w:r>
    </w:p>
    <w:p>
      <w:pPr>
        <w:pStyle w:val="Heading2"/>
        <w:ind w:hanging="792" w:left="716"/>
        <w:rPr>
          <w:rFonts w:ascii="Times New Roman" w:hAnsi="Times New Roman"/>
        </w:rPr>
      </w:pPr>
      <w:bookmarkStart w:id="48" w:name="_Toc151027912"/>
      <w:bookmarkStart w:id="49" w:name="_Toc8118848"/>
      <w:bookmarkStart w:id="50" w:name="_Toc70458314"/>
      <w:bookmarkEnd w:id="50"/>
      <w:r>
        <w:rPr>
          <w:rFonts w:ascii="Times New Roman" w:hAnsi="Times New Roman"/>
          <w:sz w:val="22"/>
          <w:szCs w:val="22"/>
        </w:rPr>
        <w:t>Reikalavimai programinei įrangai ir licencijoms</w:t>
      </w:r>
      <w:bookmarkEnd w:id="48"/>
      <w:bookmarkEnd w:id="49"/>
    </w:p>
    <w:p>
      <w:pPr>
        <w:pStyle w:val="ListParagraph"/>
        <w:numPr>
          <w:ilvl w:val="0"/>
          <w:numId w:val="2"/>
        </w:numPr>
        <w:spacing w:before="0" w:after="0"/>
        <w:jc w:val="both"/>
        <w:rPr>
          <w:rFonts w:ascii="Times New Roman" w:hAnsi="Times New Roman"/>
        </w:rPr>
      </w:pPr>
      <w:bookmarkStart w:id="51" w:name="_Hlk15917048"/>
      <w:r>
        <w:rPr>
          <w:rFonts w:ascii="Times New Roman" w:hAnsi="Times New Roman"/>
          <w:sz w:val="22"/>
        </w:rPr>
        <w:t xml:space="preserve">Diegėjas privalo pateikti standartinę programinę įrangą ir licencijas reikalingas </w:t>
      </w:r>
      <w:bookmarkStart w:id="52" w:name="_Hlk65506018"/>
      <w:r>
        <w:rPr>
          <w:rFonts w:ascii="Times New Roman" w:hAnsi="Times New Roman"/>
          <w:sz w:val="22"/>
        </w:rPr>
        <w:t xml:space="preserve">modernizuojamos </w:t>
      </w:r>
      <w:bookmarkEnd w:id="52"/>
      <w:r>
        <w:rPr>
          <w:rFonts w:ascii="Times New Roman" w:hAnsi="Times New Roman"/>
          <w:sz w:val="22"/>
        </w:rPr>
        <w:t xml:space="preserve">PINREG dalies sprendimo realizacijai, jeigu Techninėje specifikacijoje tokia programinė įranga ar licencijos nėra reikalaujamos, tačiau yra būtinos PINREG modernizavimo veikloms įgyvendinti (pvz., aplikacijų serveriai, ataskaitų programinė įranga, programavimo karkasai (angl. </w:t>
      </w:r>
      <w:r>
        <w:rPr>
          <w:rFonts w:ascii="Times New Roman" w:hAnsi="Times New Roman"/>
          <w:i/>
          <w:sz w:val="22"/>
        </w:rPr>
        <w:t>framework</w:t>
      </w:r>
      <w:r>
        <w:rPr>
          <w:rFonts w:ascii="Times New Roman" w:hAnsi="Times New Roman"/>
          <w:sz w:val="22"/>
        </w:rPr>
        <w:t>) ar pan.).</w:t>
      </w:r>
      <w:bookmarkEnd w:id="51"/>
    </w:p>
    <w:p>
      <w:pPr>
        <w:pStyle w:val="ListParagraph"/>
        <w:numPr>
          <w:ilvl w:val="0"/>
          <w:numId w:val="2"/>
        </w:numPr>
        <w:spacing w:before="0" w:after="0"/>
        <w:jc w:val="both"/>
        <w:rPr>
          <w:rFonts w:ascii="Times New Roman" w:hAnsi="Times New Roman"/>
        </w:rPr>
      </w:pPr>
      <w:r>
        <w:rPr>
          <w:rFonts w:ascii="Times New Roman" w:hAnsi="Times New Roman"/>
          <w:sz w:val="22"/>
        </w:rPr>
        <w:t xml:space="preserve">Diegėjo pateikiama standartinė licencinė programinė įranga (angl. </w:t>
      </w:r>
      <w:r>
        <w:rPr>
          <w:rFonts w:ascii="Times New Roman" w:hAnsi="Times New Roman"/>
          <w:i/>
          <w:sz w:val="22"/>
        </w:rPr>
        <w:t>Commercial Off-The-Shelf Software</w:t>
      </w:r>
      <w:r>
        <w:rPr>
          <w:rFonts w:ascii="Times New Roman" w:hAnsi="Times New Roman"/>
          <w:sz w:val="22"/>
        </w:rPr>
        <w:t>) (pvz., turinio valdymo sistema ar kt.), kuri reikalinga modernizuotos PINREG dalies veikimui, turi būti pateikiama kartu su neriboto galiojimo licencijomis.</w:t>
      </w:r>
    </w:p>
    <w:p>
      <w:pPr>
        <w:pStyle w:val="ListParagraph"/>
        <w:numPr>
          <w:ilvl w:val="0"/>
          <w:numId w:val="2"/>
        </w:numPr>
        <w:spacing w:before="0" w:after="0"/>
        <w:jc w:val="both"/>
        <w:rPr>
          <w:rFonts w:ascii="Times New Roman" w:hAnsi="Times New Roman"/>
        </w:rPr>
      </w:pPr>
      <w:r>
        <w:rPr>
          <w:rFonts w:ascii="Times New Roman" w:hAnsi="Times New Roman"/>
          <w:sz w:val="22"/>
        </w:rPr>
        <w:t>Modernizuotos PINREG dalies sprendimo licencinė programinė įranga (jei tokia pateikiama) turi turėti ne mažiau kaip 3 metų palaikymą: atnaujinimų parsisiuntimą ir diegimą, naujų komponentų pateikimą.</w:t>
      </w:r>
    </w:p>
    <w:p>
      <w:pPr>
        <w:pStyle w:val="ListParagraph"/>
        <w:numPr>
          <w:ilvl w:val="0"/>
          <w:numId w:val="2"/>
        </w:numPr>
        <w:spacing w:before="0" w:after="0"/>
        <w:jc w:val="both"/>
        <w:rPr>
          <w:rFonts w:ascii="Times New Roman" w:hAnsi="Times New Roman"/>
        </w:rPr>
      </w:pPr>
      <w:r>
        <w:rPr>
          <w:rFonts w:ascii="Times New Roman" w:hAnsi="Times New Roman"/>
          <w:sz w:val="22"/>
        </w:rPr>
        <w:t xml:space="preserve">Modernizuojamos PINREG dalies sprendimo ne licencinės programinės įrangos naudojimas neturi būti apmokestinamas (vartotojų kiekiui, galimų registruoti vartotojų kiekiui, galimų transakcijų kiekiui ir pan.). </w:t>
      </w:r>
    </w:p>
    <w:p>
      <w:pPr>
        <w:pStyle w:val="ListParagraph"/>
        <w:numPr>
          <w:ilvl w:val="0"/>
          <w:numId w:val="2"/>
        </w:numPr>
        <w:spacing w:before="0" w:after="0"/>
        <w:jc w:val="both"/>
        <w:rPr>
          <w:rFonts w:ascii="Times New Roman" w:hAnsi="Times New Roman"/>
        </w:rPr>
      </w:pPr>
      <w:bookmarkStart w:id="53" w:name="_Hlk15917745"/>
      <w:r>
        <w:rPr>
          <w:rFonts w:ascii="Times New Roman" w:hAnsi="Times New Roman"/>
          <w:sz w:val="22"/>
        </w:rPr>
        <w:t xml:space="preserve">Jeigu siūloma standartinė licencinė programinė įranga yra licencijuojama priklausomai nuo modernizuotą PINREG dalį naudojančių naudotojų (žmonių ar sistemų) kiekio, tarnybinių stočių parametrų ar pan., tai Diegėjas turi pateikti licencijas, kurios užtikrintų racionalų ir efektyvų modernizuotos PINREG dalies veikimą ir naudojimą. Siūloma standartinė licencinė programinė įranga, kuri licencijuojama priklausomai nuo modernizuotą PINREG dalį naudojančių naudotojų (žmonių ar sistemų) kiekio, turi užtikrinti darbą ne mažiau kaip 5 naudotojams vienu metu. </w:t>
      </w:r>
      <w:bookmarkEnd w:id="53"/>
    </w:p>
    <w:p>
      <w:pPr>
        <w:pStyle w:val="ListParagraph"/>
        <w:numPr>
          <w:ilvl w:val="0"/>
          <w:numId w:val="2"/>
        </w:numPr>
        <w:spacing w:before="0" w:after="0"/>
        <w:jc w:val="both"/>
        <w:rPr>
          <w:rFonts w:ascii="Times New Roman" w:hAnsi="Times New Roman"/>
        </w:rPr>
      </w:pPr>
      <w:r>
        <w:rPr>
          <w:rFonts w:ascii="Times New Roman" w:hAnsi="Times New Roman"/>
          <w:sz w:val="22"/>
        </w:rPr>
        <w:t>Visi reikalingos programinės įrangos ir licencijų kaštai turi būti įskaičiuoti į pasiūlymą.</w:t>
      </w:r>
    </w:p>
    <w:p>
      <w:pPr>
        <w:pStyle w:val="ListParagraph"/>
        <w:numPr>
          <w:ilvl w:val="0"/>
          <w:numId w:val="2"/>
        </w:numPr>
        <w:spacing w:before="0" w:after="0"/>
        <w:jc w:val="both"/>
        <w:rPr>
          <w:rFonts w:ascii="Times New Roman" w:hAnsi="Times New Roman"/>
        </w:rPr>
      </w:pPr>
      <w:r>
        <w:rPr>
          <w:rFonts w:ascii="Times New Roman" w:hAnsi="Times New Roman"/>
          <w:sz w:val="22"/>
        </w:rPr>
        <w:t>Visos reikalingos licencijos turi būti įgyjamos VTEK vardu. VTEK turi būti perduotos visos modernizuotos PINREG dalies veikimui reikalingos licencijos. Pateikiamų licencijų galiojimo pradžia turi būti ne ankstesnė nei bandomosios eksploatacijos etapo pabaiga ir ne vėlesnė nei garantinės priežiūros etapo pabaiga.</w:t>
      </w:r>
    </w:p>
    <w:p>
      <w:pPr>
        <w:pStyle w:val="ListParagraph"/>
        <w:numPr>
          <w:ilvl w:val="0"/>
          <w:numId w:val="2"/>
        </w:numPr>
        <w:spacing w:before="0" w:after="0"/>
        <w:jc w:val="both"/>
        <w:rPr>
          <w:rFonts w:ascii="Times New Roman" w:hAnsi="Times New Roman"/>
        </w:rPr>
      </w:pPr>
      <w:r>
        <w:rPr>
          <w:rFonts w:ascii="Times New Roman" w:hAnsi="Times New Roman"/>
          <w:sz w:val="22"/>
        </w:rPr>
        <w:t>Diegėjas gali pasiūlyti lygiavertę PINREG veikimui reikalingą programinę įrangą. Teikdamas lygiavertę programinę įrangą turi detalizuoti siūlomos programinės įrangos lygiavertiškumą architektūriniu, funkciniu, licencijavimo, plečiamumo, prieinamumo, valdymo, diegimo, atstatomumo, našumo, pernešamumo, gedimų tolerantiškumo, interoperabilumo, eksploatavimo, saugumo, palaikomumo, panaudojamumo (patogumo naudotis) požiūriu.</w:t>
      </w:r>
    </w:p>
    <w:p>
      <w:pPr>
        <w:pStyle w:val="ListParagraph"/>
        <w:numPr>
          <w:ilvl w:val="0"/>
          <w:numId w:val="2"/>
        </w:numPr>
        <w:spacing w:before="0" w:after="0"/>
        <w:jc w:val="both"/>
        <w:rPr>
          <w:rFonts w:ascii="Times New Roman" w:hAnsi="Times New Roman"/>
        </w:rPr>
      </w:pPr>
      <w:r>
        <w:rPr>
          <w:rFonts w:ascii="Times New Roman" w:hAnsi="Times New Roman"/>
          <w:sz w:val="22"/>
        </w:rPr>
        <w:t>Siūlomos programinės įrangos lygiavertiškumo deklaravimas ir detalizavimas turi būti pateikiamas Diegėjo pasiūlyme. Pasiūlymo vertinimo metu bus priimamas sprendimas dėl siūlomos programinės įrangos lygiavertiškumo. Diegėjų pasiūlymai, kuriuose siūloma nelygiavertė programinė įranga, bus atmetami.</w:t>
      </w:r>
    </w:p>
    <w:p>
      <w:pPr>
        <w:pStyle w:val="Heading2"/>
        <w:ind w:hanging="792" w:left="716"/>
        <w:rPr>
          <w:rFonts w:ascii="Times New Roman" w:hAnsi="Times New Roman"/>
        </w:rPr>
      </w:pPr>
      <w:bookmarkStart w:id="54" w:name="_Toc151027913"/>
      <w:bookmarkStart w:id="55" w:name="_Ref66810965"/>
      <w:bookmarkStart w:id="56" w:name="_Toc8118849"/>
      <w:r>
        <w:rPr>
          <w:rFonts w:ascii="Times New Roman" w:hAnsi="Times New Roman"/>
          <w:sz w:val="22"/>
          <w:szCs w:val="22"/>
        </w:rPr>
        <w:t>Reikalavimai naudotojo sąsajai</w:t>
      </w:r>
      <w:bookmarkEnd w:id="56"/>
      <w:r>
        <w:rPr>
          <w:rFonts w:ascii="Times New Roman" w:hAnsi="Times New Roman"/>
          <w:sz w:val="22"/>
          <w:szCs w:val="22"/>
        </w:rPr>
        <w:t xml:space="preserve"> ir ergonomikai</w:t>
      </w:r>
      <w:bookmarkEnd w:id="54"/>
      <w:bookmarkEnd w:id="55"/>
    </w:p>
    <w:p>
      <w:pPr>
        <w:pStyle w:val="ListParagraph"/>
        <w:numPr>
          <w:ilvl w:val="0"/>
          <w:numId w:val="2"/>
        </w:numPr>
        <w:spacing w:before="0" w:after="0"/>
        <w:jc w:val="both"/>
        <w:rPr>
          <w:rFonts w:ascii="Times New Roman" w:hAnsi="Times New Roman"/>
        </w:rPr>
      </w:pPr>
      <w:r>
        <w:rPr>
          <w:rFonts w:ascii="Times New Roman" w:hAnsi="Times New Roman"/>
          <w:sz w:val="22"/>
        </w:rPr>
        <w:t>Diegėjas turi modernizuojamos PINREG dalies dizainą priderinti prie esamo dizaino.</w:t>
      </w:r>
    </w:p>
    <w:p>
      <w:pPr>
        <w:pStyle w:val="ListParagraph"/>
        <w:numPr>
          <w:ilvl w:val="0"/>
          <w:numId w:val="2"/>
        </w:numPr>
        <w:spacing w:before="0" w:after="0"/>
        <w:jc w:val="both"/>
        <w:rPr>
          <w:rFonts w:ascii="Times New Roman" w:hAnsi="Times New Roman"/>
        </w:rPr>
      </w:pPr>
      <w:r>
        <w:rPr>
          <w:rFonts w:ascii="Times New Roman" w:hAnsi="Times New Roman"/>
          <w:sz w:val="22"/>
        </w:rPr>
        <w:t xml:space="preserve">Naujų sričių dizainas turi būti kuriamas naudojant geriausias UX (angl. </w:t>
      </w:r>
      <w:r>
        <w:rPr>
          <w:rFonts w:ascii="Times New Roman" w:hAnsi="Times New Roman"/>
          <w:i/>
          <w:sz w:val="22"/>
        </w:rPr>
        <w:t>User experience</w:t>
      </w:r>
      <w:r>
        <w:rPr>
          <w:rFonts w:ascii="Times New Roman" w:hAnsi="Times New Roman"/>
          <w:sz w:val="22"/>
        </w:rPr>
        <w:t xml:space="preserve">) ir UI (angl. </w:t>
      </w:r>
      <w:r>
        <w:rPr>
          <w:rFonts w:ascii="Times New Roman" w:hAnsi="Times New Roman"/>
          <w:i/>
          <w:sz w:val="22"/>
        </w:rPr>
        <w:t>User interface</w:t>
      </w:r>
      <w:r>
        <w:rPr>
          <w:rFonts w:ascii="Times New Roman" w:hAnsi="Times New Roman"/>
          <w:sz w:val="22"/>
        </w:rPr>
        <w:t xml:space="preserve">) praktikas, siekiant naudotojo sąsają padaryti kiek labiau įmanoma intuityvią ir suprantamą, vengiant visų perteklinių veiksmų. </w:t>
      </w:r>
    </w:p>
    <w:p>
      <w:pPr>
        <w:pStyle w:val="ListParagraph"/>
        <w:numPr>
          <w:ilvl w:val="0"/>
          <w:numId w:val="2"/>
        </w:numPr>
        <w:spacing w:before="0" w:after="0"/>
        <w:jc w:val="both"/>
        <w:rPr>
          <w:rFonts w:ascii="Times New Roman" w:hAnsi="Times New Roman"/>
        </w:rPr>
      </w:pPr>
      <w:r>
        <w:rPr>
          <w:rFonts w:ascii="Times New Roman" w:hAnsi="Times New Roman"/>
          <w:sz w:val="22"/>
        </w:rPr>
        <w:t>PINREG modernizuotos dalies naudotojo sąsaja turi būti prieinama naudojant interneto naršyklę (išimtys gali būti taikomos standartinei licencinei programinei įrangai, jeigu tokia teikiama (pvz. ataskaitų ir statistikos programinei įrangai, duomenų bazių administravimo programinei įrangai ir pan.)).</w:t>
      </w:r>
    </w:p>
    <w:p>
      <w:pPr>
        <w:pStyle w:val="ListParagraph"/>
        <w:numPr>
          <w:ilvl w:val="0"/>
          <w:numId w:val="2"/>
        </w:numPr>
        <w:spacing w:before="0" w:after="0"/>
        <w:jc w:val="both"/>
        <w:rPr>
          <w:rFonts w:ascii="Times New Roman" w:hAnsi="Times New Roman"/>
        </w:rPr>
      </w:pPr>
      <w:bookmarkStart w:id="57" w:name="_Hlk15918260"/>
      <w:r>
        <w:rPr>
          <w:rFonts w:ascii="Times New Roman" w:hAnsi="Times New Roman"/>
          <w:sz w:val="22"/>
        </w:rPr>
        <w:t>Per interneto naršyklę pasiekiami modernizuotos PINREG dalies komponentai turi vienodai funkcionuoti bei būti atvaizduojami su VTEK suderintose interneto naršyklėse. Preliminariai modernizuota PINREG dalis turi veikti šių interneto naršyklių naujausiose versijose:</w:t>
      </w:r>
      <w:bookmarkEnd w:id="57"/>
    </w:p>
    <w:p>
      <w:pPr>
        <w:pStyle w:val="ListParagraph"/>
        <w:numPr>
          <w:ilvl w:val="1"/>
          <w:numId w:val="2"/>
        </w:numPr>
        <w:spacing w:before="0" w:after="0"/>
        <w:jc w:val="both"/>
        <w:rPr>
          <w:rFonts w:ascii="Times New Roman" w:hAnsi="Times New Roman"/>
        </w:rPr>
      </w:pPr>
      <w:r>
        <w:rPr>
          <w:rFonts w:ascii="Times New Roman" w:hAnsi="Times New Roman"/>
          <w:sz w:val="22"/>
        </w:rPr>
        <w:t>Microsoft Edge;</w:t>
      </w:r>
    </w:p>
    <w:p>
      <w:pPr>
        <w:pStyle w:val="ListParagraph"/>
        <w:numPr>
          <w:ilvl w:val="1"/>
          <w:numId w:val="2"/>
        </w:numPr>
        <w:spacing w:before="0" w:after="0"/>
        <w:jc w:val="both"/>
        <w:rPr>
          <w:rFonts w:ascii="Times New Roman" w:hAnsi="Times New Roman"/>
        </w:rPr>
      </w:pPr>
      <w:r>
        <w:rPr>
          <w:rFonts w:ascii="Times New Roman" w:hAnsi="Times New Roman"/>
          <w:sz w:val="22"/>
        </w:rPr>
        <w:t>Mozilla Firefox;</w:t>
      </w:r>
    </w:p>
    <w:p>
      <w:pPr>
        <w:pStyle w:val="ListParagraph"/>
        <w:numPr>
          <w:ilvl w:val="1"/>
          <w:numId w:val="2"/>
        </w:numPr>
        <w:spacing w:before="0" w:after="0"/>
        <w:jc w:val="both"/>
        <w:rPr>
          <w:rFonts w:ascii="Times New Roman" w:hAnsi="Times New Roman"/>
        </w:rPr>
      </w:pPr>
      <w:r>
        <w:rPr>
          <w:rFonts w:ascii="Times New Roman" w:hAnsi="Times New Roman"/>
          <w:sz w:val="22"/>
        </w:rPr>
        <w:t>Google Chrome;</w:t>
      </w:r>
    </w:p>
    <w:p>
      <w:pPr>
        <w:pStyle w:val="ListParagraph"/>
        <w:numPr>
          <w:ilvl w:val="1"/>
          <w:numId w:val="2"/>
        </w:numPr>
        <w:spacing w:before="0" w:after="0"/>
        <w:jc w:val="both"/>
        <w:rPr>
          <w:rFonts w:ascii="Times New Roman" w:hAnsi="Times New Roman"/>
        </w:rPr>
      </w:pPr>
      <w:r>
        <w:rPr>
          <w:rFonts w:ascii="Times New Roman" w:hAnsi="Times New Roman"/>
          <w:sz w:val="22"/>
        </w:rPr>
        <w:t>Safari.</w:t>
      </w:r>
    </w:p>
    <w:p>
      <w:pPr>
        <w:pStyle w:val="ListParagraph"/>
        <w:numPr>
          <w:ilvl w:val="0"/>
          <w:numId w:val="2"/>
        </w:numPr>
        <w:spacing w:before="0" w:after="0"/>
        <w:jc w:val="both"/>
        <w:rPr>
          <w:rFonts w:ascii="Times New Roman" w:hAnsi="Times New Roman"/>
        </w:rPr>
      </w:pPr>
      <w:r>
        <w:rPr>
          <w:rFonts w:ascii="Times New Roman" w:hAnsi="Times New Roman"/>
          <w:sz w:val="22"/>
        </w:rPr>
        <w:t xml:space="preserve">Modernizuotos PINREG dalies naudotojo sąsaja turi būti realizuota lietuvių kalba. Kalba turi būti naudojama laikantis bendrinių lietuvių kalbos taisyklių. Modernizuotos PINREG dalies naudotojams ir administratoriams skirta informacinė aplinka ir </w:t>
      </w:r>
      <w:r>
        <w:rPr>
          <w:rFonts w:eastAsia="Times New Roman" w:ascii="Times New Roman" w:hAnsi="Times New Roman"/>
          <w:sz w:val="22"/>
        </w:rPr>
        <w:t>Tarnybinės etikos standartų sistemos (TESS)</w:t>
      </w:r>
      <w:r>
        <w:rPr>
          <w:rFonts w:ascii="Times New Roman" w:hAnsi="Times New Roman"/>
          <w:sz w:val="22"/>
        </w:rPr>
        <w:t xml:space="preserve"> funkcionalumas turi būti pritaikyti neįgaliesiems. </w:t>
      </w:r>
    </w:p>
    <w:p>
      <w:pPr>
        <w:pStyle w:val="ListParagraph"/>
        <w:numPr>
          <w:ilvl w:val="0"/>
          <w:numId w:val="2"/>
        </w:numPr>
        <w:spacing w:before="0" w:after="0"/>
        <w:jc w:val="both"/>
        <w:rPr>
          <w:rFonts w:ascii="Times New Roman" w:hAnsi="Times New Roman"/>
        </w:rPr>
      </w:pPr>
      <w:r>
        <w:rPr>
          <w:rFonts w:ascii="Times New Roman" w:hAnsi="Times New Roman"/>
          <w:sz w:val="22"/>
        </w:rPr>
        <w:t>Naudotojų sąsajos klaidų pranešimai turi būti suformuluoti taip, kad naudotojui būtų aišku, kas atsitiko ir kokius veiksmus jam toliau reikia atlikti, kad galėtų tęsti darbą.</w:t>
      </w:r>
    </w:p>
    <w:p>
      <w:pPr>
        <w:pStyle w:val="ListParagraph"/>
        <w:numPr>
          <w:ilvl w:val="0"/>
          <w:numId w:val="2"/>
        </w:numPr>
        <w:spacing w:before="0" w:after="0"/>
        <w:jc w:val="both"/>
        <w:rPr>
          <w:rFonts w:ascii="Times New Roman" w:hAnsi="Times New Roman"/>
        </w:rPr>
      </w:pPr>
      <w:r>
        <w:rPr>
          <w:rFonts w:ascii="Times New Roman" w:hAnsi="Times New Roman"/>
          <w:sz w:val="22"/>
        </w:rPr>
        <w:t>Diegėjas privalo užtikrinti modernizuotos PINREG dalies korektišką veikimą tiksliai apdorojant ir išsaugant lietuvių kalba įvedamus duomenis.</w:t>
      </w:r>
    </w:p>
    <w:p>
      <w:pPr>
        <w:pStyle w:val="ListParagraph"/>
        <w:numPr>
          <w:ilvl w:val="0"/>
          <w:numId w:val="2"/>
        </w:numPr>
        <w:spacing w:before="0" w:after="0"/>
        <w:jc w:val="both"/>
        <w:rPr>
          <w:rFonts w:ascii="Times New Roman" w:hAnsi="Times New Roman"/>
        </w:rPr>
      </w:pPr>
      <w:r>
        <w:rPr>
          <w:rFonts w:ascii="Times New Roman" w:hAnsi="Times New Roman"/>
          <w:sz w:val="22"/>
        </w:rPr>
        <w:t xml:space="preserve">Modernizuotos PINREG dalies naudotojo sąsaja turi būti intuityvi, suprantama ir nesudėtinga naudoti naudotojams, turintiems reikalaujamą kompiuterinio raštingumo lygį (ECDL ar aukštesnį), bei atitikti šiuolaikinius ergonomikos reikalavimus. </w:t>
      </w:r>
    </w:p>
    <w:p>
      <w:pPr>
        <w:pStyle w:val="ListParagraph"/>
        <w:numPr>
          <w:ilvl w:val="0"/>
          <w:numId w:val="2"/>
        </w:numPr>
        <w:spacing w:before="0" w:after="0"/>
        <w:jc w:val="both"/>
        <w:rPr>
          <w:rFonts w:ascii="Times New Roman" w:hAnsi="Times New Roman"/>
        </w:rPr>
      </w:pPr>
      <w:r>
        <w:rPr>
          <w:rFonts w:ascii="Times New Roman" w:hAnsi="Times New Roman"/>
          <w:sz w:val="22"/>
        </w:rPr>
        <w:t xml:space="preserve">Siekiant užtikrinti šiuolaikinius naudotojų sąsajos ergonomikos reikalavimus, rekomenduojama vadovautis LST EN ISO 9241–110:2006 „Žmogaus ir sistemos sąveikos ergonomika. 110 dalis. Dialogo principai (ISO 9241–110:2006)“ standartu arba jam lygiaverčiu. </w:t>
      </w:r>
    </w:p>
    <w:p>
      <w:pPr>
        <w:pStyle w:val="ListParagraph"/>
        <w:numPr>
          <w:ilvl w:val="0"/>
          <w:numId w:val="2"/>
        </w:numPr>
        <w:spacing w:before="0" w:after="0"/>
        <w:jc w:val="both"/>
        <w:rPr>
          <w:rFonts w:ascii="Times New Roman" w:hAnsi="Times New Roman"/>
        </w:rPr>
      </w:pPr>
      <w:r>
        <w:rPr>
          <w:rFonts w:ascii="Times New Roman" w:hAnsi="Times New Roman"/>
          <w:sz w:val="22"/>
        </w:rPr>
        <w:t>Modernizuotos PINREG dalies funkcionalumų, pasiekiamų per interneto naršyklę, naudotojo sąsaja turi atitikti W3C XHTML arba lygiavertę specifikaciją ir turi būti naudojama ne žemesnė kaip 1.0 W3C XHTML arba lygiavertė versija. Realizavimui turi būti naudojama ne žemesnė kaip 2.1 lygio CSS2 arba lygiavertė technologija (Cascading Style Sheets Language 2 Revision 1, www.w3.org/Style/CSS/).</w:t>
      </w:r>
    </w:p>
    <w:p>
      <w:pPr>
        <w:pStyle w:val="ListParagraph"/>
        <w:numPr>
          <w:ilvl w:val="0"/>
          <w:numId w:val="2"/>
        </w:numPr>
        <w:spacing w:before="0" w:after="0"/>
        <w:jc w:val="both"/>
        <w:rPr>
          <w:rFonts w:ascii="Times New Roman" w:hAnsi="Times New Roman"/>
        </w:rPr>
      </w:pPr>
      <w:r>
        <w:rPr>
          <w:rFonts w:ascii="Times New Roman" w:hAnsi="Times New Roman"/>
          <w:sz w:val="22"/>
        </w:rPr>
        <w:t>Naudotojų sąsajos valdymas turi remtis pelės ir klaviatūros įrenginiais.</w:t>
      </w:r>
    </w:p>
    <w:p>
      <w:pPr>
        <w:pStyle w:val="ListParagraph"/>
        <w:numPr>
          <w:ilvl w:val="0"/>
          <w:numId w:val="2"/>
        </w:numPr>
        <w:spacing w:before="0" w:after="0"/>
        <w:jc w:val="both"/>
        <w:rPr>
          <w:rFonts w:ascii="Times New Roman" w:hAnsi="Times New Roman"/>
        </w:rPr>
      </w:pPr>
      <w:r>
        <w:rPr>
          <w:rFonts w:ascii="Times New Roman" w:hAnsi="Times New Roman"/>
          <w:sz w:val="22"/>
        </w:rPr>
        <w:t>Turi būti realizuotas naudojimo patogumą užtikrinantis funkcionalumas:</w:t>
      </w:r>
    </w:p>
    <w:p>
      <w:pPr>
        <w:pStyle w:val="ListParagraph"/>
        <w:numPr>
          <w:ilvl w:val="1"/>
          <w:numId w:val="2"/>
        </w:numPr>
        <w:spacing w:before="0" w:after="0"/>
        <w:jc w:val="both"/>
        <w:rPr>
          <w:rFonts w:ascii="Times New Roman" w:hAnsi="Times New Roman"/>
        </w:rPr>
      </w:pPr>
      <w:r>
        <w:rPr>
          <w:rFonts w:ascii="Times New Roman" w:hAnsi="Times New Roman"/>
          <w:sz w:val="22"/>
        </w:rPr>
        <w:t>TAB klavišo seka einant per duomenų įvedimo laukus;</w:t>
      </w:r>
    </w:p>
    <w:p>
      <w:pPr>
        <w:pStyle w:val="ListParagraph"/>
        <w:numPr>
          <w:ilvl w:val="1"/>
          <w:numId w:val="2"/>
        </w:numPr>
        <w:spacing w:before="0" w:after="0"/>
        <w:jc w:val="both"/>
        <w:rPr>
          <w:rFonts w:ascii="Times New Roman" w:hAnsi="Times New Roman"/>
        </w:rPr>
      </w:pPr>
      <w:r>
        <w:rPr>
          <w:rFonts w:ascii="Times New Roman" w:hAnsi="Times New Roman"/>
          <w:sz w:val="22"/>
        </w:rPr>
        <w:t>užuominų ir paaiškinimų pateikimas pelės žymeklį užvedus ant grafinio objekto;</w:t>
      </w:r>
    </w:p>
    <w:p>
      <w:pPr>
        <w:pStyle w:val="ListParagraph"/>
        <w:numPr>
          <w:ilvl w:val="1"/>
          <w:numId w:val="2"/>
        </w:numPr>
        <w:spacing w:before="0" w:after="0"/>
        <w:jc w:val="both"/>
        <w:rPr>
          <w:rFonts w:ascii="Times New Roman" w:hAnsi="Times New Roman"/>
        </w:rPr>
      </w:pPr>
      <w:r>
        <w:rPr>
          <w:rFonts w:ascii="Times New Roman" w:hAnsi="Times New Roman"/>
          <w:sz w:val="22"/>
        </w:rPr>
        <w:t>duomenų įvedimo formose duomenų laukai turi būti užpildomi automatiškai, jeigu PINREG ar susijusiose sistemose yra saugomi atitinkami duomenys;</w:t>
      </w:r>
    </w:p>
    <w:p>
      <w:pPr>
        <w:pStyle w:val="ListParagraph"/>
        <w:numPr>
          <w:ilvl w:val="1"/>
          <w:numId w:val="2"/>
        </w:numPr>
        <w:spacing w:before="0" w:after="0"/>
        <w:jc w:val="both"/>
        <w:rPr>
          <w:rFonts w:ascii="Times New Roman" w:hAnsi="Times New Roman"/>
        </w:rPr>
      </w:pPr>
      <w:r>
        <w:rPr>
          <w:rFonts w:ascii="Times New Roman" w:hAnsi="Times New Roman"/>
          <w:sz w:val="22"/>
        </w:rPr>
        <w:t>naudotojo sąsajos elementai, kurie remiantis PINREG įgyvendinta logika negali būti panaudojami, privalo būti pažymimi neaktyviais ir / ar paslepiami.</w:t>
      </w:r>
    </w:p>
    <w:p>
      <w:pPr>
        <w:pStyle w:val="ListParagraph"/>
        <w:numPr>
          <w:ilvl w:val="0"/>
          <w:numId w:val="2"/>
        </w:numPr>
        <w:spacing w:before="0" w:after="0"/>
        <w:jc w:val="both"/>
        <w:rPr>
          <w:rFonts w:ascii="Times New Roman" w:hAnsi="Times New Roman"/>
        </w:rPr>
      </w:pPr>
      <w:r>
        <w:rPr>
          <w:rFonts w:ascii="Times New Roman" w:hAnsi="Times New Roman"/>
          <w:sz w:val="22"/>
        </w:rPr>
        <w:t>Duomenų sąrašai turi būti:</w:t>
      </w:r>
    </w:p>
    <w:p>
      <w:pPr>
        <w:pStyle w:val="ListParagraph"/>
        <w:numPr>
          <w:ilvl w:val="1"/>
          <w:numId w:val="2"/>
        </w:numPr>
        <w:spacing w:before="0" w:after="0"/>
        <w:jc w:val="both"/>
        <w:rPr>
          <w:rFonts w:ascii="Times New Roman" w:hAnsi="Times New Roman"/>
        </w:rPr>
      </w:pPr>
      <w:r>
        <w:rPr>
          <w:rFonts w:ascii="Times New Roman" w:hAnsi="Times New Roman"/>
          <w:sz w:val="22"/>
        </w:rPr>
        <w:t>puslapiuojami, su galimybe nurodyti kiek sąrašo puslapyje rodyti eilučių. Naudojant naršyklės mygtuką „Grįžti“, turi būti grįžtama į prieš tai buvusį puslapį. Iš konkretaus duomenų sąrašo puslapio įėjus į pasirinktą sąrašo objektą ir grįžus atgal, turi būti atvaizduojamas tas pats duomenų sąrašo puslapis, iš kurio buvo nueita į pasirinktą sąrašo objektą;</w:t>
      </w:r>
    </w:p>
    <w:p>
      <w:pPr>
        <w:pStyle w:val="ListParagraph"/>
        <w:numPr>
          <w:ilvl w:val="1"/>
          <w:numId w:val="2"/>
        </w:numPr>
        <w:spacing w:before="0" w:after="0"/>
        <w:jc w:val="both"/>
        <w:rPr>
          <w:rFonts w:ascii="Times New Roman" w:hAnsi="Times New Roman"/>
        </w:rPr>
      </w:pPr>
      <w:r>
        <w:rPr>
          <w:rFonts w:ascii="Times New Roman" w:hAnsi="Times New Roman"/>
          <w:sz w:val="22"/>
        </w:rPr>
        <w:t>filtruojami pagal sąrašui aktualius kriterijus. Diegėjas, detalios analizės metu, turės identifikuoti kiekvieno sąrašo filtravimo kriterijus ir juos realizuoti;</w:t>
      </w:r>
    </w:p>
    <w:p>
      <w:pPr>
        <w:pStyle w:val="ListParagraph"/>
        <w:numPr>
          <w:ilvl w:val="1"/>
          <w:numId w:val="2"/>
        </w:numPr>
        <w:spacing w:before="0" w:after="0"/>
        <w:jc w:val="both"/>
        <w:rPr>
          <w:rFonts w:ascii="Times New Roman" w:hAnsi="Times New Roman"/>
        </w:rPr>
      </w:pPr>
      <w:r>
        <w:rPr>
          <w:rFonts w:ascii="Times New Roman" w:hAnsi="Times New Roman"/>
          <w:sz w:val="22"/>
        </w:rPr>
        <w:t>rikiuojami pagal sąrašo rikiuotinus elementus;</w:t>
      </w:r>
    </w:p>
    <w:p>
      <w:pPr>
        <w:pStyle w:val="ListParagraph"/>
        <w:numPr>
          <w:ilvl w:val="1"/>
          <w:numId w:val="2"/>
        </w:numPr>
        <w:spacing w:before="0" w:after="0"/>
        <w:jc w:val="both"/>
        <w:rPr>
          <w:rFonts w:ascii="Times New Roman" w:hAnsi="Times New Roman"/>
        </w:rPr>
      </w:pPr>
      <w:r>
        <w:rPr>
          <w:rFonts w:ascii="Times New Roman" w:hAnsi="Times New Roman"/>
          <w:sz w:val="22"/>
        </w:rPr>
        <w:t>atveriami spausdinimo režimu. Detalios analizės metu turi būti nustatyta, kuriems sąrašams ir formoms yra reikalinga pastaroji būsena;</w:t>
      </w:r>
    </w:p>
    <w:p>
      <w:pPr>
        <w:pStyle w:val="ListParagraph"/>
        <w:numPr>
          <w:ilvl w:val="1"/>
          <w:numId w:val="2"/>
        </w:numPr>
        <w:spacing w:before="0" w:after="0"/>
        <w:jc w:val="both"/>
        <w:rPr>
          <w:rFonts w:ascii="Times New Roman" w:hAnsi="Times New Roman"/>
        </w:rPr>
      </w:pPr>
      <w:r>
        <w:rPr>
          <w:rFonts w:ascii="Times New Roman" w:hAnsi="Times New Roman"/>
          <w:sz w:val="22"/>
        </w:rPr>
        <w:t>duomenys, susidedantys iš lietuviškų rašmenų, turi būti rūšiuojami pagal lietuvišką abėcėlę.</w:t>
      </w:r>
    </w:p>
    <w:p>
      <w:pPr>
        <w:pStyle w:val="ListParagraph"/>
        <w:numPr>
          <w:ilvl w:val="0"/>
          <w:numId w:val="2"/>
        </w:numPr>
        <w:spacing w:before="0" w:after="0"/>
        <w:jc w:val="both"/>
        <w:rPr>
          <w:rFonts w:ascii="Times New Roman" w:hAnsi="Times New Roman"/>
        </w:rPr>
      </w:pPr>
      <w:r>
        <w:rPr>
          <w:rFonts w:ascii="Times New Roman" w:hAnsi="Times New Roman"/>
          <w:sz w:val="22"/>
        </w:rPr>
        <w:t>Turi būti indikuojami ilgiau trunkantys procesai (funkcijos), kad naudotojui būtų aišku, jog PINREG veikia ir nėra būtinybės iškviesti tų pačių funkcijų keletą kartų. Jei procesas yra toks, kurį norint tęsti reikia palaukti kol PINREG apdoros reikiamus duomenis, tokiu atveju naudotojui turi būti apribota galimybė inicijuoti kitus veiksmus, nebent pranešime, kuris indikuoja, kad procesas gali užtrukti, naudotojas inicijuoja ilgiau trunkančio proceso atšaukimą.</w:t>
      </w:r>
    </w:p>
    <w:p>
      <w:pPr>
        <w:pStyle w:val="ListParagraph"/>
        <w:numPr>
          <w:ilvl w:val="0"/>
          <w:numId w:val="2"/>
        </w:numPr>
        <w:spacing w:before="0" w:after="0"/>
        <w:jc w:val="both"/>
        <w:rPr>
          <w:rFonts w:ascii="Times New Roman" w:hAnsi="Times New Roman"/>
        </w:rPr>
      </w:pPr>
      <w:r>
        <w:rPr>
          <w:rFonts w:ascii="Times New Roman" w:hAnsi="Times New Roman"/>
          <w:sz w:val="22"/>
        </w:rPr>
        <w:t>Reikalavimai naudotojų informavimui:</w:t>
      </w:r>
    </w:p>
    <w:p>
      <w:pPr>
        <w:pStyle w:val="ListParagraph"/>
        <w:numPr>
          <w:ilvl w:val="1"/>
          <w:numId w:val="2"/>
        </w:numPr>
        <w:spacing w:before="0" w:after="0"/>
        <w:jc w:val="both"/>
        <w:rPr>
          <w:rFonts w:ascii="Times New Roman" w:hAnsi="Times New Roman"/>
        </w:rPr>
      </w:pPr>
      <w:r>
        <w:rPr>
          <w:rFonts w:ascii="Times New Roman" w:hAnsi="Times New Roman"/>
          <w:sz w:val="22"/>
        </w:rPr>
        <w:t>Modernizuotos PINREG dalies naudotojams pateikiami pranešimai turi būti suformuluoti taip, kad naudotojui būtų aiški pranešimo pateikimo priežastis. Informacija apie pranešimo pateikimą sąlygojančią priežastį privalo būti pateikiama nurodant konkrečius duomenų objektus (pavyzdžiui, laukų pavadinimus);</w:t>
      </w:r>
    </w:p>
    <w:p>
      <w:pPr>
        <w:pStyle w:val="ListParagraph"/>
        <w:numPr>
          <w:ilvl w:val="1"/>
          <w:numId w:val="2"/>
        </w:numPr>
        <w:spacing w:before="0" w:after="0"/>
        <w:jc w:val="both"/>
        <w:rPr>
          <w:rFonts w:ascii="Times New Roman" w:hAnsi="Times New Roman"/>
        </w:rPr>
      </w:pPr>
      <w:r>
        <w:rPr>
          <w:rFonts w:ascii="Times New Roman" w:hAnsi="Times New Roman"/>
          <w:sz w:val="22"/>
        </w:rPr>
        <w:t>naudotojui pateikiamame klaidos pranešime privalo būti nurodoma, kokius veiksmus naudotojas privalo atlikti tam, kad galėtų pašalinti pranešimo pateikimo priežastis ir tęsti darbą su modernizuota PINREG dalimi;</w:t>
      </w:r>
    </w:p>
    <w:p>
      <w:pPr>
        <w:pStyle w:val="ListParagraph"/>
        <w:numPr>
          <w:ilvl w:val="1"/>
          <w:numId w:val="2"/>
        </w:numPr>
        <w:spacing w:before="0" w:after="0"/>
        <w:jc w:val="both"/>
        <w:rPr>
          <w:rFonts w:ascii="Times New Roman" w:hAnsi="Times New Roman"/>
        </w:rPr>
      </w:pPr>
      <w:r>
        <w:rPr>
          <w:rFonts w:ascii="Times New Roman" w:hAnsi="Times New Roman"/>
          <w:sz w:val="22"/>
        </w:rPr>
        <w:t>naudotojui turi būti pateikiami sėkmės pranešimai, nurodantys, kad naudotojo atlikti veiksmai yra sėkmingi (pavyzdžiui, informuojama, kad įrašas išsaugotas / ištrintas / pakoreguotas, duomenys sėkmingai įkelti ir pan.);</w:t>
      </w:r>
    </w:p>
    <w:p>
      <w:pPr>
        <w:pStyle w:val="ListParagraph"/>
        <w:numPr>
          <w:ilvl w:val="1"/>
          <w:numId w:val="2"/>
        </w:numPr>
        <w:spacing w:before="0" w:after="0"/>
        <w:jc w:val="both"/>
        <w:rPr>
          <w:rFonts w:ascii="Times New Roman" w:hAnsi="Times New Roman"/>
        </w:rPr>
      </w:pPr>
      <w:r>
        <w:rPr>
          <w:rFonts w:ascii="Times New Roman" w:hAnsi="Times New Roman"/>
          <w:sz w:val="22"/>
        </w:rPr>
        <w:t>klaidų pranešimai, sėkmės pranešimai ir informaciniai pranešimai turi būti išskirti skirtingomis spalvomis ar skirtingais simboliais, kad vizualiai būtų galima atskirti;</w:t>
      </w:r>
    </w:p>
    <w:p>
      <w:pPr>
        <w:pStyle w:val="ListParagraph"/>
        <w:numPr>
          <w:ilvl w:val="1"/>
          <w:numId w:val="2"/>
        </w:numPr>
        <w:spacing w:before="0" w:after="0"/>
        <w:jc w:val="both"/>
        <w:rPr>
          <w:rFonts w:ascii="Times New Roman" w:hAnsi="Times New Roman"/>
        </w:rPr>
      </w:pPr>
      <w:r>
        <w:rPr>
          <w:rFonts w:ascii="Times New Roman" w:hAnsi="Times New Roman"/>
          <w:sz w:val="22"/>
        </w:rPr>
        <w:t>jeigu naudotojui atlikus veiksmus rezultatai turės didelės įtakos (pvz. ištrynimas), prieš atliekant veiksmą PINREG turi pateikti pranešimą ir paprašyti naudotojo patvirtinti, kad veiksmą tikrai norima vykdyti.</w:t>
      </w:r>
    </w:p>
    <w:p>
      <w:pPr>
        <w:pStyle w:val="ListParagraph"/>
        <w:numPr>
          <w:ilvl w:val="0"/>
          <w:numId w:val="2"/>
        </w:numPr>
        <w:spacing w:before="0" w:after="0"/>
        <w:jc w:val="both"/>
        <w:rPr>
          <w:rFonts w:ascii="Times New Roman" w:hAnsi="Times New Roman"/>
        </w:rPr>
      </w:pPr>
      <w:r>
        <w:rPr>
          <w:rFonts w:ascii="Times New Roman" w:hAnsi="Times New Roman"/>
          <w:sz w:val="22"/>
        </w:rPr>
        <w:t>Naudotojo sąsajoje esantys duomenų įvedimo laukai turi turėti duomenų validavimo taisykles ir tikrinti įvedamų duomenų logikos korektiškumą. Laukai ir laukų validavimo taisyklės turi būti suderinti su Perkančiąja organizacija detalios analizės ir projektavimo etapų metu. Preliminariai turės būti:</w:t>
      </w:r>
    </w:p>
    <w:p>
      <w:pPr>
        <w:pStyle w:val="ListParagraph"/>
        <w:numPr>
          <w:ilvl w:val="1"/>
          <w:numId w:val="2"/>
        </w:numPr>
        <w:spacing w:before="0" w:after="0"/>
        <w:jc w:val="both"/>
        <w:rPr>
          <w:rFonts w:ascii="Times New Roman" w:hAnsi="Times New Roman"/>
        </w:rPr>
      </w:pPr>
      <w:r>
        <w:rPr>
          <w:rFonts w:ascii="Times New Roman" w:hAnsi="Times New Roman"/>
          <w:sz w:val="22"/>
        </w:rPr>
        <w:t>tikrinami privalomi įvesti duomenys;</w:t>
      </w:r>
    </w:p>
    <w:p>
      <w:pPr>
        <w:pStyle w:val="ListParagraph"/>
        <w:numPr>
          <w:ilvl w:val="1"/>
          <w:numId w:val="2"/>
        </w:numPr>
        <w:spacing w:before="0" w:after="0"/>
        <w:jc w:val="both"/>
        <w:rPr>
          <w:rFonts w:ascii="Times New Roman" w:hAnsi="Times New Roman"/>
        </w:rPr>
      </w:pPr>
      <w:r>
        <w:rPr>
          <w:rFonts w:ascii="Times New Roman" w:hAnsi="Times New Roman"/>
          <w:sz w:val="22"/>
        </w:rPr>
        <w:t>tikrinimas duomenų formatas (datos, skaičiaus, teksto ar kitas nustatytas taisykles);</w:t>
      </w:r>
    </w:p>
    <w:p>
      <w:pPr>
        <w:pStyle w:val="ListParagraph"/>
        <w:numPr>
          <w:ilvl w:val="1"/>
          <w:numId w:val="2"/>
        </w:numPr>
        <w:spacing w:before="0" w:after="0"/>
        <w:jc w:val="both"/>
        <w:rPr>
          <w:rFonts w:ascii="Times New Roman" w:hAnsi="Times New Roman"/>
        </w:rPr>
      </w:pPr>
      <w:r>
        <w:rPr>
          <w:rFonts w:ascii="Times New Roman" w:hAnsi="Times New Roman"/>
          <w:sz w:val="22"/>
        </w:rPr>
        <w:t>tikrinami įkeliamų rinkmenų plėtiniai ir dydžiai;</w:t>
      </w:r>
    </w:p>
    <w:p>
      <w:pPr>
        <w:pStyle w:val="ListParagraph"/>
        <w:numPr>
          <w:ilvl w:val="1"/>
          <w:numId w:val="2"/>
        </w:numPr>
        <w:spacing w:before="0" w:after="0"/>
        <w:jc w:val="both"/>
        <w:rPr>
          <w:rFonts w:ascii="Times New Roman" w:hAnsi="Times New Roman"/>
        </w:rPr>
      </w:pPr>
      <w:r>
        <w:rPr>
          <w:rFonts w:ascii="Times New Roman" w:hAnsi="Times New Roman"/>
          <w:sz w:val="22"/>
        </w:rPr>
        <w:t>atliekamas loginis tikrinimas tarp formos elementų – vieno formos elemento parinkimas (įvedimas) turi galėti įjungti/ išjungti kitus formos elementus ir atlikti kitus veiksmus, kurie turės būti suderinti su Perkančiąja organizacija.</w:t>
      </w:r>
    </w:p>
    <w:p>
      <w:pPr>
        <w:pStyle w:val="Heading2"/>
        <w:ind w:hanging="792" w:left="716"/>
        <w:rPr>
          <w:rFonts w:ascii="Times New Roman" w:hAnsi="Times New Roman"/>
        </w:rPr>
      </w:pPr>
      <w:bookmarkStart w:id="58" w:name="_Toc151027914"/>
      <w:bookmarkStart w:id="59" w:name="_Toc8118850"/>
      <w:r>
        <w:rPr>
          <w:rFonts w:ascii="Times New Roman" w:hAnsi="Times New Roman"/>
          <w:sz w:val="22"/>
          <w:szCs w:val="22"/>
        </w:rPr>
        <w:t>Reikalavimai greitaveikai ir našumui</w:t>
      </w:r>
      <w:bookmarkEnd w:id="58"/>
      <w:bookmarkEnd w:id="59"/>
    </w:p>
    <w:p>
      <w:pPr>
        <w:pStyle w:val="ListParagraph"/>
        <w:numPr>
          <w:ilvl w:val="0"/>
          <w:numId w:val="2"/>
        </w:numPr>
        <w:spacing w:before="0" w:after="0"/>
        <w:jc w:val="both"/>
        <w:rPr>
          <w:rFonts w:ascii="Times New Roman" w:hAnsi="Times New Roman"/>
        </w:rPr>
      </w:pPr>
      <w:r>
        <w:rPr>
          <w:rFonts w:ascii="Times New Roman" w:hAnsi="Times New Roman"/>
          <w:sz w:val="22"/>
        </w:rPr>
        <w:t>Modernizuotos PINREG dalies greitaveika turi būti ne žemesnė nei šiuo metu veikiančio PINREG.</w:t>
      </w:r>
    </w:p>
    <w:p>
      <w:pPr>
        <w:pStyle w:val="ListParagraph"/>
        <w:numPr>
          <w:ilvl w:val="0"/>
          <w:numId w:val="2"/>
        </w:numPr>
        <w:spacing w:before="0" w:after="0"/>
        <w:jc w:val="both"/>
        <w:rPr>
          <w:rFonts w:ascii="Times New Roman" w:hAnsi="Times New Roman"/>
        </w:rPr>
      </w:pPr>
      <w:r>
        <w:rPr>
          <w:rFonts w:ascii="Times New Roman" w:hAnsi="Times New Roman"/>
          <w:sz w:val="22"/>
        </w:rPr>
        <w:t xml:space="preserve">Priėmimo testavimo etapo metu (ar kitu sutartu metu) Diegėjas turi atlikti našumo ir greitaveikos testavimą ir pateikti našumo ir greitaveikos testavimo ataskaitą. </w:t>
      </w:r>
    </w:p>
    <w:p>
      <w:pPr>
        <w:pStyle w:val="Heading2"/>
        <w:ind w:hanging="792" w:left="716"/>
        <w:rPr>
          <w:rFonts w:ascii="Times New Roman" w:hAnsi="Times New Roman"/>
        </w:rPr>
      </w:pPr>
      <w:bookmarkStart w:id="60" w:name="_Toc151027915"/>
      <w:r>
        <w:rPr>
          <w:rFonts w:ascii="Times New Roman" w:hAnsi="Times New Roman"/>
          <w:sz w:val="22"/>
          <w:szCs w:val="22"/>
        </w:rPr>
        <w:t>Reikalavimai paslaugų teikimui</w:t>
      </w:r>
      <w:bookmarkEnd w:id="60"/>
    </w:p>
    <w:p>
      <w:pPr>
        <w:pStyle w:val="Heading3"/>
        <w:keepLines w:val="false"/>
        <w:numPr>
          <w:ilvl w:val="2"/>
          <w:numId w:val="1"/>
        </w:numPr>
        <w:spacing w:lineRule="auto" w:line="276" w:before="240" w:afterAutospacing="1"/>
        <w:ind w:hanging="709" w:left="709"/>
        <w:jc w:val="both"/>
        <w:rPr>
          <w:rFonts w:ascii="Times New Roman" w:hAnsi="Times New Roman"/>
        </w:rPr>
      </w:pPr>
      <w:bookmarkStart w:id="61" w:name="_Toc151027916"/>
      <w:r>
        <w:rPr>
          <w:rFonts w:ascii="Times New Roman" w:hAnsi="Times New Roman"/>
          <w:sz w:val="22"/>
          <w:szCs w:val="22"/>
        </w:rPr>
        <w:t>Reikalavimai analizei ir projektavimui</w:t>
      </w:r>
      <w:bookmarkEnd w:id="61"/>
    </w:p>
    <w:p>
      <w:pPr>
        <w:pStyle w:val="ListParagraph"/>
        <w:numPr>
          <w:ilvl w:val="0"/>
          <w:numId w:val="2"/>
        </w:numPr>
        <w:spacing w:before="0" w:after="0"/>
        <w:jc w:val="both"/>
        <w:rPr>
          <w:rFonts w:ascii="Times New Roman" w:hAnsi="Times New Roman"/>
        </w:rPr>
      </w:pPr>
      <w:r>
        <w:rPr>
          <w:rFonts w:ascii="Times New Roman" w:hAnsi="Times New Roman"/>
          <w:sz w:val="22"/>
        </w:rPr>
        <w:t>Diegėjas analizės ir projektavimo etapų vykdymo metu turi atlikti detalią veiklos procesų ir poreikių analizę bei projektavimą ir parengti detalios reikalavimų analizės ir projektavimo dokumentus.</w:t>
      </w:r>
    </w:p>
    <w:p>
      <w:pPr>
        <w:pStyle w:val="ListParagraph"/>
        <w:numPr>
          <w:ilvl w:val="0"/>
          <w:numId w:val="2"/>
        </w:numPr>
        <w:spacing w:before="0" w:after="0"/>
        <w:jc w:val="both"/>
        <w:rPr>
          <w:rFonts w:ascii="Times New Roman" w:hAnsi="Times New Roman"/>
        </w:rPr>
      </w:pPr>
      <w:r>
        <w:rPr>
          <w:rFonts w:ascii="Times New Roman" w:hAnsi="Times New Roman"/>
          <w:sz w:val="22"/>
        </w:rPr>
        <w:t xml:space="preserve">Detalios reikalavimų analizės dokumente turi būti pateikti pagal specifikacijos funkcinius ir nefunkcinius reikalavimus bei pagal VTEK išsakytus poreikius parengti panaudos atvejai (angl. </w:t>
      </w:r>
      <w:r>
        <w:rPr>
          <w:rFonts w:ascii="Times New Roman" w:hAnsi="Times New Roman"/>
          <w:i/>
          <w:sz w:val="22"/>
        </w:rPr>
        <w:t>use case</w:t>
      </w:r>
      <w:r>
        <w:rPr>
          <w:rFonts w:ascii="Times New Roman" w:hAnsi="Times New Roman"/>
          <w:sz w:val="22"/>
        </w:rPr>
        <w:t xml:space="preserve">) (panaudos atvejų diagramos ir detalūs panaudos atvejų aprašymai, nurodant žingsnius (pagrindinę eiga, alternatyvią eigą, išimtinę eigą) ir kitus apribojimus, naudojant UML (angl. </w:t>
      </w:r>
      <w:r>
        <w:rPr>
          <w:rFonts w:ascii="Times New Roman" w:hAnsi="Times New Roman"/>
          <w:i/>
          <w:sz w:val="22"/>
        </w:rPr>
        <w:t>Unified Modeling Language</w:t>
      </w:r>
      <w:r>
        <w:rPr>
          <w:rFonts w:ascii="Times New Roman" w:hAnsi="Times New Roman"/>
          <w:sz w:val="22"/>
        </w:rPr>
        <w:t>) ar lygiavertę notaciją. Turi būti atliktas visų Techninės specifikacijos funkcinių ir nefunkcinių reikalavimų susiejimas su detalios analizės dokumento turiniu (skyriais, panaudos atvejais, diagramomis ir pan.). Siejimas turi būti atliekamas tokia forma, kad būtų aišku kokiu būdu yra projektuojamas ir realizuojamas kiekvienas Techninės specifikacijos reikalavimas.</w:t>
      </w:r>
    </w:p>
    <w:p>
      <w:pPr>
        <w:pStyle w:val="ListParagraph"/>
        <w:numPr>
          <w:ilvl w:val="0"/>
          <w:numId w:val="2"/>
        </w:numPr>
        <w:spacing w:before="0" w:after="0"/>
        <w:jc w:val="both"/>
        <w:rPr>
          <w:rFonts w:ascii="Times New Roman" w:hAnsi="Times New Roman"/>
        </w:rPr>
      </w:pPr>
      <w:r>
        <w:rPr>
          <w:rFonts w:ascii="Times New Roman" w:hAnsi="Times New Roman"/>
          <w:sz w:val="22"/>
        </w:rPr>
        <w:t xml:space="preserve">Atliekant analizę ir projektavimą Diegėjas turi vykdyti susitikimus su VTEK paskirtais veiklos specialistais ir kitų susijusių institucijų specialistais. </w:t>
      </w:r>
    </w:p>
    <w:p>
      <w:pPr>
        <w:pStyle w:val="ListParagraph"/>
        <w:numPr>
          <w:ilvl w:val="0"/>
          <w:numId w:val="2"/>
        </w:numPr>
        <w:spacing w:before="0" w:after="0"/>
        <w:jc w:val="both"/>
        <w:rPr>
          <w:rFonts w:ascii="Times New Roman" w:hAnsi="Times New Roman"/>
        </w:rPr>
      </w:pPr>
      <w:r>
        <w:rPr>
          <w:rFonts w:ascii="Times New Roman" w:hAnsi="Times New Roman"/>
          <w:sz w:val="22"/>
        </w:rPr>
        <w:t>Detalios analizės ir projektavimo etapų metu Diegėjas turi detalizuoti specifikacijos funkcinius ir nefunkcinius reikalavimus, kad jais vadovaujantis būtų galima realizuoti poreikius atitinkančius modernizuojamos PINREG dalies funkcionalumus.</w:t>
      </w:r>
    </w:p>
    <w:p>
      <w:pPr>
        <w:pStyle w:val="Heading3"/>
        <w:keepLines w:val="false"/>
        <w:numPr>
          <w:ilvl w:val="2"/>
          <w:numId w:val="1"/>
        </w:numPr>
        <w:spacing w:lineRule="auto" w:line="276" w:before="240" w:afterAutospacing="1"/>
        <w:ind w:hanging="709" w:left="709"/>
        <w:jc w:val="both"/>
        <w:rPr>
          <w:rFonts w:ascii="Times New Roman" w:hAnsi="Times New Roman"/>
        </w:rPr>
      </w:pPr>
      <w:bookmarkStart w:id="62" w:name="_Toc151027917"/>
      <w:r>
        <w:rPr>
          <w:rFonts w:ascii="Times New Roman" w:hAnsi="Times New Roman"/>
          <w:sz w:val="22"/>
          <w:szCs w:val="22"/>
        </w:rPr>
        <w:t>Reikalavimai testavimui</w:t>
      </w:r>
      <w:bookmarkEnd w:id="62"/>
    </w:p>
    <w:p>
      <w:pPr>
        <w:pStyle w:val="ListParagraph"/>
        <w:numPr>
          <w:ilvl w:val="0"/>
          <w:numId w:val="2"/>
        </w:numPr>
        <w:spacing w:before="0" w:after="0"/>
        <w:jc w:val="both"/>
        <w:rPr>
          <w:rFonts w:ascii="Times New Roman" w:hAnsi="Times New Roman"/>
        </w:rPr>
      </w:pPr>
      <w:r>
        <w:rPr>
          <w:rFonts w:ascii="Times New Roman" w:hAnsi="Times New Roman"/>
          <w:sz w:val="22"/>
        </w:rPr>
        <w:t>Turi būti atliktas modernizuoto modernizuotos PINREG dalies priėmimo testavimas.</w:t>
      </w:r>
    </w:p>
    <w:p>
      <w:pPr>
        <w:pStyle w:val="ListParagraph"/>
        <w:numPr>
          <w:ilvl w:val="0"/>
          <w:numId w:val="2"/>
        </w:numPr>
        <w:spacing w:before="0" w:after="0"/>
        <w:jc w:val="both"/>
        <w:rPr>
          <w:rFonts w:ascii="Times New Roman" w:hAnsi="Times New Roman"/>
        </w:rPr>
      </w:pPr>
      <w:r>
        <w:rPr>
          <w:rFonts w:ascii="Times New Roman" w:hAnsi="Times New Roman"/>
          <w:sz w:val="22"/>
        </w:rPr>
        <w:t>Testavimo tikslai:</w:t>
      </w:r>
    </w:p>
    <w:p>
      <w:pPr>
        <w:pStyle w:val="ListParagraph"/>
        <w:numPr>
          <w:ilvl w:val="1"/>
          <w:numId w:val="2"/>
        </w:numPr>
        <w:spacing w:before="0" w:after="0"/>
        <w:jc w:val="both"/>
        <w:rPr>
          <w:rFonts w:ascii="Times New Roman" w:hAnsi="Times New Roman"/>
        </w:rPr>
      </w:pPr>
      <w:r>
        <w:rPr>
          <w:rFonts w:ascii="Times New Roman" w:hAnsi="Times New Roman"/>
          <w:sz w:val="22"/>
        </w:rPr>
        <w:t>įsitikinti, kad yra įgyvendinti visi funkciniai ir nefunkciniai Techninės specifikacijos reikalavimai;</w:t>
      </w:r>
    </w:p>
    <w:p>
      <w:pPr>
        <w:pStyle w:val="ListParagraph"/>
        <w:numPr>
          <w:ilvl w:val="1"/>
          <w:numId w:val="2"/>
        </w:numPr>
        <w:spacing w:before="0" w:after="0"/>
        <w:jc w:val="both"/>
        <w:rPr>
          <w:rFonts w:ascii="Times New Roman" w:hAnsi="Times New Roman"/>
        </w:rPr>
      </w:pPr>
      <w:r>
        <w:rPr>
          <w:rFonts w:ascii="Times New Roman" w:hAnsi="Times New Roman"/>
          <w:sz w:val="22"/>
        </w:rPr>
        <w:t>įsitikinti, kad reikalavimų įgyvendinimas atliktas tinkama apimtimi;</w:t>
      </w:r>
    </w:p>
    <w:p>
      <w:pPr>
        <w:pStyle w:val="ListParagraph"/>
        <w:numPr>
          <w:ilvl w:val="1"/>
          <w:numId w:val="2"/>
        </w:numPr>
        <w:spacing w:before="0" w:after="0"/>
        <w:jc w:val="both"/>
        <w:rPr>
          <w:rFonts w:ascii="Times New Roman" w:hAnsi="Times New Roman"/>
        </w:rPr>
      </w:pPr>
      <w:r>
        <w:rPr>
          <w:rFonts w:ascii="Times New Roman" w:hAnsi="Times New Roman"/>
          <w:sz w:val="22"/>
        </w:rPr>
        <w:t>nustatyti ar reikalavimų įgyvendinimas tenkina VTEK ir kitas suinteresuotas šalis;</w:t>
      </w:r>
    </w:p>
    <w:p>
      <w:pPr>
        <w:pStyle w:val="ListParagraph"/>
        <w:numPr>
          <w:ilvl w:val="1"/>
          <w:numId w:val="2"/>
        </w:numPr>
        <w:spacing w:before="0" w:after="0"/>
        <w:jc w:val="both"/>
        <w:rPr>
          <w:rFonts w:ascii="Times New Roman" w:hAnsi="Times New Roman"/>
        </w:rPr>
      </w:pPr>
      <w:r>
        <w:rPr>
          <w:rFonts w:ascii="Times New Roman" w:hAnsi="Times New Roman"/>
          <w:sz w:val="22"/>
        </w:rPr>
        <w:t xml:space="preserve">identifikuoti ir užregistruoti funkcionalumo klaidas, problemas, trūkumus (angl. </w:t>
      </w:r>
      <w:r>
        <w:rPr>
          <w:rFonts w:ascii="Times New Roman" w:hAnsi="Times New Roman"/>
          <w:i/>
          <w:sz w:val="22"/>
        </w:rPr>
        <w:t>bugs</w:t>
      </w:r>
      <w:r>
        <w:rPr>
          <w:rFonts w:ascii="Times New Roman" w:hAnsi="Times New Roman"/>
          <w:sz w:val="22"/>
        </w:rPr>
        <w:t>);</w:t>
      </w:r>
    </w:p>
    <w:p>
      <w:pPr>
        <w:pStyle w:val="ListParagraph"/>
        <w:numPr>
          <w:ilvl w:val="0"/>
          <w:numId w:val="2"/>
        </w:numPr>
        <w:spacing w:before="0" w:after="0"/>
        <w:jc w:val="both"/>
        <w:rPr>
          <w:rFonts w:ascii="Times New Roman" w:hAnsi="Times New Roman"/>
        </w:rPr>
      </w:pPr>
      <w:r>
        <w:rPr>
          <w:rFonts w:ascii="Times New Roman" w:hAnsi="Times New Roman"/>
          <w:sz w:val="22"/>
        </w:rPr>
        <w:t>Turi būti atlikti šie testavimai:</w:t>
      </w:r>
    </w:p>
    <w:p>
      <w:pPr>
        <w:pStyle w:val="ListParagraph"/>
        <w:numPr>
          <w:ilvl w:val="1"/>
          <w:numId w:val="2"/>
        </w:numPr>
        <w:spacing w:before="0" w:after="0"/>
        <w:jc w:val="both"/>
        <w:rPr>
          <w:rFonts w:ascii="Times New Roman" w:hAnsi="Times New Roman"/>
        </w:rPr>
      </w:pPr>
      <w:r>
        <w:rPr>
          <w:rFonts w:ascii="Times New Roman" w:hAnsi="Times New Roman"/>
          <w:sz w:val="22"/>
        </w:rPr>
        <w:t>vidinis testavimas. Vidinius atskirų komponentų testavimus Diegėjas turi atlikti nedalyvaujant VTEK atstovams, tačiau turi pateikti tokio testavimo įrodymus – vidinio testavimo ataskaitą ir nustatytų neatitikimų sąrašą;</w:t>
      </w:r>
    </w:p>
    <w:p>
      <w:pPr>
        <w:pStyle w:val="ListParagraph"/>
        <w:numPr>
          <w:ilvl w:val="1"/>
          <w:numId w:val="2"/>
        </w:numPr>
        <w:spacing w:before="0" w:after="0"/>
        <w:jc w:val="both"/>
        <w:rPr>
          <w:rFonts w:ascii="Times New Roman" w:hAnsi="Times New Roman"/>
        </w:rPr>
      </w:pPr>
      <w:r>
        <w:rPr>
          <w:rFonts w:ascii="Times New Roman" w:hAnsi="Times New Roman"/>
          <w:sz w:val="22"/>
        </w:rPr>
        <w:t>saugos testavimas;</w:t>
      </w:r>
    </w:p>
    <w:p>
      <w:pPr>
        <w:pStyle w:val="ListParagraph"/>
        <w:numPr>
          <w:ilvl w:val="1"/>
          <w:numId w:val="2"/>
        </w:numPr>
        <w:spacing w:before="0" w:after="0"/>
        <w:jc w:val="both"/>
        <w:rPr>
          <w:rFonts w:ascii="Times New Roman" w:hAnsi="Times New Roman"/>
        </w:rPr>
      </w:pPr>
      <w:r>
        <w:rPr>
          <w:rFonts w:ascii="Times New Roman" w:hAnsi="Times New Roman"/>
          <w:sz w:val="22"/>
        </w:rPr>
        <w:t>apkrovos (greitaveikos) testavimas;</w:t>
      </w:r>
    </w:p>
    <w:p>
      <w:pPr>
        <w:pStyle w:val="ListParagraph"/>
        <w:numPr>
          <w:ilvl w:val="1"/>
          <w:numId w:val="2"/>
        </w:numPr>
        <w:spacing w:before="0" w:after="0"/>
        <w:jc w:val="both"/>
        <w:rPr>
          <w:rFonts w:ascii="Times New Roman" w:hAnsi="Times New Roman"/>
        </w:rPr>
      </w:pPr>
      <w:r>
        <w:rPr>
          <w:rFonts w:ascii="Times New Roman" w:hAnsi="Times New Roman"/>
          <w:sz w:val="22"/>
        </w:rPr>
        <w:t xml:space="preserve">priėmimo testavimas (angl. </w:t>
      </w:r>
      <w:r>
        <w:rPr>
          <w:rFonts w:ascii="Times New Roman" w:hAnsi="Times New Roman"/>
          <w:i/>
          <w:sz w:val="22"/>
        </w:rPr>
        <w:t>acceptance testing</w:t>
      </w:r>
      <w:r>
        <w:rPr>
          <w:rFonts w:ascii="Times New Roman" w:hAnsi="Times New Roman"/>
          <w:sz w:val="22"/>
        </w:rPr>
        <w:t>). Šis testavimas turi būti atliekamas tik gavus teigiamus saugos testavimo rezultatus dalyvaujant Diegėjui, VTEK ir kitoms suinteresuotoms šalims. Šio testavimo metu turi būti tikrinamas testavimo tikslų įgyvendinimas (įgyvendinimo lygio nustatymas). Priėmimo testavimo veiklos turi būti vykdomos remiantis apibrėžtu priėmimo testavimo planu ir metodika.</w:t>
      </w:r>
    </w:p>
    <w:p>
      <w:pPr>
        <w:pStyle w:val="ListParagraph"/>
        <w:numPr>
          <w:ilvl w:val="1"/>
          <w:numId w:val="2"/>
        </w:numPr>
        <w:spacing w:before="0" w:after="0"/>
        <w:jc w:val="both"/>
        <w:rPr>
          <w:rFonts w:ascii="Times New Roman" w:hAnsi="Times New Roman"/>
        </w:rPr>
      </w:pPr>
      <w:r>
        <w:rPr>
          <w:rFonts w:ascii="Times New Roman" w:hAnsi="Times New Roman"/>
          <w:sz w:val="22"/>
        </w:rPr>
        <w:t>priėmimo testavimas turi būti vykdomas VTEK arba Paslaugų teikėjo pateiktos techninės įrangos pagrindu. Jeigu priėmimo testavimo metu nebus galimybės testavimo vykdyti VTEK pateiktoje techninėje įrangoje, tuomet testavimas turės būti vykdomas naudojant Diegėjo pateiktą techninę įrangą (jos pagrindu veikiančią testinę aplinką). Tokiu atveju turės būti atliktas atskiras testavimas VTEK pateiktoje techninėje įrangoje siekiant įsitikinti, kad modernizuota PINREG dalis korektiškai veikia kitos techninės įrangos pagrindu.</w:t>
      </w:r>
    </w:p>
    <w:p>
      <w:pPr>
        <w:pStyle w:val="ListParagraph"/>
        <w:numPr>
          <w:ilvl w:val="1"/>
          <w:numId w:val="2"/>
        </w:numPr>
        <w:spacing w:before="0" w:after="0"/>
        <w:jc w:val="both"/>
        <w:rPr>
          <w:rFonts w:ascii="Times New Roman" w:hAnsi="Times New Roman"/>
        </w:rPr>
      </w:pPr>
      <w:r>
        <w:rPr>
          <w:rFonts w:ascii="Times New Roman" w:hAnsi="Times New Roman"/>
          <w:sz w:val="22"/>
        </w:rPr>
        <w:t xml:space="preserve">Diegėjas turi įdiegti modernizuotą PINREG į testavimo aplinką, kai VTEK sudarys tam technines ir organizacines sąlygas. </w:t>
      </w:r>
    </w:p>
    <w:p>
      <w:pPr>
        <w:pStyle w:val="ListParagraph"/>
        <w:numPr>
          <w:ilvl w:val="0"/>
          <w:numId w:val="2"/>
        </w:numPr>
        <w:spacing w:before="0" w:after="0"/>
        <w:jc w:val="both"/>
        <w:rPr>
          <w:rFonts w:ascii="Times New Roman" w:hAnsi="Times New Roman"/>
        </w:rPr>
      </w:pPr>
      <w:r>
        <w:rPr>
          <w:rFonts w:ascii="Times New Roman" w:hAnsi="Times New Roman"/>
          <w:sz w:val="22"/>
        </w:rPr>
        <w:t>Atliktas modernizuotos PINREG dalies testavimas turi užtikrinti, kad PINREG yra tinkamas bandomajai eksploatacijai.</w:t>
      </w:r>
    </w:p>
    <w:p>
      <w:pPr>
        <w:pStyle w:val="ListParagraph"/>
        <w:numPr>
          <w:ilvl w:val="0"/>
          <w:numId w:val="2"/>
        </w:numPr>
        <w:spacing w:before="0" w:after="0"/>
        <w:jc w:val="both"/>
        <w:rPr>
          <w:rFonts w:ascii="Times New Roman" w:hAnsi="Times New Roman"/>
        </w:rPr>
      </w:pPr>
      <w:r>
        <w:rPr>
          <w:rFonts w:ascii="Times New Roman" w:hAnsi="Times New Roman"/>
          <w:sz w:val="22"/>
        </w:rPr>
        <w:t xml:space="preserve">Priėmimo testavimo metu turi būti vykdomas identifikuotų klaidų, problemų ir trūkumų registravimas. Už registravimą atsakingas Diegėjas. </w:t>
      </w:r>
    </w:p>
    <w:p>
      <w:pPr>
        <w:pStyle w:val="ListParagraph"/>
        <w:numPr>
          <w:ilvl w:val="0"/>
          <w:numId w:val="2"/>
        </w:numPr>
        <w:spacing w:before="0" w:after="0"/>
        <w:jc w:val="both"/>
        <w:rPr>
          <w:rFonts w:ascii="Times New Roman" w:hAnsi="Times New Roman"/>
        </w:rPr>
      </w:pPr>
      <w:r>
        <w:rPr>
          <w:rFonts w:ascii="Times New Roman" w:hAnsi="Times New Roman"/>
          <w:sz w:val="22"/>
        </w:rPr>
        <w:t xml:space="preserve">Klaidų žurnalas turi būti specializuota problemų registravimo ir sekimo programinė įranga (angl. </w:t>
      </w:r>
      <w:r>
        <w:rPr>
          <w:rFonts w:ascii="Times New Roman" w:hAnsi="Times New Roman"/>
          <w:i/>
          <w:sz w:val="22"/>
        </w:rPr>
        <w:t>issue tracking software</w:t>
      </w:r>
      <w:r>
        <w:rPr>
          <w:rFonts w:ascii="Times New Roman" w:hAnsi="Times New Roman"/>
          <w:sz w:val="22"/>
        </w:rPr>
        <w:t>), paremta tinklinėmis technologijomis, t. y. pasiekiama naudojant interneto naršyklę.</w:t>
      </w:r>
    </w:p>
    <w:p>
      <w:pPr>
        <w:pStyle w:val="ListParagraph"/>
        <w:numPr>
          <w:ilvl w:val="0"/>
          <w:numId w:val="2"/>
        </w:numPr>
        <w:spacing w:before="0" w:after="0"/>
        <w:jc w:val="both"/>
        <w:rPr>
          <w:rFonts w:ascii="Times New Roman" w:hAnsi="Times New Roman"/>
        </w:rPr>
      </w:pPr>
      <w:r>
        <w:rPr>
          <w:rFonts w:ascii="Times New Roman" w:hAnsi="Times New Roman"/>
          <w:sz w:val="22"/>
        </w:rPr>
        <w:t>Diegėjas turės parengti visus testavimui reikalingus testavimo duomenis.</w:t>
      </w:r>
    </w:p>
    <w:p>
      <w:pPr>
        <w:pStyle w:val="ListParagraph"/>
        <w:numPr>
          <w:ilvl w:val="0"/>
          <w:numId w:val="2"/>
        </w:numPr>
        <w:spacing w:before="0" w:after="0"/>
        <w:jc w:val="both"/>
        <w:rPr>
          <w:rFonts w:ascii="Times New Roman" w:hAnsi="Times New Roman"/>
        </w:rPr>
      </w:pPr>
      <w:r>
        <w:rPr>
          <w:rFonts w:ascii="Times New Roman" w:hAnsi="Times New Roman"/>
          <w:sz w:val="22"/>
        </w:rPr>
        <w:t>Diegėjas turės užtikrinti, kad priėmimo testavimo metu modernizuotoje PINREG dalyje būtų pakankamai testinių duomenų, kurie leistų visiškai ištestuoti modernizuoto PINREG funkcionalumus.</w:t>
      </w:r>
    </w:p>
    <w:p>
      <w:pPr>
        <w:pStyle w:val="ListParagraph"/>
        <w:numPr>
          <w:ilvl w:val="0"/>
          <w:numId w:val="2"/>
        </w:numPr>
        <w:spacing w:before="0" w:after="0"/>
        <w:jc w:val="both"/>
        <w:rPr>
          <w:rFonts w:ascii="Times New Roman" w:hAnsi="Times New Roman"/>
        </w:rPr>
      </w:pPr>
      <w:r>
        <w:rPr>
          <w:rFonts w:ascii="Times New Roman" w:hAnsi="Times New Roman"/>
          <w:sz w:val="22"/>
        </w:rPr>
        <w:t>Priėmimo testavimas bus užbaigiamas, kai bus tenkinami testavimo plane ir metodikoje įvardinti testavimo priėmimo kriterijai.</w:t>
      </w:r>
    </w:p>
    <w:p>
      <w:pPr>
        <w:pStyle w:val="ListParagraph"/>
        <w:numPr>
          <w:ilvl w:val="0"/>
          <w:numId w:val="2"/>
        </w:numPr>
        <w:spacing w:before="0" w:after="0"/>
        <w:jc w:val="both"/>
        <w:rPr>
          <w:rFonts w:ascii="Times New Roman" w:hAnsi="Times New Roman"/>
        </w:rPr>
      </w:pPr>
      <w:r>
        <w:rPr>
          <w:rFonts w:ascii="Times New Roman" w:hAnsi="Times New Roman"/>
          <w:sz w:val="22"/>
        </w:rPr>
        <w:t>Našumo ir greitaveikos testavimo tikslai yra šie:</w:t>
      </w:r>
    </w:p>
    <w:p>
      <w:pPr>
        <w:pStyle w:val="ListParagraph"/>
        <w:numPr>
          <w:ilvl w:val="1"/>
          <w:numId w:val="2"/>
        </w:numPr>
        <w:spacing w:before="0" w:after="0"/>
        <w:jc w:val="both"/>
        <w:rPr>
          <w:rFonts w:ascii="Times New Roman" w:hAnsi="Times New Roman"/>
        </w:rPr>
      </w:pPr>
      <w:r>
        <w:rPr>
          <w:rFonts w:ascii="Times New Roman" w:hAnsi="Times New Roman"/>
          <w:sz w:val="22"/>
        </w:rPr>
        <w:t>įsitikinti, kad PINREG pajėgus funkcionuoti esant apkrovimui, kuris buvo suderintas su VTEK;</w:t>
      </w:r>
    </w:p>
    <w:p>
      <w:pPr>
        <w:pStyle w:val="ListParagraph"/>
        <w:numPr>
          <w:ilvl w:val="1"/>
          <w:numId w:val="2"/>
        </w:numPr>
        <w:spacing w:before="0" w:after="0"/>
        <w:jc w:val="both"/>
        <w:rPr>
          <w:rFonts w:ascii="Times New Roman" w:hAnsi="Times New Roman"/>
        </w:rPr>
      </w:pPr>
      <w:r>
        <w:rPr>
          <w:rFonts w:ascii="Times New Roman" w:hAnsi="Times New Roman"/>
          <w:sz w:val="22"/>
        </w:rPr>
        <w:t>nustatyti PINREG veikimo parametrus (reakcijos laiką, transakcijos greitį ir kt.).</w:t>
      </w:r>
    </w:p>
    <w:p>
      <w:pPr>
        <w:pStyle w:val="ListParagraph"/>
        <w:numPr>
          <w:ilvl w:val="0"/>
          <w:numId w:val="2"/>
        </w:numPr>
        <w:spacing w:before="0" w:after="0"/>
        <w:jc w:val="both"/>
        <w:rPr>
          <w:rFonts w:ascii="Times New Roman" w:hAnsi="Times New Roman"/>
        </w:rPr>
      </w:pPr>
      <w:r>
        <w:rPr>
          <w:rFonts w:ascii="Times New Roman" w:hAnsi="Times New Roman"/>
          <w:sz w:val="22"/>
        </w:rPr>
        <w:t>Našumo ir greitaveikos testavimui keliami reikalavimai:</w:t>
      </w:r>
    </w:p>
    <w:p>
      <w:pPr>
        <w:pStyle w:val="ListParagraph"/>
        <w:numPr>
          <w:ilvl w:val="1"/>
          <w:numId w:val="2"/>
        </w:numPr>
        <w:spacing w:before="0" w:after="0"/>
        <w:jc w:val="both"/>
        <w:rPr>
          <w:rFonts w:ascii="Times New Roman" w:hAnsi="Times New Roman"/>
        </w:rPr>
      </w:pPr>
      <w:r>
        <w:rPr>
          <w:rFonts w:ascii="Times New Roman" w:hAnsi="Times New Roman"/>
          <w:sz w:val="22"/>
        </w:rPr>
        <w:t xml:space="preserve">apkrovos ir greitaveikos testavimas turi būti atliekamas siekiant įvertinti modernizuotos PINREG pajėgumą; </w:t>
      </w:r>
    </w:p>
    <w:p>
      <w:pPr>
        <w:pStyle w:val="ListParagraph"/>
        <w:numPr>
          <w:ilvl w:val="1"/>
          <w:numId w:val="2"/>
        </w:numPr>
        <w:spacing w:before="0" w:after="0"/>
        <w:jc w:val="both"/>
        <w:rPr>
          <w:rFonts w:ascii="Times New Roman" w:hAnsi="Times New Roman"/>
        </w:rPr>
      </w:pPr>
      <w:r>
        <w:rPr>
          <w:rFonts w:ascii="Times New Roman" w:hAnsi="Times New Roman"/>
          <w:sz w:val="22"/>
        </w:rPr>
        <w:t>testavimas turi būti atliekamas pagal testavimo reikalavimus, kurie yra keliami šioje techninėje specifikacijoje;</w:t>
      </w:r>
    </w:p>
    <w:p>
      <w:pPr>
        <w:pStyle w:val="ListParagraph"/>
        <w:numPr>
          <w:ilvl w:val="0"/>
          <w:numId w:val="2"/>
        </w:numPr>
        <w:spacing w:before="0" w:after="0"/>
        <w:jc w:val="both"/>
        <w:rPr>
          <w:rFonts w:ascii="Times New Roman" w:hAnsi="Times New Roman"/>
        </w:rPr>
      </w:pPr>
      <w:r>
        <w:rPr>
          <w:rFonts w:ascii="Times New Roman" w:hAnsi="Times New Roman"/>
          <w:sz w:val="22"/>
        </w:rPr>
        <w:t>Našumo ir greitaveikos testavimo ataskaitos turinį turi sudaryti (sąrašas nėra baigtinis):</w:t>
      </w:r>
    </w:p>
    <w:p>
      <w:pPr>
        <w:pStyle w:val="ListParagraph"/>
        <w:numPr>
          <w:ilvl w:val="1"/>
          <w:numId w:val="2"/>
        </w:numPr>
        <w:spacing w:before="0" w:after="0"/>
        <w:jc w:val="both"/>
        <w:rPr>
          <w:rFonts w:ascii="Times New Roman" w:hAnsi="Times New Roman"/>
        </w:rPr>
      </w:pPr>
      <w:r>
        <w:rPr>
          <w:rFonts w:ascii="Times New Roman" w:hAnsi="Times New Roman"/>
          <w:sz w:val="22"/>
        </w:rPr>
        <w:t>Testavimo metodikos aprašymas;</w:t>
      </w:r>
    </w:p>
    <w:p>
      <w:pPr>
        <w:pStyle w:val="ListParagraph"/>
        <w:numPr>
          <w:ilvl w:val="1"/>
          <w:numId w:val="2"/>
        </w:numPr>
        <w:spacing w:before="0" w:after="0"/>
        <w:jc w:val="both"/>
        <w:rPr>
          <w:rFonts w:ascii="Times New Roman" w:hAnsi="Times New Roman"/>
        </w:rPr>
      </w:pPr>
      <w:r>
        <w:rPr>
          <w:rFonts w:ascii="Times New Roman" w:hAnsi="Times New Roman"/>
          <w:sz w:val="22"/>
        </w:rPr>
        <w:t>Testavimo eiga ir aptiktos problemos;</w:t>
      </w:r>
    </w:p>
    <w:p>
      <w:pPr>
        <w:pStyle w:val="ListParagraph"/>
        <w:numPr>
          <w:ilvl w:val="1"/>
          <w:numId w:val="2"/>
        </w:numPr>
        <w:spacing w:before="0" w:after="0"/>
        <w:jc w:val="both"/>
        <w:rPr>
          <w:rFonts w:ascii="Times New Roman" w:hAnsi="Times New Roman"/>
        </w:rPr>
      </w:pPr>
      <w:r>
        <w:rPr>
          <w:rFonts w:ascii="Times New Roman" w:hAnsi="Times New Roman"/>
          <w:sz w:val="22"/>
        </w:rPr>
        <w:t>Greitaveikos problemų pašalinimo būdai / priemonės;</w:t>
      </w:r>
    </w:p>
    <w:p>
      <w:pPr>
        <w:pStyle w:val="ListParagraph"/>
        <w:numPr>
          <w:ilvl w:val="1"/>
          <w:numId w:val="2"/>
        </w:numPr>
        <w:spacing w:before="0" w:after="0"/>
        <w:jc w:val="both"/>
        <w:rPr>
          <w:rFonts w:ascii="Times New Roman" w:hAnsi="Times New Roman"/>
        </w:rPr>
      </w:pPr>
      <w:r>
        <w:rPr>
          <w:rFonts w:ascii="Times New Roman" w:hAnsi="Times New Roman"/>
          <w:sz w:val="22"/>
        </w:rPr>
        <w:t>Testavimo rezultatų aprašymas.</w:t>
      </w:r>
    </w:p>
    <w:p>
      <w:pPr>
        <w:pStyle w:val="Heading3"/>
        <w:keepLines w:val="false"/>
        <w:numPr>
          <w:ilvl w:val="2"/>
          <w:numId w:val="1"/>
        </w:numPr>
        <w:spacing w:lineRule="auto" w:line="276" w:before="240" w:afterAutospacing="1"/>
        <w:ind w:hanging="709" w:left="709"/>
        <w:jc w:val="both"/>
        <w:rPr>
          <w:rFonts w:ascii="Times New Roman" w:hAnsi="Times New Roman"/>
        </w:rPr>
      </w:pPr>
      <w:bookmarkStart w:id="63" w:name="_Toc151027918"/>
      <w:r>
        <w:rPr>
          <w:rFonts w:ascii="Times New Roman" w:hAnsi="Times New Roman"/>
          <w:sz w:val="22"/>
          <w:szCs w:val="22"/>
        </w:rPr>
        <w:t>Reikalavimai diegimui</w:t>
      </w:r>
      <w:bookmarkEnd w:id="63"/>
    </w:p>
    <w:p>
      <w:pPr>
        <w:pStyle w:val="ListParagraph"/>
        <w:numPr>
          <w:ilvl w:val="0"/>
          <w:numId w:val="2"/>
        </w:numPr>
        <w:spacing w:before="0" w:after="0"/>
        <w:jc w:val="both"/>
        <w:rPr>
          <w:rFonts w:ascii="Times New Roman" w:hAnsi="Times New Roman"/>
        </w:rPr>
      </w:pPr>
      <w:r>
        <w:rPr>
          <w:rFonts w:ascii="Times New Roman" w:hAnsi="Times New Roman"/>
          <w:sz w:val="22"/>
        </w:rPr>
        <w:t>Diegėjas turės įdiegti PINREG į VTEK nurodyta techninę įrangą bei atlikti techninės ir programinės įrangos konfigūravimo darbus (jei tokie yra reikalingi), kad būtų užtikrintas tinkamas PINREG darbinės aplinkos veikimas.</w:t>
      </w:r>
    </w:p>
    <w:p>
      <w:pPr>
        <w:pStyle w:val="ListParagraph"/>
        <w:numPr>
          <w:ilvl w:val="0"/>
          <w:numId w:val="2"/>
        </w:numPr>
        <w:spacing w:before="0" w:after="0"/>
        <w:jc w:val="both"/>
        <w:rPr>
          <w:rFonts w:ascii="Times New Roman" w:hAnsi="Times New Roman"/>
        </w:rPr>
      </w:pPr>
      <w:r>
        <w:rPr>
          <w:rFonts w:ascii="Times New Roman" w:hAnsi="Times New Roman"/>
          <w:sz w:val="22"/>
        </w:rPr>
        <w:t>Diegėjas turi užtikrinti VTEK darbuotojų konsultavimą visais su PINREG programinės įrangos diegimu susijusiais klausimais.</w:t>
      </w:r>
    </w:p>
    <w:p>
      <w:pPr>
        <w:pStyle w:val="ListParagraph"/>
        <w:numPr>
          <w:ilvl w:val="0"/>
          <w:numId w:val="2"/>
        </w:numPr>
        <w:spacing w:before="0" w:after="0"/>
        <w:jc w:val="both"/>
        <w:rPr>
          <w:rFonts w:ascii="Times New Roman" w:hAnsi="Times New Roman"/>
        </w:rPr>
      </w:pPr>
      <w:r>
        <w:rPr>
          <w:rFonts w:ascii="Times New Roman" w:hAnsi="Times New Roman"/>
          <w:sz w:val="22"/>
        </w:rPr>
        <w:t>Diegėjas turi dokumentuoti programinės įrangos diegimo į PINREG testinę ir darbinę aplinkas procesą bei pateikti tam reikalingas programines priemones. Procesas turi būti dokumentuotas taip, kad:</w:t>
      </w:r>
    </w:p>
    <w:p>
      <w:pPr>
        <w:pStyle w:val="ListParagraph"/>
        <w:numPr>
          <w:ilvl w:val="1"/>
          <w:numId w:val="2"/>
        </w:numPr>
        <w:spacing w:before="0" w:after="0"/>
        <w:jc w:val="both"/>
        <w:rPr>
          <w:rFonts w:ascii="Times New Roman" w:hAnsi="Times New Roman"/>
        </w:rPr>
      </w:pPr>
      <w:r>
        <w:rPr>
          <w:rFonts w:ascii="Times New Roman" w:hAnsi="Times New Roman"/>
          <w:sz w:val="22"/>
        </w:rPr>
        <w:t xml:space="preserve">atsakingas VTEK darbuotojas iš pateiktų išeities tekstų galėtų pagaminti (angl. </w:t>
      </w:r>
      <w:r>
        <w:rPr>
          <w:rFonts w:ascii="Times New Roman" w:hAnsi="Times New Roman"/>
          <w:i/>
          <w:sz w:val="22"/>
        </w:rPr>
        <w:t>build</w:t>
      </w:r>
      <w:r>
        <w:rPr>
          <w:rFonts w:ascii="Times New Roman" w:hAnsi="Times New Roman"/>
          <w:sz w:val="22"/>
        </w:rPr>
        <w:t>) programinę įrangą bei valdyti gaminimo konfigūraciją;</w:t>
      </w:r>
    </w:p>
    <w:p>
      <w:pPr>
        <w:pStyle w:val="ListParagraph"/>
        <w:numPr>
          <w:ilvl w:val="1"/>
          <w:numId w:val="2"/>
        </w:numPr>
        <w:spacing w:before="0" w:after="0"/>
        <w:jc w:val="both"/>
        <w:rPr>
          <w:rFonts w:ascii="Times New Roman" w:hAnsi="Times New Roman"/>
        </w:rPr>
      </w:pPr>
      <w:r>
        <w:rPr>
          <w:rFonts w:ascii="Times New Roman" w:hAnsi="Times New Roman"/>
          <w:sz w:val="22"/>
        </w:rPr>
        <w:t>atsakingas VTEK darbuotojas programinę įrangą galėtų įdiegti į testinę ir darbinę aplinką bei valdyti diegimo konfigūraciją.</w:t>
      </w:r>
    </w:p>
    <w:p>
      <w:pPr>
        <w:pStyle w:val="Heading3"/>
        <w:keepLines w:val="false"/>
        <w:numPr>
          <w:ilvl w:val="2"/>
          <w:numId w:val="1"/>
        </w:numPr>
        <w:spacing w:lineRule="auto" w:line="276" w:before="240" w:afterAutospacing="1"/>
        <w:ind w:hanging="709" w:left="709"/>
        <w:jc w:val="both"/>
        <w:rPr>
          <w:rFonts w:ascii="Times New Roman" w:hAnsi="Times New Roman"/>
        </w:rPr>
      </w:pPr>
      <w:bookmarkStart w:id="64" w:name="_Toc151027919"/>
      <w:r>
        <w:rPr>
          <w:rFonts w:ascii="Times New Roman" w:hAnsi="Times New Roman"/>
          <w:sz w:val="22"/>
          <w:szCs w:val="22"/>
        </w:rPr>
        <w:t>Reikalavimai bandomajai eksploatacijai</w:t>
      </w:r>
      <w:bookmarkEnd w:id="64"/>
    </w:p>
    <w:p>
      <w:pPr>
        <w:pStyle w:val="ListParagraph"/>
        <w:numPr>
          <w:ilvl w:val="0"/>
          <w:numId w:val="2"/>
        </w:numPr>
        <w:spacing w:before="0" w:after="0"/>
        <w:jc w:val="both"/>
        <w:rPr>
          <w:rFonts w:ascii="Times New Roman" w:hAnsi="Times New Roman"/>
        </w:rPr>
      </w:pPr>
      <w:r>
        <w:rPr>
          <w:rFonts w:ascii="Times New Roman" w:hAnsi="Times New Roman"/>
          <w:sz w:val="22"/>
        </w:rPr>
        <w:t>Turi būti atlikta modernizuoto PINREG bandomoji eksploatacija.</w:t>
      </w:r>
    </w:p>
    <w:p>
      <w:pPr>
        <w:pStyle w:val="ListParagraph"/>
        <w:numPr>
          <w:ilvl w:val="0"/>
          <w:numId w:val="2"/>
        </w:numPr>
        <w:spacing w:before="0" w:after="0"/>
        <w:jc w:val="both"/>
        <w:rPr>
          <w:rFonts w:ascii="Times New Roman" w:hAnsi="Times New Roman"/>
        </w:rPr>
      </w:pPr>
      <w:r>
        <w:rPr>
          <w:rFonts w:ascii="Times New Roman" w:hAnsi="Times New Roman"/>
          <w:sz w:val="22"/>
        </w:rPr>
        <w:t xml:space="preserve">Bandomosios eksploatacijos tikslai: </w:t>
      </w:r>
    </w:p>
    <w:p>
      <w:pPr>
        <w:pStyle w:val="ListParagraph"/>
        <w:numPr>
          <w:ilvl w:val="1"/>
          <w:numId w:val="2"/>
        </w:numPr>
        <w:spacing w:before="0" w:after="0"/>
        <w:jc w:val="both"/>
        <w:rPr>
          <w:rFonts w:ascii="Times New Roman" w:hAnsi="Times New Roman"/>
        </w:rPr>
      </w:pPr>
      <w:r>
        <w:rPr>
          <w:rFonts w:ascii="Times New Roman" w:hAnsi="Times New Roman"/>
          <w:sz w:val="22"/>
        </w:rPr>
        <w:t>užtikrinti modernizuoto PINREG kokybę;</w:t>
      </w:r>
    </w:p>
    <w:p>
      <w:pPr>
        <w:pStyle w:val="ListParagraph"/>
        <w:numPr>
          <w:ilvl w:val="1"/>
          <w:numId w:val="2"/>
        </w:numPr>
        <w:spacing w:before="0" w:after="0"/>
        <w:jc w:val="both"/>
        <w:rPr>
          <w:rFonts w:ascii="Times New Roman" w:hAnsi="Times New Roman"/>
        </w:rPr>
      </w:pPr>
      <w:r>
        <w:rPr>
          <w:rFonts w:ascii="Times New Roman" w:hAnsi="Times New Roman"/>
          <w:sz w:val="22"/>
        </w:rPr>
        <w:t>išbandyti gamybinę modernizuoto PINREG komponentų konfigūraciją;</w:t>
      </w:r>
    </w:p>
    <w:p>
      <w:pPr>
        <w:pStyle w:val="ListParagraph"/>
        <w:numPr>
          <w:ilvl w:val="1"/>
          <w:numId w:val="2"/>
        </w:numPr>
        <w:spacing w:before="0" w:after="0"/>
        <w:jc w:val="both"/>
        <w:rPr>
          <w:rFonts w:ascii="Times New Roman" w:hAnsi="Times New Roman"/>
        </w:rPr>
      </w:pPr>
      <w:r>
        <w:rPr>
          <w:rFonts w:ascii="Times New Roman" w:hAnsi="Times New Roman"/>
          <w:sz w:val="22"/>
        </w:rPr>
        <w:t>identifikuoti ir pašalinti bandomosios eksploatacijos metu pastebėtus defektus;</w:t>
      </w:r>
    </w:p>
    <w:p>
      <w:pPr>
        <w:pStyle w:val="ListParagraph"/>
        <w:numPr>
          <w:ilvl w:val="1"/>
          <w:numId w:val="2"/>
        </w:numPr>
        <w:spacing w:before="0" w:after="0"/>
        <w:jc w:val="both"/>
        <w:rPr>
          <w:rFonts w:ascii="Times New Roman" w:hAnsi="Times New Roman"/>
        </w:rPr>
      </w:pPr>
      <w:r>
        <w:rPr>
          <w:rFonts w:ascii="Times New Roman" w:hAnsi="Times New Roman"/>
          <w:sz w:val="22"/>
        </w:rPr>
        <w:t>stabilizuoti darbinės aplinkos konfigūraciją, atsižvelgiant į bandomosios eksploatacijos metu sukauptą patirtį.</w:t>
      </w:r>
    </w:p>
    <w:p>
      <w:pPr>
        <w:pStyle w:val="ListParagraph"/>
        <w:numPr>
          <w:ilvl w:val="0"/>
          <w:numId w:val="2"/>
        </w:numPr>
        <w:spacing w:before="0" w:after="0"/>
        <w:jc w:val="both"/>
        <w:rPr>
          <w:rFonts w:ascii="Times New Roman" w:hAnsi="Times New Roman"/>
        </w:rPr>
      </w:pPr>
      <w:r>
        <w:rPr>
          <w:rFonts w:ascii="Times New Roman" w:hAnsi="Times New Roman"/>
          <w:sz w:val="22"/>
        </w:rPr>
        <w:t>Bandomosios eksploatacijos veiklas Diegėjas turės vykdyti pagal su VTEK suderintą bandomosios eksploatacijos planą.</w:t>
      </w:r>
    </w:p>
    <w:p>
      <w:pPr>
        <w:pStyle w:val="ListParagraph"/>
        <w:numPr>
          <w:ilvl w:val="0"/>
          <w:numId w:val="2"/>
        </w:numPr>
        <w:spacing w:before="0" w:after="0"/>
        <w:jc w:val="both"/>
        <w:rPr>
          <w:rFonts w:ascii="Times New Roman" w:hAnsi="Times New Roman"/>
        </w:rPr>
      </w:pPr>
      <w:r>
        <w:rPr>
          <w:rFonts w:ascii="Times New Roman" w:hAnsi="Times New Roman"/>
          <w:sz w:val="22"/>
        </w:rPr>
        <w:t>Modernizuoto PINREG bandomoji eksploatacija turi būti vykdoma PINREG eksploatacinėje aplinkoje.</w:t>
      </w:r>
    </w:p>
    <w:p>
      <w:pPr>
        <w:pStyle w:val="ListParagraph"/>
        <w:numPr>
          <w:ilvl w:val="0"/>
          <w:numId w:val="2"/>
        </w:numPr>
        <w:spacing w:before="0" w:after="0"/>
        <w:jc w:val="both"/>
        <w:rPr>
          <w:rFonts w:ascii="Times New Roman" w:hAnsi="Times New Roman"/>
        </w:rPr>
      </w:pPr>
      <w:r>
        <w:rPr>
          <w:rFonts w:ascii="Times New Roman" w:hAnsi="Times New Roman"/>
          <w:sz w:val="22"/>
        </w:rPr>
        <w:t>Bandomoji eksploatacija yra baigiama, kai tenkinami bandomosios eksploatacijos priėmimo kriterijai, kurie pateikiami bandomosios eksploatacijos plane.</w:t>
      </w:r>
    </w:p>
    <w:p>
      <w:pPr>
        <w:pStyle w:val="ListParagraph"/>
        <w:numPr>
          <w:ilvl w:val="0"/>
          <w:numId w:val="2"/>
        </w:numPr>
        <w:spacing w:before="0" w:after="0"/>
        <w:jc w:val="both"/>
        <w:rPr>
          <w:rFonts w:ascii="Times New Roman" w:hAnsi="Times New Roman"/>
        </w:rPr>
      </w:pPr>
      <w:r>
        <w:rPr>
          <w:rFonts w:ascii="Times New Roman" w:hAnsi="Times New Roman"/>
          <w:sz w:val="22"/>
        </w:rPr>
        <w:t>Diegėjas po bandomosios eksploatacijos turi perduoti VTEK modernizuoto PINREG išeities kodą ir visos licencinės programinės įrangos instaliacinius paketus, kurie pateikiami elektroninėje laikmenoje ar kitu suderintu būdu. Kartu turi būti pateikiamas sukompiliuotas išeities kodas (parengtas diegimui).</w:t>
      </w:r>
    </w:p>
    <w:p>
      <w:pPr>
        <w:pStyle w:val="Heading3"/>
        <w:keepLines w:val="false"/>
        <w:numPr>
          <w:ilvl w:val="2"/>
          <w:numId w:val="1"/>
        </w:numPr>
        <w:spacing w:lineRule="auto" w:line="276" w:before="240" w:afterAutospacing="1"/>
        <w:ind w:hanging="709" w:left="709"/>
        <w:jc w:val="both"/>
        <w:rPr>
          <w:rFonts w:ascii="Times New Roman" w:hAnsi="Times New Roman"/>
        </w:rPr>
      </w:pPr>
      <w:bookmarkStart w:id="65" w:name="_Toc151027920"/>
      <w:r>
        <w:rPr>
          <w:rFonts w:ascii="Times New Roman" w:hAnsi="Times New Roman"/>
          <w:sz w:val="22"/>
          <w:szCs w:val="22"/>
        </w:rPr>
        <w:t>Reikalavimai mokymams</w:t>
      </w:r>
      <w:bookmarkEnd w:id="65"/>
    </w:p>
    <w:p>
      <w:pPr>
        <w:pStyle w:val="ListParagraph"/>
        <w:numPr>
          <w:ilvl w:val="0"/>
          <w:numId w:val="2"/>
        </w:numPr>
        <w:spacing w:before="0" w:after="0"/>
        <w:jc w:val="both"/>
        <w:rPr>
          <w:rFonts w:ascii="Times New Roman" w:hAnsi="Times New Roman"/>
        </w:rPr>
      </w:pPr>
      <w:r>
        <w:rPr>
          <w:rFonts w:ascii="Times New Roman" w:hAnsi="Times New Roman"/>
          <w:sz w:val="22"/>
        </w:rPr>
        <w:t xml:space="preserve">Diegėjas, pagal mokymų plane suderintą procedūrą ir tvarką, turi apmokyti būsimus naudotojus naudotis modernizuotu PINREG. </w:t>
      </w:r>
    </w:p>
    <w:p>
      <w:pPr>
        <w:pStyle w:val="ListParagraph"/>
        <w:numPr>
          <w:ilvl w:val="0"/>
          <w:numId w:val="2"/>
        </w:numPr>
        <w:spacing w:before="0" w:after="0"/>
        <w:jc w:val="both"/>
        <w:rPr>
          <w:rFonts w:ascii="Times New Roman" w:hAnsi="Times New Roman"/>
        </w:rPr>
      </w:pPr>
      <w:r>
        <w:rPr>
          <w:rFonts w:ascii="Times New Roman" w:hAnsi="Times New Roman"/>
          <w:sz w:val="22"/>
        </w:rPr>
        <w:t>Modernizuoto PINREG naudojimui turi būti apmokyti ne mažiau kaip 5 naudotojai (VTEK darbuotojai), mokymų trukmė – ne mažiau kai</w:t>
      </w:r>
      <w:r>
        <w:rPr>
          <w:rFonts w:ascii="Times New Roman" w:hAnsi="Times New Roman"/>
          <w:sz w:val="22"/>
          <w:shd w:fill="FFFFFF" w:val="clear"/>
        </w:rPr>
        <w:t xml:space="preserve">p 2 </w:t>
      </w:r>
      <w:r>
        <w:rPr>
          <w:rFonts w:ascii="Times New Roman" w:hAnsi="Times New Roman"/>
          <w:sz w:val="22"/>
        </w:rPr>
        <w:t>val.;</w:t>
      </w:r>
    </w:p>
    <w:p>
      <w:pPr>
        <w:pStyle w:val="ListParagraph"/>
        <w:numPr>
          <w:ilvl w:val="0"/>
          <w:numId w:val="2"/>
        </w:numPr>
        <w:spacing w:before="0" w:after="0"/>
        <w:jc w:val="both"/>
        <w:rPr>
          <w:rFonts w:ascii="Times New Roman" w:hAnsi="Times New Roman"/>
        </w:rPr>
      </w:pPr>
      <w:r>
        <w:rPr>
          <w:rFonts w:ascii="Times New Roman" w:hAnsi="Times New Roman"/>
          <w:sz w:val="22"/>
        </w:rPr>
        <w:t>Diegėjas su VTEK turi suderinti tikslų mokymuose dalyvaujančių asmenų skaičių ir nurodyti tai mokymų plane.</w:t>
      </w:r>
    </w:p>
    <w:p>
      <w:pPr>
        <w:pStyle w:val="ListParagraph"/>
        <w:numPr>
          <w:ilvl w:val="0"/>
          <w:numId w:val="2"/>
        </w:numPr>
        <w:spacing w:before="0" w:after="0"/>
        <w:jc w:val="both"/>
        <w:rPr>
          <w:rFonts w:ascii="Times New Roman" w:hAnsi="Times New Roman"/>
        </w:rPr>
      </w:pPr>
      <w:r>
        <w:rPr>
          <w:rFonts w:ascii="Times New Roman" w:hAnsi="Times New Roman"/>
          <w:sz w:val="22"/>
        </w:rPr>
        <w:t>VTEK atsakingas už mokymų vietą, Diegėjas atsakingas už mokymų medžiagos ir priemonių mokymams parengimą.</w:t>
      </w:r>
    </w:p>
    <w:p>
      <w:pPr>
        <w:pStyle w:val="ListParagraph"/>
        <w:numPr>
          <w:ilvl w:val="0"/>
          <w:numId w:val="2"/>
        </w:numPr>
        <w:spacing w:before="0" w:after="0"/>
        <w:jc w:val="both"/>
        <w:rPr>
          <w:rFonts w:ascii="Times New Roman" w:hAnsi="Times New Roman"/>
        </w:rPr>
      </w:pPr>
      <w:r>
        <w:rPr>
          <w:rFonts w:ascii="Times New Roman" w:hAnsi="Times New Roman"/>
          <w:sz w:val="22"/>
        </w:rPr>
        <w:t xml:space="preserve">Diegėjas turi parengti (papildyti esamas) modernizuotos PINREG dalies naudojimo ir administravimo instrukcijas. </w:t>
      </w:r>
    </w:p>
    <w:p>
      <w:pPr>
        <w:pStyle w:val="ListParagraph"/>
        <w:numPr>
          <w:ilvl w:val="0"/>
          <w:numId w:val="2"/>
        </w:numPr>
        <w:spacing w:before="0" w:after="0"/>
        <w:jc w:val="both"/>
        <w:rPr>
          <w:rFonts w:ascii="Times New Roman" w:hAnsi="Times New Roman"/>
        </w:rPr>
      </w:pPr>
      <w:r>
        <w:rPr>
          <w:rFonts w:ascii="Times New Roman" w:hAnsi="Times New Roman"/>
          <w:sz w:val="22"/>
        </w:rPr>
        <w:t>Naudotojai turi būti apmokyti naudotis modernizuoto PINREG funkcionalumais. Detalios mokymų sritys turės būti suderintos Diegėjui rengiant mokymų planą ir medžiagą.</w:t>
      </w:r>
    </w:p>
    <w:p>
      <w:pPr>
        <w:pStyle w:val="ListParagraph"/>
        <w:numPr>
          <w:ilvl w:val="0"/>
          <w:numId w:val="2"/>
        </w:numPr>
        <w:spacing w:before="0" w:after="0"/>
        <w:jc w:val="both"/>
        <w:rPr>
          <w:rFonts w:ascii="Times New Roman" w:hAnsi="Times New Roman"/>
        </w:rPr>
      </w:pPr>
      <w:r>
        <w:rPr>
          <w:rFonts w:ascii="Times New Roman" w:hAnsi="Times New Roman"/>
          <w:sz w:val="22"/>
        </w:rPr>
        <w:t>Mokymai turi būti atlikti iki bandomosios eksploatacijos pradžios.</w:t>
      </w:r>
    </w:p>
    <w:p>
      <w:pPr>
        <w:pStyle w:val="Heading3"/>
        <w:keepLines w:val="false"/>
        <w:numPr>
          <w:ilvl w:val="2"/>
          <w:numId w:val="1"/>
        </w:numPr>
        <w:spacing w:lineRule="auto" w:line="276" w:before="240" w:afterAutospacing="1"/>
        <w:ind w:hanging="709" w:left="709"/>
        <w:jc w:val="both"/>
        <w:rPr>
          <w:rFonts w:ascii="Times New Roman" w:hAnsi="Times New Roman"/>
        </w:rPr>
      </w:pPr>
      <w:bookmarkStart w:id="66" w:name="_Toc151027921"/>
      <w:r>
        <w:rPr>
          <w:rFonts w:ascii="Times New Roman" w:hAnsi="Times New Roman"/>
          <w:sz w:val="22"/>
          <w:szCs w:val="22"/>
        </w:rPr>
        <w:t>Reikalavimai galutiniam modernizuoto PINREG priėmimui</w:t>
      </w:r>
      <w:bookmarkEnd w:id="66"/>
    </w:p>
    <w:p>
      <w:pPr>
        <w:pStyle w:val="ListParagraph"/>
        <w:numPr>
          <w:ilvl w:val="0"/>
          <w:numId w:val="2"/>
        </w:numPr>
        <w:spacing w:before="0" w:after="0"/>
        <w:jc w:val="both"/>
        <w:rPr>
          <w:rFonts w:ascii="Times New Roman" w:hAnsi="Times New Roman"/>
        </w:rPr>
      </w:pPr>
      <w:r>
        <w:rPr>
          <w:rFonts w:ascii="Times New Roman" w:hAnsi="Times New Roman"/>
          <w:sz w:val="22"/>
        </w:rPr>
        <w:t>Galutinis modernizuoto PINREG priėmimas bus vykdomas pasibaigus bandomajai eksploatacijai, t. y. priėmimas galės būti vykdomas tik tada, kai bus pasiekti bandomosios eksploatacijos priėmimo kriterijai.</w:t>
      </w:r>
    </w:p>
    <w:p>
      <w:pPr>
        <w:pStyle w:val="ListParagraph"/>
        <w:numPr>
          <w:ilvl w:val="0"/>
          <w:numId w:val="2"/>
        </w:numPr>
        <w:spacing w:before="0" w:after="0"/>
        <w:jc w:val="both"/>
        <w:rPr>
          <w:rFonts w:ascii="Times New Roman" w:hAnsi="Times New Roman"/>
        </w:rPr>
      </w:pPr>
      <w:r>
        <w:rPr>
          <w:rFonts w:ascii="Times New Roman" w:hAnsi="Times New Roman"/>
          <w:sz w:val="22"/>
        </w:rPr>
        <w:t>Modernizuotas PINREG bus priimamas pasirašant perdavimo - priėmimo aktą.</w:t>
      </w:r>
    </w:p>
    <w:p>
      <w:pPr>
        <w:pStyle w:val="ListParagraph"/>
        <w:numPr>
          <w:ilvl w:val="0"/>
          <w:numId w:val="2"/>
        </w:numPr>
        <w:spacing w:before="0" w:after="0"/>
        <w:jc w:val="both"/>
        <w:rPr>
          <w:rFonts w:ascii="Times New Roman" w:hAnsi="Times New Roman"/>
        </w:rPr>
      </w:pPr>
      <w:r>
        <w:rPr>
          <w:rFonts w:ascii="Times New Roman" w:hAnsi="Times New Roman"/>
          <w:sz w:val="22"/>
        </w:rPr>
        <w:t>Siekiant užtikrinti sklandų Projekto tęstinumą:</w:t>
      </w:r>
    </w:p>
    <w:p>
      <w:pPr>
        <w:pStyle w:val="ListParagraph"/>
        <w:numPr>
          <w:ilvl w:val="1"/>
          <w:numId w:val="2"/>
        </w:numPr>
        <w:spacing w:before="0" w:after="0"/>
        <w:jc w:val="both"/>
        <w:rPr>
          <w:rFonts w:ascii="Times New Roman" w:hAnsi="Times New Roman"/>
        </w:rPr>
      </w:pPr>
      <w:r>
        <w:rPr>
          <w:rFonts w:ascii="Times New Roman" w:hAnsi="Times New Roman"/>
          <w:sz w:val="22"/>
        </w:rPr>
        <w:t>Diegėjas, nepažeidžiant autoriaus teisių turėtojo ar trečiųjų šalių intelektinės nuosavybės teisių, sutartimi perduoda VTEK autorių turtines teises į pagal užsakymą sukurtą programinę įrangą ir parengtus projektinius dokumentus, įskaitant, bet neapsiribojant, teisę neribotą laiką ir be papildomo atlygio naudoti sukurtą programinę įrangą; teisę daryti sukurtos programinės įrangos kopijas; teisę modifikuoti ir toliau plėtoti sukurtą programinę įrangą; teisę perkelti programinę įrangą į kitą technologinę platformą; teisę naudoti ir keisti jai sukurtos programinės įrangos pradinį kodą (mašininės kalbos pradinius tekstus);</w:t>
      </w:r>
    </w:p>
    <w:p>
      <w:pPr>
        <w:pStyle w:val="ListParagraph"/>
        <w:numPr>
          <w:ilvl w:val="1"/>
          <w:numId w:val="2"/>
        </w:numPr>
        <w:spacing w:before="0" w:after="0"/>
        <w:jc w:val="both"/>
        <w:rPr>
          <w:rFonts w:ascii="Times New Roman" w:hAnsi="Times New Roman"/>
        </w:rPr>
      </w:pPr>
      <w:r>
        <w:rPr>
          <w:rFonts w:ascii="Times New Roman" w:hAnsi="Times New Roman"/>
          <w:sz w:val="22"/>
        </w:rPr>
        <w:t>jeigu pagal užsakymą sukurtoje programinėje įrangoje panaudota kita autoriaus teisių turėtojo ar trečiųjų šalių programinė įranga, kuri integruota į pagal užsakymą sukurtą programinę įrangą ar kitaip susieta su atliktu užsakymu ir autoriaus turtinių teisių į sukurtą programinę įrangą ar parengtus projektinius dokumentus, perdavimas VTEK, užsakiusiai sukurti programinę įrangą ar parengti projektinius dokumentus, neturi apriboti šias teises perdavusio Diegėjo teisės be atskiro VTEK sutikimo toliau vystyti, tobulinti, platinti ir atlikti kitus reikiamus veiksmus su sukurta programine įranga ar parengtais projektiniais dokumentais;</w:t>
      </w:r>
    </w:p>
    <w:p>
      <w:pPr>
        <w:pStyle w:val="ListParagraph"/>
        <w:numPr>
          <w:ilvl w:val="1"/>
          <w:numId w:val="2"/>
        </w:numPr>
        <w:spacing w:before="0" w:after="0"/>
        <w:jc w:val="both"/>
        <w:rPr>
          <w:rFonts w:ascii="Times New Roman" w:hAnsi="Times New Roman"/>
        </w:rPr>
      </w:pPr>
      <w:r>
        <w:rPr>
          <w:rFonts w:ascii="Times New Roman" w:hAnsi="Times New Roman"/>
          <w:sz w:val="22"/>
        </w:rPr>
        <w:t>kartu su kompiuterine programa, kaip ši sąvoka apibrėžta Lietuvos Respublikos autorių teisių ir gretutinių teisių įstatyme, VTEK perduodamas ir programos išeitinis kodas. Kompiuterių programos autoriaus asmeninės neturtinės teisės negali būti naudojamos tokiu būdu, kuris suvaržytų autorių turtinių teisių į šią kompiuterinę programą turėtojo teises, tarp jų ir teisę savo nuožiūra adaptuoti, keisti ir neatlygintinai platinti šiuos kūrinius. Šiame punkte numatytos autorių turtinės teisės, vadovaujantis Autorių teisių ir gretutinių teisių įstatymo ir Valstybės informacinių išteklių valdymo įstatymo 12 str. nuostatomis,  perduodamos ir suteikiamos Lietuvos Respublikos ir Europos Sąjungos šalių teritorijoje neribotam laikui;</w:t>
      </w:r>
    </w:p>
    <w:p>
      <w:pPr>
        <w:pStyle w:val="ListParagraph"/>
        <w:numPr>
          <w:ilvl w:val="1"/>
          <w:numId w:val="2"/>
        </w:numPr>
        <w:spacing w:before="0" w:after="0"/>
        <w:jc w:val="both"/>
        <w:rPr>
          <w:rFonts w:ascii="Times New Roman" w:hAnsi="Times New Roman"/>
        </w:rPr>
      </w:pPr>
      <w:r>
        <w:rPr>
          <w:rFonts w:ascii="Times New Roman" w:hAnsi="Times New Roman"/>
          <w:sz w:val="22"/>
        </w:rPr>
        <w:t xml:space="preserve">Diegėjas turi perduoti sukurtą programinę įrangą ir jos išeitinį kodą paslaugų perdavimo ir priėmimo akto pasirašymo datai; </w:t>
      </w:r>
    </w:p>
    <w:p>
      <w:pPr>
        <w:pStyle w:val="ListParagraph"/>
        <w:numPr>
          <w:ilvl w:val="1"/>
          <w:numId w:val="2"/>
        </w:numPr>
        <w:spacing w:before="0" w:after="0"/>
        <w:jc w:val="both"/>
        <w:rPr>
          <w:rFonts w:ascii="Times New Roman" w:hAnsi="Times New Roman"/>
        </w:rPr>
      </w:pPr>
      <w:r>
        <w:rPr>
          <w:rFonts w:ascii="Times New Roman" w:hAnsi="Times New Roman"/>
          <w:sz w:val="22"/>
        </w:rPr>
        <w:t>Diegėjas neturi teisės atskleisti jokios su paslaugų teikimu susijusios informacijos trečiosioms šalims be VTEK raštiško leidimo arba jei to reikalauja įstatymai.</w:t>
      </w:r>
    </w:p>
    <w:p>
      <w:pPr>
        <w:pStyle w:val="Heading3"/>
        <w:keepLines w:val="false"/>
        <w:numPr>
          <w:ilvl w:val="2"/>
          <w:numId w:val="1"/>
        </w:numPr>
        <w:spacing w:lineRule="auto" w:line="276" w:before="240" w:afterAutospacing="1"/>
        <w:ind w:hanging="709" w:left="709"/>
        <w:jc w:val="both"/>
        <w:rPr>
          <w:rFonts w:ascii="Times New Roman" w:hAnsi="Times New Roman"/>
        </w:rPr>
      </w:pPr>
      <w:bookmarkStart w:id="67" w:name="_Toc151027922"/>
      <w:bookmarkStart w:id="68" w:name="_Ref8256456"/>
      <w:r>
        <w:rPr>
          <w:rFonts w:ascii="Times New Roman" w:hAnsi="Times New Roman"/>
          <w:sz w:val="22"/>
          <w:szCs w:val="22"/>
        </w:rPr>
        <w:t>Reikalavimai garantinei priežiūrai</w:t>
      </w:r>
      <w:bookmarkEnd w:id="67"/>
      <w:bookmarkEnd w:id="68"/>
    </w:p>
    <w:p>
      <w:pPr>
        <w:pStyle w:val="ListParagraph"/>
        <w:numPr>
          <w:ilvl w:val="0"/>
          <w:numId w:val="2"/>
        </w:numPr>
        <w:spacing w:before="0" w:after="0"/>
        <w:jc w:val="both"/>
        <w:rPr>
          <w:rFonts w:ascii="Times New Roman" w:hAnsi="Times New Roman"/>
        </w:rPr>
      </w:pPr>
      <w:r>
        <w:rPr>
          <w:rFonts w:ascii="Times New Roman" w:hAnsi="Times New Roman"/>
          <w:sz w:val="22"/>
        </w:rPr>
        <w:t>Diegėjas privalės užtikrinti modernizuotos PINREG dalies garantinę priežiūrą.</w:t>
      </w:r>
    </w:p>
    <w:p>
      <w:pPr>
        <w:pStyle w:val="ListParagraph"/>
        <w:numPr>
          <w:ilvl w:val="0"/>
          <w:numId w:val="2"/>
        </w:numPr>
        <w:spacing w:before="0" w:after="0"/>
        <w:jc w:val="both"/>
        <w:rPr>
          <w:rFonts w:ascii="Times New Roman" w:hAnsi="Times New Roman"/>
        </w:rPr>
      </w:pPr>
      <w:r>
        <w:rPr>
          <w:rFonts w:ascii="Times New Roman" w:hAnsi="Times New Roman"/>
          <w:sz w:val="22"/>
        </w:rPr>
        <w:t>Garantinės priežiūros terminas 24 mėnesių nuo galutinio paslaugų perdavimo ir priėmimo akto pasirašymo datos.</w:t>
      </w:r>
    </w:p>
    <w:p>
      <w:pPr>
        <w:pStyle w:val="ListParagraph"/>
        <w:numPr>
          <w:ilvl w:val="0"/>
          <w:numId w:val="2"/>
        </w:numPr>
        <w:spacing w:before="0" w:after="0"/>
        <w:jc w:val="both"/>
        <w:rPr>
          <w:rFonts w:ascii="Times New Roman" w:hAnsi="Times New Roman"/>
        </w:rPr>
      </w:pPr>
      <w:r>
        <w:rPr>
          <w:rFonts w:ascii="Times New Roman" w:hAnsi="Times New Roman"/>
          <w:sz w:val="22"/>
        </w:rPr>
        <w:t>Garantinės priežiūros paslaugos apima modernizuotos PINREG dalies programinės įrangos sutrikimų šalinimą bei VTEK atsakingų asmenų konsultavimą.</w:t>
      </w:r>
    </w:p>
    <w:p>
      <w:pPr>
        <w:pStyle w:val="ListParagraph"/>
        <w:numPr>
          <w:ilvl w:val="0"/>
          <w:numId w:val="2"/>
        </w:numPr>
        <w:spacing w:before="0" w:after="0"/>
        <w:jc w:val="both"/>
        <w:rPr>
          <w:rFonts w:ascii="Times New Roman" w:hAnsi="Times New Roman"/>
        </w:rPr>
      </w:pPr>
      <w:r>
        <w:rPr>
          <w:rFonts w:ascii="Times New Roman" w:hAnsi="Times New Roman"/>
          <w:sz w:val="22"/>
        </w:rPr>
        <w:t xml:space="preserve">Diegėjas turi vykdyti VTEK atsakingų asmenų konsultavimą modernizuotos PINREG dalies veikimo, naudojimo bei tobulinimo klausimais. Konsultacijos turi būti teikiamos telefonu, el. paštu, naudojant priežiūros tarnybos (angl. </w:t>
      </w:r>
      <w:r>
        <w:rPr>
          <w:rFonts w:ascii="Times New Roman" w:hAnsi="Times New Roman"/>
          <w:i/>
          <w:sz w:val="22"/>
        </w:rPr>
        <w:t>Help Desk</w:t>
      </w:r>
      <w:r>
        <w:rPr>
          <w:rFonts w:ascii="Times New Roman" w:hAnsi="Times New Roman"/>
          <w:sz w:val="22"/>
        </w:rPr>
        <w:t>) programinę įrangą ar atvykus į VTEK.</w:t>
      </w:r>
    </w:p>
    <w:p>
      <w:pPr>
        <w:pStyle w:val="ListParagraph"/>
        <w:numPr>
          <w:ilvl w:val="0"/>
          <w:numId w:val="2"/>
        </w:numPr>
        <w:spacing w:before="0" w:after="0"/>
        <w:jc w:val="both"/>
        <w:rPr>
          <w:rFonts w:ascii="Times New Roman" w:hAnsi="Times New Roman"/>
        </w:rPr>
      </w:pPr>
      <w:r>
        <w:rPr>
          <w:rFonts w:ascii="Times New Roman" w:hAnsi="Times New Roman"/>
          <w:sz w:val="22"/>
        </w:rPr>
        <w:t>Diegėjas turi teikti skubią pagalbą įsilaužimo atveju ir užtikrinti modernizuotos PINREG dalies informacijos atstatymą per VTEK nurodytą laikotarpį po pranešimo užregistravimo.</w:t>
      </w:r>
    </w:p>
    <w:p>
      <w:pPr>
        <w:pStyle w:val="ListParagraph"/>
        <w:numPr>
          <w:ilvl w:val="0"/>
          <w:numId w:val="2"/>
        </w:numPr>
        <w:spacing w:before="0" w:after="0"/>
        <w:jc w:val="both"/>
        <w:rPr>
          <w:rFonts w:ascii="Times New Roman" w:hAnsi="Times New Roman"/>
        </w:rPr>
      </w:pPr>
      <w:r>
        <w:rPr>
          <w:rFonts w:ascii="Times New Roman" w:hAnsi="Times New Roman"/>
          <w:sz w:val="22"/>
        </w:rPr>
        <w:t>Programinės įrangos ar jos dalies visišku neveikimu laikoma situacija, kai modernizuotos PINREG dalies naudotojai dėl Diegėjo sukurtos programinės įrangos trūkumų visiškai nebegali naudotis modernizuotos PINREG dalies funkcionalumu.</w:t>
      </w:r>
    </w:p>
    <w:p>
      <w:pPr>
        <w:pStyle w:val="ListParagraph"/>
        <w:numPr>
          <w:ilvl w:val="1"/>
          <w:numId w:val="2"/>
        </w:numPr>
        <w:spacing w:before="0" w:after="0"/>
        <w:jc w:val="both"/>
        <w:rPr>
          <w:rFonts w:ascii="Times New Roman" w:hAnsi="Times New Roman"/>
        </w:rPr>
      </w:pPr>
      <w:r>
        <w:rPr>
          <w:rFonts w:ascii="Times New Roman" w:hAnsi="Times New Roman"/>
          <w:sz w:val="22"/>
        </w:rPr>
        <w:t>Diegėjas modernizuotos PINREG dalies visiško neveikimo atveju, turės užtikrinti veikimo atstatymą per ne ilgesnį nei 16 valandų laikotarpį.</w:t>
      </w:r>
    </w:p>
    <w:p>
      <w:pPr>
        <w:pStyle w:val="ListParagraph"/>
        <w:numPr>
          <w:ilvl w:val="0"/>
          <w:numId w:val="2"/>
        </w:numPr>
        <w:spacing w:before="0" w:after="0"/>
        <w:jc w:val="both"/>
        <w:rPr>
          <w:rFonts w:ascii="Times New Roman" w:hAnsi="Times New Roman"/>
        </w:rPr>
      </w:pPr>
      <w:r>
        <w:rPr>
          <w:rFonts w:ascii="Times New Roman" w:hAnsi="Times New Roman"/>
          <w:sz w:val="22"/>
        </w:rPr>
        <w:t xml:space="preserve">Programinės įrangos veikimo sutrikimu laikoma situacija, kai modernizuotos PINREG dalies naudotojai dėl Diegėjo sukurtos programinės įrangos funkcionalumo trūkumų negali atlikti numatytų funkcijų ar funkcijos veikia nekorektiškai. </w:t>
      </w:r>
    </w:p>
    <w:p>
      <w:pPr>
        <w:pStyle w:val="ListParagraph"/>
        <w:numPr>
          <w:ilvl w:val="0"/>
          <w:numId w:val="2"/>
        </w:numPr>
        <w:spacing w:before="0" w:after="0"/>
        <w:jc w:val="both"/>
        <w:rPr>
          <w:rFonts w:ascii="Times New Roman" w:hAnsi="Times New Roman"/>
        </w:rPr>
      </w:pPr>
      <w:r>
        <w:rPr>
          <w:rFonts w:ascii="Times New Roman" w:hAnsi="Times New Roman"/>
          <w:sz w:val="22"/>
        </w:rPr>
        <w:t>Programinės įrangos sutrikimų atstatymo trukmė:</w:t>
      </w:r>
    </w:p>
    <w:p>
      <w:pPr>
        <w:pStyle w:val="ListParagraph"/>
        <w:numPr>
          <w:ilvl w:val="1"/>
          <w:numId w:val="2"/>
        </w:numPr>
        <w:spacing w:before="0" w:after="0"/>
        <w:jc w:val="both"/>
        <w:rPr>
          <w:rFonts w:ascii="Times New Roman" w:hAnsi="Times New Roman"/>
        </w:rPr>
      </w:pPr>
      <w:r>
        <w:rPr>
          <w:rFonts w:ascii="Times New Roman" w:hAnsi="Times New Roman"/>
          <w:sz w:val="22"/>
        </w:rPr>
        <w:t>reakcijos į sutrikimą laikas – ne ilgiau kaip 1 (viena) darbo valanda nuo pranešimo apie sutrikimą gavimo sutartu būdu. Nesant galimybės pradėti analizę nedelsiant, Diegėjas įsipareigoja analizę pradėti ne vėliau kaip šiais terminais:</w:t>
      </w:r>
    </w:p>
    <w:p>
      <w:pPr>
        <w:pStyle w:val="ListParagraph"/>
        <w:numPr>
          <w:ilvl w:val="2"/>
          <w:numId w:val="2"/>
        </w:numPr>
        <w:spacing w:before="0" w:after="0"/>
        <w:jc w:val="both"/>
        <w:rPr>
          <w:rFonts w:ascii="Times New Roman" w:hAnsi="Times New Roman"/>
        </w:rPr>
      </w:pPr>
      <w:r>
        <w:rPr>
          <w:rFonts w:ascii="Times New Roman" w:hAnsi="Times New Roman"/>
          <w:sz w:val="22"/>
        </w:rPr>
        <w:t>kritinis sutrikimas – per 2 darbo val.;</w:t>
      </w:r>
    </w:p>
    <w:p>
      <w:pPr>
        <w:pStyle w:val="ListParagraph"/>
        <w:numPr>
          <w:ilvl w:val="2"/>
          <w:numId w:val="2"/>
        </w:numPr>
        <w:spacing w:before="0" w:after="0"/>
        <w:jc w:val="both"/>
        <w:rPr>
          <w:rFonts w:ascii="Times New Roman" w:hAnsi="Times New Roman"/>
        </w:rPr>
      </w:pPr>
      <w:r>
        <w:rPr>
          <w:rFonts w:ascii="Times New Roman" w:hAnsi="Times New Roman"/>
          <w:sz w:val="22"/>
        </w:rPr>
        <w:t>svarbus sutrikimas – per 6 darbo val.;</w:t>
      </w:r>
    </w:p>
    <w:p>
      <w:pPr>
        <w:pStyle w:val="ListParagraph"/>
        <w:numPr>
          <w:ilvl w:val="2"/>
          <w:numId w:val="2"/>
        </w:numPr>
        <w:spacing w:before="0" w:after="0"/>
        <w:jc w:val="both"/>
        <w:rPr>
          <w:rFonts w:ascii="Times New Roman" w:hAnsi="Times New Roman"/>
        </w:rPr>
      </w:pPr>
      <w:r>
        <w:rPr>
          <w:rFonts w:ascii="Times New Roman" w:hAnsi="Times New Roman"/>
          <w:sz w:val="22"/>
        </w:rPr>
        <w:t>neesminis sutrikimas – per 8 darbo val.</w:t>
      </w:r>
    </w:p>
    <w:p>
      <w:pPr>
        <w:pStyle w:val="ListParagraph"/>
        <w:numPr>
          <w:ilvl w:val="1"/>
          <w:numId w:val="2"/>
        </w:numPr>
        <w:spacing w:before="0" w:after="0"/>
        <w:jc w:val="both"/>
        <w:rPr>
          <w:rFonts w:ascii="Times New Roman" w:hAnsi="Times New Roman"/>
        </w:rPr>
      </w:pPr>
      <w:r>
        <w:rPr>
          <w:rFonts w:ascii="Times New Roman" w:hAnsi="Times New Roman"/>
          <w:sz w:val="22"/>
        </w:rPr>
        <w:t>neesminių sutrikimų šalinimas – ne ilgiau kaip 5 darbo dienos nuo pranešimo gavimo sutartu būdu. Jei sutrikimo per nurodytą laiką pašalinti negalima, kartu su VTEK suderinamas susitarimas dėl sutrikimo pašalinimo laiko. Neesminis sutrikimas – kosmetinės ar panašios modernizuotos PINREG dalies klaidos, kurios neturi įtakos korektiškam funkcijų veikimui;</w:t>
      </w:r>
    </w:p>
    <w:p>
      <w:pPr>
        <w:pStyle w:val="ListParagraph"/>
        <w:numPr>
          <w:ilvl w:val="1"/>
          <w:numId w:val="2"/>
        </w:numPr>
        <w:spacing w:before="0" w:after="0"/>
        <w:jc w:val="both"/>
        <w:rPr>
          <w:rFonts w:ascii="Times New Roman" w:hAnsi="Times New Roman"/>
        </w:rPr>
      </w:pPr>
      <w:r>
        <w:rPr>
          <w:rFonts w:ascii="Times New Roman" w:hAnsi="Times New Roman"/>
          <w:sz w:val="22"/>
        </w:rPr>
        <w:t>svarbių sutrikimų šalinimas – ne ilgiau kaip 3 darbo dienos nuo pranešimo gavimo sutartu būdu. Jei sutrikimo per nurodytą laiką pašalinti negalima, kartu su VTEK suderinamas susitarimas dėl sutrikimo pašalinimo laiko. Svarbus sutrikimas – neapibrėžtas funkcijos veikimas, kuris leidžia įvykdyti numatytą modernizuotos PINREG dalies funkciją, tačiau naudotojui reikia atlikti papildomus, nenumatytus ar alternatyvius veiksmus;</w:t>
      </w:r>
    </w:p>
    <w:p>
      <w:pPr>
        <w:pStyle w:val="ListParagraph"/>
        <w:numPr>
          <w:ilvl w:val="1"/>
          <w:numId w:val="2"/>
        </w:numPr>
        <w:spacing w:before="0" w:after="0"/>
        <w:jc w:val="both"/>
        <w:rPr>
          <w:rFonts w:ascii="Times New Roman" w:hAnsi="Times New Roman"/>
        </w:rPr>
      </w:pPr>
      <w:r>
        <w:rPr>
          <w:rFonts w:ascii="Times New Roman" w:hAnsi="Times New Roman"/>
          <w:sz w:val="22"/>
        </w:rPr>
        <w:t>kritinių sutrikimų šalinimas – ne ilgiau kaip 1 darbo diena nuo pranešimo gavimo sutartu būdu. Jei sutrikimo per nurodytą laiką pašalinti negalima, kartu su VTEK suderinamas susitarimas dėl sutrikimo pašalinimo laiko. Kritinis sutrikimas – funkcijos neveikimas be galimybės reikiamą funkciją įvykdyti alternatyviai.</w:t>
      </w:r>
    </w:p>
    <w:p>
      <w:pPr>
        <w:pStyle w:val="ListParagraph"/>
        <w:numPr>
          <w:ilvl w:val="0"/>
          <w:numId w:val="2"/>
        </w:numPr>
        <w:spacing w:before="0" w:after="0"/>
        <w:jc w:val="both"/>
        <w:rPr>
          <w:rFonts w:ascii="Times New Roman" w:hAnsi="Times New Roman"/>
        </w:rPr>
      </w:pPr>
      <w:r>
        <w:rPr>
          <w:rFonts w:ascii="Times New Roman" w:hAnsi="Times New Roman"/>
          <w:sz w:val="22"/>
        </w:rPr>
        <w:t>Diegėjas turi parengti prieinamas ir VTEK tinkamas informavimo apie modernizuotos PINREG dalies sutrikimus, jų registravimo ir taisymo veiksmų būseną priemones: VTEK ir Diegėjo suderintus telefonus, e. pašto adresus, garantinio aptarnavimo ir priežiūros tarnybos programinio įrankio adresą (nuorodą). Išvardintais būdais VTEK atsakingiems asmenims turi būti galimybė pranešti apie modernizuotos PINREG dalies sutrikimus, reikiamas konsultacijas, reikiamus tobulinimus (naujo funkcionalumo kūrimą) ir pan.</w:t>
      </w:r>
    </w:p>
    <w:p>
      <w:pPr>
        <w:pStyle w:val="ListParagraph"/>
        <w:numPr>
          <w:ilvl w:val="0"/>
          <w:numId w:val="2"/>
        </w:numPr>
        <w:spacing w:before="0" w:after="0"/>
        <w:jc w:val="both"/>
        <w:rPr>
          <w:rFonts w:ascii="Times New Roman" w:hAnsi="Times New Roman"/>
        </w:rPr>
      </w:pPr>
      <w:r>
        <w:rPr>
          <w:rFonts w:ascii="Times New Roman" w:hAnsi="Times New Roman"/>
          <w:sz w:val="22"/>
        </w:rPr>
        <w:t>Garantinės priežiūros paslaugos, konsultacijos telefonu ir elektroniniu paštu turi būti teikiamos VTEK darbo dienomis darbo valandomis.</w:t>
      </w:r>
    </w:p>
    <w:p>
      <w:pPr>
        <w:pStyle w:val="ListParagraph"/>
        <w:numPr>
          <w:ilvl w:val="0"/>
          <w:numId w:val="2"/>
        </w:numPr>
        <w:spacing w:before="0" w:after="0"/>
        <w:jc w:val="both"/>
        <w:rPr>
          <w:rFonts w:ascii="Times New Roman" w:hAnsi="Times New Roman"/>
        </w:rPr>
      </w:pPr>
      <w:r>
        <w:rPr>
          <w:rFonts w:ascii="Times New Roman" w:hAnsi="Times New Roman"/>
          <w:sz w:val="22"/>
        </w:rPr>
        <w:t>Garantinės priežiūros metu atnaujinus modernizuotos PINREG dalies funkcionalumus atitinkamai turi būti pakoreguota visa susijusi modernizuotos PINREG dalies dokumentacija, pateikti atnaujinti išeities tekstai ir kiti programiniai komponentai.</w:t>
      </w:r>
    </w:p>
    <w:p>
      <w:pPr>
        <w:pStyle w:val="ListParagraph"/>
        <w:numPr>
          <w:ilvl w:val="0"/>
          <w:numId w:val="2"/>
        </w:numPr>
        <w:spacing w:before="0" w:after="0"/>
        <w:jc w:val="both"/>
        <w:rPr>
          <w:rFonts w:ascii="Times New Roman" w:hAnsi="Times New Roman"/>
        </w:rPr>
      </w:pPr>
      <w:r>
        <w:rPr>
          <w:rFonts w:ascii="Times New Roman" w:hAnsi="Times New Roman"/>
          <w:sz w:val="22"/>
        </w:rPr>
        <w:t xml:space="preserve">Jeigu Diegėjas, realizuodamas šioje Techninėje specifikacijoje numatytus funkcionalumus, modernizuos esamus PINREG funkcionalumus, tuomet modernizuoti PINREG funkcionalumai bus priskirti Diegėjo garantinės priežiūros sričiai. </w:t>
      </w:r>
    </w:p>
    <w:p>
      <w:pPr>
        <w:pStyle w:val="Heading2"/>
        <w:ind w:hanging="792" w:left="716"/>
        <w:rPr>
          <w:rFonts w:ascii="Times New Roman" w:hAnsi="Times New Roman"/>
        </w:rPr>
      </w:pPr>
      <w:bookmarkStart w:id="69" w:name="_Toc151027923"/>
      <w:bookmarkStart w:id="70" w:name="_Ref69127687"/>
      <w:bookmarkStart w:id="71" w:name="_Ref34668302"/>
      <w:bookmarkStart w:id="72" w:name="_Toc8118858"/>
      <w:r>
        <w:rPr>
          <w:rFonts w:ascii="Times New Roman" w:hAnsi="Times New Roman"/>
          <w:sz w:val="22"/>
          <w:szCs w:val="22"/>
        </w:rPr>
        <w:t>Reikalavimai dokumentacijai</w:t>
      </w:r>
      <w:bookmarkEnd w:id="69"/>
      <w:bookmarkEnd w:id="70"/>
      <w:bookmarkEnd w:id="71"/>
      <w:bookmarkEnd w:id="72"/>
    </w:p>
    <w:p>
      <w:pPr>
        <w:pStyle w:val="ListParagraph"/>
        <w:numPr>
          <w:ilvl w:val="0"/>
          <w:numId w:val="2"/>
        </w:numPr>
        <w:spacing w:before="0" w:after="0"/>
        <w:jc w:val="both"/>
        <w:rPr>
          <w:rFonts w:ascii="Times New Roman" w:hAnsi="Times New Roman"/>
        </w:rPr>
      </w:pPr>
      <w:r>
        <w:rPr>
          <w:rFonts w:ascii="Times New Roman" w:hAnsi="Times New Roman"/>
          <w:sz w:val="22"/>
        </w:rPr>
        <w:t xml:space="preserve">Visa dokumentacija turi būti parengta laikantis bendrinės lietuvių kalbos taisyklių. </w:t>
      </w:r>
    </w:p>
    <w:p>
      <w:pPr>
        <w:pStyle w:val="ListParagraph"/>
        <w:numPr>
          <w:ilvl w:val="0"/>
          <w:numId w:val="2"/>
        </w:numPr>
        <w:spacing w:before="0" w:after="0"/>
        <w:jc w:val="both"/>
        <w:rPr>
          <w:rFonts w:ascii="Times New Roman" w:hAnsi="Times New Roman"/>
        </w:rPr>
      </w:pPr>
      <w:r>
        <w:rPr>
          <w:rFonts w:ascii="Times New Roman" w:hAnsi="Times New Roman"/>
          <w:sz w:val="22"/>
        </w:rPr>
        <w:t xml:space="preserve">Visi Diegėjo parengti dokumentai turės būti suderinti su VTEK. Detalūs dokumentų derinimo principai turės būti pateikti ir suderinti Diegėjo parengtame Paslaugų teikimo reglamente. </w:t>
      </w:r>
    </w:p>
    <w:p>
      <w:pPr>
        <w:pStyle w:val="ListParagraph"/>
        <w:numPr>
          <w:ilvl w:val="0"/>
          <w:numId w:val="2"/>
        </w:numPr>
        <w:spacing w:before="0" w:after="0"/>
        <w:jc w:val="both"/>
        <w:rPr>
          <w:rFonts w:ascii="Times New Roman" w:hAnsi="Times New Roman"/>
        </w:rPr>
      </w:pPr>
      <w:r>
        <w:rPr>
          <w:rFonts w:ascii="Times New Roman" w:hAnsi="Times New Roman"/>
          <w:sz w:val="22"/>
        </w:rPr>
        <w:t>Diegėjas turės parengti dokumentaciją, nuro</w:t>
      </w:r>
      <w:r>
        <w:rPr>
          <w:rFonts w:ascii="Times New Roman" w:hAnsi="Times New Roman"/>
          <w:sz w:val="22"/>
          <w:shd w:fill="FFFFFF" w:val="clear"/>
        </w:rPr>
        <w:t xml:space="preserve">dytą </w:t>
      </w:r>
      <w:r>
        <w:rPr>
          <w:rFonts w:ascii="Times New Roman" w:hAnsi="Times New Roman"/>
          <w:sz w:val="22"/>
          <w:shd w:fill="FFFFFF" w:val="clear"/>
        </w:rPr>
        <w:fldChar w:fldCharType="begin"/>
      </w:r>
      <w:r>
        <w:rPr>
          <w:sz w:val="22"/>
          <w:shd w:fill="FFFFFF" w:val="clear"/>
          <w:rFonts w:ascii="Times New Roman" w:hAnsi="Times New Roman"/>
        </w:rPr>
        <w:instrText xml:space="preserve"> REF _Ref8256381 \h </w:instrText>
      </w:r>
      <w:r>
        <w:rPr>
          <w:sz w:val="22"/>
          <w:shd w:fill="FFFFFF" w:val="clear"/>
          <w:rFonts w:ascii="Times New Roman" w:hAnsi="Times New Roman"/>
        </w:rPr>
        <w:fldChar w:fldCharType="separate"/>
      </w:r>
      <w:r>
        <w:rPr>
          <w:sz w:val="22"/>
          <w:shd w:fill="FFFFFF" w:val="clear"/>
          <w:rFonts w:ascii="Times New Roman" w:hAnsi="Times New Roman"/>
        </w:rPr>
        <w:t>9.1 lentelė</w:t>
      </w:r>
      <w:r>
        <w:rPr>
          <w:sz w:val="22"/>
          <w:shd w:fill="FFFFFF" w:val="clear"/>
          <w:rFonts w:ascii="Times New Roman" w:hAnsi="Times New Roman"/>
        </w:rPr>
        <w:fldChar w:fldCharType="end"/>
      </w:r>
      <w:r>
        <w:rPr>
          <w:rFonts w:ascii="Times New Roman" w:hAnsi="Times New Roman"/>
          <w:sz w:val="22"/>
          <w:shd w:fill="FFFFFF" w:val="clear"/>
        </w:rPr>
        <w:t>je.</w:t>
      </w:r>
    </w:p>
    <w:p>
      <w:pPr>
        <w:pStyle w:val="ListParagraph"/>
        <w:numPr>
          <w:ilvl w:val="0"/>
          <w:numId w:val="2"/>
        </w:numPr>
        <w:spacing w:before="0" w:after="0"/>
        <w:jc w:val="both"/>
        <w:rPr>
          <w:rFonts w:ascii="Times New Roman" w:hAnsi="Times New Roman"/>
        </w:rPr>
      </w:pPr>
      <w:r>
        <w:rPr>
          <w:rFonts w:ascii="Times New Roman" w:hAnsi="Times New Roman"/>
          <w:sz w:val="22"/>
          <w:shd w:fill="FFFFFF" w:val="clear"/>
        </w:rPr>
        <w:t>Reikalavimai rezultatų pateikimo ir derinimo terminams:</w:t>
      </w:r>
    </w:p>
    <w:p>
      <w:pPr>
        <w:pStyle w:val="ListParagraph"/>
        <w:numPr>
          <w:ilvl w:val="1"/>
          <w:numId w:val="2"/>
        </w:numPr>
        <w:spacing w:before="0" w:after="0"/>
        <w:jc w:val="both"/>
        <w:rPr>
          <w:rFonts w:ascii="Times New Roman" w:hAnsi="Times New Roman"/>
        </w:rPr>
      </w:pPr>
      <w:r>
        <w:rPr>
          <w:rFonts w:ascii="Times New Roman" w:hAnsi="Times New Roman"/>
          <w:sz w:val="22"/>
          <w:shd w:fill="FFFFFF" w:val="clear"/>
        </w:rPr>
        <w:t xml:space="preserve">Dokumentų pateikimo terminai pateikti </w:t>
      </w:r>
      <w:r>
        <w:rPr>
          <w:rFonts w:ascii="Times New Roman" w:hAnsi="Times New Roman"/>
          <w:sz w:val="22"/>
          <w:shd w:fill="FFFFFF" w:val="clear"/>
        </w:rPr>
        <w:fldChar w:fldCharType="begin"/>
      </w:r>
      <w:r>
        <w:rPr>
          <w:sz w:val="22"/>
          <w:shd w:fill="FFFFFF" w:val="clear"/>
          <w:rFonts w:ascii="Times New Roman" w:hAnsi="Times New Roman"/>
        </w:rPr>
        <w:instrText xml:space="preserve"> REF _Ref8256381 \h </w:instrText>
      </w:r>
      <w:r>
        <w:rPr>
          <w:sz w:val="22"/>
          <w:shd w:fill="FFFFFF" w:val="clear"/>
          <w:rFonts w:ascii="Times New Roman" w:hAnsi="Times New Roman"/>
        </w:rPr>
        <w:fldChar w:fldCharType="separate"/>
      </w:r>
      <w:r>
        <w:rPr>
          <w:sz w:val="22"/>
          <w:shd w:fill="FFFFFF" w:val="clear"/>
          <w:rFonts w:ascii="Times New Roman" w:hAnsi="Times New Roman"/>
        </w:rPr>
        <w:t>9.1 lentelė</w:t>
      </w:r>
      <w:r>
        <w:rPr>
          <w:sz w:val="22"/>
          <w:shd w:fill="FFFFFF" w:val="clear"/>
          <w:rFonts w:ascii="Times New Roman" w:hAnsi="Times New Roman"/>
        </w:rPr>
        <w:fldChar w:fldCharType="end"/>
      </w:r>
      <w:r>
        <w:rPr>
          <w:rFonts w:ascii="Times New Roman" w:hAnsi="Times New Roman"/>
          <w:sz w:val="22"/>
          <w:shd w:fill="FFFFFF" w:val="clear"/>
        </w:rPr>
        <w:t>je. Tikslus dokumentų pateikimo ir jų suderinimo terminas turi būti sutartas Paslaugų teikimo reglamen</w:t>
      </w:r>
      <w:r>
        <w:rPr>
          <w:rFonts w:ascii="Times New Roman" w:hAnsi="Times New Roman"/>
          <w:sz w:val="22"/>
        </w:rPr>
        <w:t>te. Visi etapo dokumentai turi būti pateikti ir suderinti su VTEK iki etapo pabaigos datos. Visi dokumentai privalo būti atnaujinti ir suderinti iki galutinio PINREG modernizuotos dalies perdavimo – priėmimo akto pasirašymo datos.</w:t>
      </w:r>
    </w:p>
    <w:p>
      <w:pPr>
        <w:pStyle w:val="ListParagraph"/>
        <w:numPr>
          <w:ilvl w:val="1"/>
          <w:numId w:val="2"/>
        </w:numPr>
        <w:spacing w:before="0" w:after="0"/>
        <w:jc w:val="both"/>
        <w:rPr>
          <w:rFonts w:ascii="Times New Roman" w:hAnsi="Times New Roman"/>
        </w:rPr>
      </w:pPr>
      <w:r>
        <w:rPr>
          <w:rFonts w:ascii="Times New Roman" w:hAnsi="Times New Roman"/>
          <w:sz w:val="22"/>
        </w:rPr>
        <w:t>Diegėjas vykdydamas įsipareigojimą suderinti dokumentą per nurodytą terminą privalo atsižvelgti į dokumentų derinimo terminus ir į savo galimybes pataisyti dokumentus pagal pastabas. VTEK įsipareigoja pateikti pastabas derinimui pateiktiems dokumentams tokiais terminais:</w:t>
      </w:r>
    </w:p>
    <w:p>
      <w:pPr>
        <w:pStyle w:val="ListParagraph"/>
        <w:numPr>
          <w:ilvl w:val="2"/>
          <w:numId w:val="9"/>
        </w:numPr>
        <w:spacing w:before="0" w:after="0"/>
        <w:jc w:val="both"/>
        <w:rPr>
          <w:rFonts w:ascii="Times New Roman" w:hAnsi="Times New Roman"/>
        </w:rPr>
      </w:pPr>
      <w:r>
        <w:rPr>
          <w:rFonts w:ascii="Times New Roman" w:hAnsi="Times New Roman"/>
          <w:sz w:val="22"/>
        </w:rPr>
        <w:t xml:space="preserve">iki 100 puslapių dokumento: </w:t>
      </w:r>
    </w:p>
    <w:p>
      <w:pPr>
        <w:pStyle w:val="ListParagraph"/>
        <w:numPr>
          <w:ilvl w:val="3"/>
          <w:numId w:val="10"/>
        </w:numPr>
        <w:spacing w:before="0" w:after="0"/>
        <w:jc w:val="both"/>
        <w:rPr>
          <w:rFonts w:ascii="Times New Roman" w:hAnsi="Times New Roman"/>
        </w:rPr>
      </w:pPr>
      <w:r>
        <w:rPr>
          <w:rFonts w:ascii="Times New Roman" w:hAnsi="Times New Roman"/>
          <w:sz w:val="22"/>
        </w:rPr>
        <w:t xml:space="preserve">pirma versija –per 5 darbo dienas, </w:t>
      </w:r>
    </w:p>
    <w:p>
      <w:pPr>
        <w:pStyle w:val="ListParagraph"/>
        <w:numPr>
          <w:ilvl w:val="3"/>
          <w:numId w:val="2"/>
        </w:numPr>
        <w:spacing w:before="0" w:after="0"/>
        <w:jc w:val="both"/>
        <w:rPr>
          <w:rFonts w:ascii="Times New Roman" w:hAnsi="Times New Roman"/>
        </w:rPr>
      </w:pPr>
      <w:r>
        <w:rPr>
          <w:rFonts w:ascii="Times New Roman" w:hAnsi="Times New Roman"/>
          <w:sz w:val="22"/>
        </w:rPr>
        <w:t>po pastabų pataisyta dokumento versija – per 3 darbo dienas,</w:t>
      </w:r>
    </w:p>
    <w:p>
      <w:pPr>
        <w:pStyle w:val="ListParagraph"/>
        <w:numPr>
          <w:ilvl w:val="2"/>
          <w:numId w:val="2"/>
        </w:numPr>
        <w:spacing w:before="0" w:after="0"/>
        <w:jc w:val="both"/>
        <w:rPr>
          <w:rFonts w:ascii="Times New Roman" w:hAnsi="Times New Roman"/>
        </w:rPr>
      </w:pPr>
      <w:r>
        <w:rPr>
          <w:rFonts w:ascii="Times New Roman" w:hAnsi="Times New Roman"/>
          <w:sz w:val="22"/>
        </w:rPr>
        <w:t xml:space="preserve">virš 100 puslapių dokumento: </w:t>
      </w:r>
    </w:p>
    <w:p>
      <w:pPr>
        <w:pStyle w:val="ListParagraph"/>
        <w:numPr>
          <w:ilvl w:val="3"/>
          <w:numId w:val="2"/>
        </w:numPr>
        <w:spacing w:before="0" w:after="0"/>
        <w:jc w:val="both"/>
        <w:rPr>
          <w:rFonts w:ascii="Times New Roman" w:hAnsi="Times New Roman"/>
        </w:rPr>
      </w:pPr>
      <w:r>
        <w:rPr>
          <w:rFonts w:ascii="Times New Roman" w:hAnsi="Times New Roman"/>
          <w:sz w:val="22"/>
        </w:rPr>
        <w:t xml:space="preserve">pirma versija – per 8 darbo dienas, </w:t>
      </w:r>
    </w:p>
    <w:p>
      <w:pPr>
        <w:pStyle w:val="ListParagraph"/>
        <w:numPr>
          <w:ilvl w:val="3"/>
          <w:numId w:val="2"/>
        </w:numPr>
        <w:spacing w:before="0" w:after="0"/>
        <w:jc w:val="both"/>
        <w:rPr>
          <w:rFonts w:ascii="Times New Roman" w:hAnsi="Times New Roman"/>
        </w:rPr>
      </w:pPr>
      <w:r>
        <w:rPr>
          <w:rFonts w:ascii="Times New Roman" w:hAnsi="Times New Roman"/>
          <w:sz w:val="22"/>
        </w:rPr>
        <w:t>po pastabų pataisyta dokumento versija – per 5 darbo dienas.</w:t>
      </w:r>
    </w:p>
    <w:p>
      <w:pPr>
        <w:pStyle w:val="ListParagraph"/>
        <w:numPr>
          <w:ilvl w:val="1"/>
          <w:numId w:val="2"/>
        </w:numPr>
        <w:spacing w:before="0" w:after="0"/>
        <w:jc w:val="both"/>
        <w:rPr>
          <w:rFonts w:ascii="Times New Roman" w:hAnsi="Times New Roman"/>
        </w:rPr>
      </w:pPr>
      <w:r>
        <w:rPr>
          <w:rFonts w:ascii="Times New Roman" w:hAnsi="Times New Roman"/>
          <w:sz w:val="22"/>
        </w:rPr>
        <w:t xml:space="preserve">Diegėjo rezultatai derinami su VTEK ne daugiau kaip 2 (dviem) iteracijomis. </w:t>
      </w:r>
    </w:p>
    <w:p>
      <w:pPr>
        <w:pStyle w:val="ListParagraph"/>
        <w:numPr>
          <w:ilvl w:val="1"/>
          <w:numId w:val="2"/>
        </w:numPr>
        <w:spacing w:before="0" w:after="0"/>
        <w:jc w:val="both"/>
        <w:rPr>
          <w:rFonts w:ascii="Times New Roman" w:hAnsi="Times New Roman"/>
        </w:rPr>
      </w:pPr>
      <w:r>
        <w:rPr>
          <w:rFonts w:ascii="Times New Roman" w:hAnsi="Times New Roman"/>
          <w:sz w:val="22"/>
        </w:rPr>
        <w:t>VTEK turi teisę per derinimui skirtus terminus atsisakyti teikti pastabas pirmai dokumento versijai, jeigu ji nėra tinkama derinimui ir pastabų teikimui:</w:t>
      </w:r>
    </w:p>
    <w:p>
      <w:pPr>
        <w:pStyle w:val="ListParagraph"/>
        <w:numPr>
          <w:ilvl w:val="2"/>
          <w:numId w:val="2"/>
        </w:numPr>
        <w:spacing w:before="0" w:after="0"/>
        <w:jc w:val="both"/>
        <w:rPr>
          <w:rFonts w:ascii="Times New Roman" w:hAnsi="Times New Roman"/>
        </w:rPr>
      </w:pPr>
      <w:r>
        <w:rPr>
          <w:rFonts w:ascii="Times New Roman" w:hAnsi="Times New Roman"/>
          <w:sz w:val="22"/>
        </w:rPr>
        <w:t>dokumente pateikta ne visa apimtis vertikaliai, t. y. nepateikti visi būtini tokiam dokumentui pateikti skyriai ir dalys;</w:t>
      </w:r>
    </w:p>
    <w:p>
      <w:pPr>
        <w:pStyle w:val="ListParagraph"/>
        <w:numPr>
          <w:ilvl w:val="2"/>
          <w:numId w:val="2"/>
        </w:numPr>
        <w:spacing w:before="0" w:after="0"/>
        <w:jc w:val="both"/>
        <w:rPr>
          <w:rFonts w:ascii="Times New Roman" w:hAnsi="Times New Roman"/>
        </w:rPr>
      </w:pPr>
      <w:r>
        <w:rPr>
          <w:rFonts w:ascii="Times New Roman" w:hAnsi="Times New Roman"/>
          <w:sz w:val="22"/>
        </w:rPr>
        <w:t xml:space="preserve">dokumente pateikta ne visa apimtis horizontaliai, t. y. dokumentas neapima visų modernizuotos PINREG dalies funkcijų, kurios turi būti šiame dokumente. </w:t>
      </w:r>
    </w:p>
    <w:p>
      <w:pPr>
        <w:pStyle w:val="ListParagraph"/>
        <w:numPr>
          <w:ilvl w:val="1"/>
          <w:numId w:val="2"/>
        </w:numPr>
        <w:spacing w:before="0" w:after="0"/>
        <w:jc w:val="both"/>
        <w:rPr>
          <w:rFonts w:ascii="Times New Roman" w:hAnsi="Times New Roman"/>
        </w:rPr>
      </w:pPr>
      <w:r>
        <w:rPr>
          <w:rFonts w:ascii="Times New Roman" w:hAnsi="Times New Roman"/>
          <w:sz w:val="22"/>
        </w:rPr>
        <w:t>Atsisakius teikti pastabas dokumentui, laikoma, jog dokumentas nėra pateiktas derinimui ir pastabų teikimui.</w:t>
      </w:r>
    </w:p>
    <w:p>
      <w:pPr>
        <w:pStyle w:val="ListParagraph"/>
        <w:numPr>
          <w:ilvl w:val="0"/>
          <w:numId w:val="2"/>
        </w:numPr>
        <w:spacing w:before="0" w:after="0"/>
        <w:jc w:val="both"/>
        <w:rPr>
          <w:rFonts w:ascii="Times New Roman" w:hAnsi="Times New Roman"/>
        </w:rPr>
      </w:pPr>
      <w:r>
        <w:rPr>
          <w:rFonts w:ascii="Times New Roman" w:hAnsi="Times New Roman"/>
          <w:sz w:val="22"/>
        </w:rPr>
        <w:t>Diegėjas privalo vadovautis Sutarties vykdymo metu aktualiomis teisės aktų redakcijomis. Diegėjui privalomi ir visi Sutarties vykdymo metu naujai priimti / pakeisti teisės aktai, jeigu jie susiję su Paslaugų teikimo sutarties įgyvendinimu. Jei naujai priimti / pakeisti teisės aktai prieštarauja šioje Techninėje specifikacijoje aprašytiems reikalavimams, Paslaugų teikėjas turi įgyvendinti reikalavimus vadovaujantis Sutarties vykdymo metu priimtų / pakeistų teisės aktų aktualiomis redakcijomis.</w:t>
      </w:r>
    </w:p>
    <w:p>
      <w:pPr>
        <w:pStyle w:val="ListParagraph"/>
        <w:numPr>
          <w:ilvl w:val="0"/>
          <w:numId w:val="2"/>
        </w:numPr>
        <w:spacing w:before="0" w:after="0"/>
        <w:jc w:val="both"/>
        <w:rPr>
          <w:rFonts w:ascii="Times New Roman" w:hAnsi="Times New Roman"/>
        </w:rPr>
      </w:pPr>
      <w:r>
        <w:rPr>
          <w:rFonts w:ascii="Times New Roman" w:hAnsi="Times New Roman"/>
          <w:sz w:val="22"/>
        </w:rPr>
        <w:t>Su VTEK suderinti dokumentai turi (gali) būti keičiami vėlesnių etapų metu, jeigu yra vykdomi modernizuojamos programinės įrangos pakeitimai, atsižvelgiant į priėmimo testavimo bei bandomosios eksploatacijos rezultatus, kitas projekto veiklas ir aplinkybes, kurios susijusios su pateiktos dokumentacijos turiniu. Projekto dokumentacija turi būti aktualizuojama (atnaujinama) ir galutinės versijos pateiktos iki PINREG modernizuotos dalies priėmimo etapo pabaigos (PINREG modernizuotos dalies galutinio perdavimo - priėmimo akto pasirašymo).</w:t>
      </w:r>
    </w:p>
    <w:p>
      <w:pPr>
        <w:pStyle w:val="ListParagraph"/>
        <w:numPr>
          <w:ilvl w:val="0"/>
          <w:numId w:val="2"/>
        </w:numPr>
        <w:spacing w:before="0" w:after="0"/>
        <w:jc w:val="both"/>
        <w:rPr>
          <w:rFonts w:ascii="Times New Roman" w:hAnsi="Times New Roman"/>
        </w:rPr>
      </w:pPr>
      <w:r>
        <w:rPr>
          <w:rFonts w:ascii="Times New Roman" w:hAnsi="Times New Roman"/>
          <w:sz w:val="22"/>
        </w:rPr>
        <w:t xml:space="preserve">Dokumentų galutinės versijos turi būti pateiktos elektroniniu (MS Word arba kitu su VTEK suderintu redagavimui tinkamu formatu įrašant dokumentą(-us) į CD, DVD ar kitą skaitmeninę laikmeną). </w:t>
      </w:r>
    </w:p>
    <w:p>
      <w:pPr>
        <w:pStyle w:val="ListParagraph"/>
        <w:numPr>
          <w:ilvl w:val="0"/>
          <w:numId w:val="2"/>
        </w:numPr>
        <w:spacing w:before="0" w:after="0"/>
        <w:jc w:val="both"/>
        <w:rPr>
          <w:rFonts w:ascii="Times New Roman" w:hAnsi="Times New Roman"/>
        </w:rPr>
      </w:pPr>
      <w:r>
        <w:rPr>
          <w:rFonts w:ascii="Times New Roman" w:hAnsi="Times New Roman"/>
          <w:sz w:val="22"/>
        </w:rPr>
        <w:t xml:space="preserve">Preliminarios (projektinės) versijos turi būti pateikiamos elektroniniu formatu elektroninio ryšio priemonėmis. Pastabos bei korekcijos dokumentų projektuose turi būti teikiamos MS Office programinio paketo (ar lygiaverčio) pakeitimų sekimo (angl. </w:t>
      </w:r>
      <w:r>
        <w:rPr>
          <w:rFonts w:ascii="Times New Roman" w:hAnsi="Times New Roman"/>
          <w:i/>
          <w:sz w:val="22"/>
        </w:rPr>
        <w:t>track changes</w:t>
      </w:r>
      <w:r>
        <w:rPr>
          <w:rFonts w:ascii="Times New Roman" w:hAnsi="Times New Roman"/>
          <w:sz w:val="22"/>
        </w:rPr>
        <w:t>) bei komentavimo funkcijomis. Turi būti vykdomas pateikiamų dokumentų versijavimas (versijų kontrolė).</w:t>
      </w:r>
    </w:p>
    <w:p>
      <w:pPr>
        <w:pStyle w:val="Heading1"/>
        <w:rPr>
          <w:rFonts w:ascii="Times New Roman" w:hAnsi="Times New Roman"/>
        </w:rPr>
      </w:pPr>
      <w:bookmarkStart w:id="73" w:name="_Toc151027924"/>
      <w:bookmarkStart w:id="74" w:name="_Toc8118859"/>
      <w:r>
        <w:rPr>
          <w:rFonts w:ascii="Times New Roman" w:hAnsi="Times New Roman"/>
          <w:sz w:val="22"/>
          <w:szCs w:val="22"/>
        </w:rPr>
        <w:t>REIKALAVIMAI PINREG vystymo IR DIEGIMO ETAPAMS BEI TERMINAMS</w:t>
      </w:r>
      <w:bookmarkEnd w:id="73"/>
      <w:bookmarkEnd w:id="74"/>
    </w:p>
    <w:p>
      <w:pPr>
        <w:pStyle w:val="ListParagraph"/>
        <w:numPr>
          <w:ilvl w:val="0"/>
          <w:numId w:val="2"/>
        </w:numPr>
        <w:spacing w:before="0" w:after="0"/>
        <w:jc w:val="both"/>
        <w:rPr>
          <w:rFonts w:ascii="Times New Roman" w:hAnsi="Times New Roman"/>
        </w:rPr>
      </w:pPr>
      <w:r>
        <w:rPr>
          <w:rFonts w:ascii="Times New Roman" w:hAnsi="Times New Roman"/>
          <w:sz w:val="22"/>
        </w:rPr>
        <w:t xml:space="preserve">Visos paslaugos pagal sutartį turi būti suteiktos (išskyrus garantinį aptarnavimą) per 36 mėnesius  nuo Sutarties įsigaliojimo. </w:t>
      </w:r>
    </w:p>
    <w:p>
      <w:pPr>
        <w:sectPr>
          <w:headerReference w:type="default" r:id="rId5"/>
          <w:headerReference w:type="first" r:id="rId6"/>
          <w:footerReference w:type="default" r:id="rId7"/>
          <w:footerReference w:type="first" r:id="rId8"/>
          <w:type w:val="nextPage"/>
          <w:pgSz w:w="12240" w:h="15840"/>
          <w:pgMar w:left="1701" w:right="567" w:gutter="0" w:header="0" w:top="1134" w:footer="283" w:bottom="1134"/>
          <w:pgNumType w:fmt="decimal"/>
          <w:formProt w:val="false"/>
          <w:titlePg/>
          <w:textDirection w:val="lrTb"/>
          <w:docGrid w:type="default" w:linePitch="360" w:charSpace="12288"/>
        </w:sectPr>
        <w:pStyle w:val="ListParagraph"/>
        <w:numPr>
          <w:ilvl w:val="0"/>
          <w:numId w:val="2"/>
        </w:numPr>
        <w:spacing w:before="0" w:after="0"/>
        <w:jc w:val="both"/>
        <w:rPr>
          <w:rFonts w:ascii="Times New Roman" w:hAnsi="Times New Roman"/>
        </w:rPr>
      </w:pPr>
      <w:r>
        <w:rPr>
          <w:rFonts w:ascii="Times New Roman" w:hAnsi="Times New Roman"/>
          <w:sz w:val="22"/>
        </w:rPr>
        <w:t>Paslaugų etapai, etapų rezultatai ir reikalavimai dokumentacijai:</w:t>
      </w:r>
    </w:p>
    <w:p>
      <w:pPr>
        <w:pStyle w:val="Lenpavadarial"/>
        <w:rPr>
          <w:rFonts w:ascii="Times New Roman" w:hAnsi="Times New Roman"/>
        </w:rPr>
      </w:pPr>
      <w:r>
        <w:fldChar w:fldCharType="begin"/>
      </w:r>
      <w:r>
        <w:rPr>
          <w:rFonts w:ascii="Times New Roman" w:hAnsi="Times New Roman"/>
        </w:rPr>
        <w:instrText xml:space="preserve">STYLEREF 1 \s</w:instrText>
      </w:r>
      <w:bookmarkStart w:id="75" w:name="_Ref1743216"/>
      <w:bookmarkStart w:id="76" w:name="_Ref8256381"/>
      <w:r>
        <w:rPr>
          <w:rFonts w:ascii="Times New Roman" w:hAnsi="Times New Roman"/>
        </w:rPr>
      </w:r>
      <w:r>
        <w:rPr>
          <w:rFonts w:ascii="Times New Roman" w:hAnsi="Times New Roman"/>
        </w:rPr>
        <w:fldChar w:fldCharType="separate"/>
      </w:r>
      <w:r>
        <w:rPr>
          <w:rFonts w:ascii="Times New Roman" w:hAnsi="Times New Roman"/>
        </w:rPr>
      </w:r>
      <w:bookmarkStart w:id="77" w:name="_Toc70458511"/>
      <w:bookmarkStart w:id="78" w:name="_Toc34669699"/>
      <w:bookmarkStart w:id="79" w:name="_Toc4691091"/>
      <w:r>
        <w:rPr>
          <w:rFonts w:ascii="Times New Roman" w:hAnsi="Times New Roman"/>
          <w:szCs w:val="22"/>
        </w:rPr>
        <w:t>9</w:t>
      </w:r>
      <w:r>
        <w:rPr>
          <w:rFonts w:ascii="Times New Roman" w:hAnsi="Times New Roman"/>
        </w:rPr>
      </w:r>
      <w:r>
        <w:rPr>
          <w:rFonts w:ascii="Times New Roman" w:hAnsi="Times New Roman"/>
        </w:rPr>
        <w:fldChar w:fldCharType="end"/>
      </w:r>
      <w:r>
        <w:rPr>
          <w:rFonts w:ascii="Times New Roman" w:hAnsi="Times New Roman"/>
          <w:szCs w:val="22"/>
        </w:rPr>
        <w:t>.</w:t>
      </w:r>
      <w:r>
        <w:rPr>
          <w:rFonts w:ascii="Times New Roman" w:hAnsi="Times New Roman"/>
          <w:szCs w:val="22"/>
        </w:rPr>
        <w:fldChar w:fldCharType="begin"/>
      </w:r>
      <w:r>
        <w:rPr>
          <w:szCs w:val="22"/>
          <w:rFonts w:ascii="Times New Roman" w:hAnsi="Times New Roman"/>
        </w:rPr>
        <w:instrText xml:space="preserve"> SEQ lentelė \* ARABIC </w:instrText>
      </w:r>
      <w:r>
        <w:rPr>
          <w:szCs w:val="22"/>
          <w:rFonts w:ascii="Times New Roman" w:hAnsi="Times New Roman"/>
        </w:rPr>
        <w:fldChar w:fldCharType="separate"/>
      </w:r>
      <w:r>
        <w:rPr>
          <w:szCs w:val="22"/>
          <w:rFonts w:ascii="Times New Roman" w:hAnsi="Times New Roman"/>
        </w:rPr>
        <w:t>1</w:t>
      </w:r>
      <w:r>
        <w:rPr>
          <w:szCs w:val="22"/>
          <w:rFonts w:ascii="Times New Roman" w:hAnsi="Times New Roman"/>
        </w:rPr>
        <w:fldChar w:fldCharType="end"/>
      </w:r>
      <w:r>
        <w:rPr>
          <w:rFonts w:ascii="Times New Roman" w:hAnsi="Times New Roman"/>
          <w:szCs w:val="22"/>
        </w:rPr>
        <w:t xml:space="preserve"> lentelė</w:t>
      </w:r>
      <w:bookmarkEnd w:id="75"/>
      <w:bookmarkEnd w:id="76"/>
      <w:r>
        <w:rPr>
          <w:rFonts w:ascii="Times New Roman" w:hAnsi="Times New Roman"/>
          <w:szCs w:val="22"/>
        </w:rPr>
        <w:t>. Paslaugų etapai ir jų rezultatai</w:t>
      </w:r>
      <w:bookmarkEnd w:id="77"/>
      <w:bookmarkEnd w:id="78"/>
      <w:bookmarkEnd w:id="79"/>
    </w:p>
    <w:tbl>
      <w:tblPr>
        <w:tblW w:w="5000" w:type="pct"/>
        <w:jc w:val="left"/>
        <w:tblInd w:w="0" w:type="dxa"/>
        <w:tblLayout w:type="fixed"/>
        <w:tblCellMar>
          <w:top w:w="0" w:type="dxa"/>
          <w:left w:w="108" w:type="dxa"/>
          <w:bottom w:w="0" w:type="dxa"/>
          <w:right w:w="108" w:type="dxa"/>
        </w:tblCellMar>
        <w:tblLook w:firstRow="1" w:noVBand="1" w:lastRow="0" w:firstColumn="1" w:lastColumn="0" w:noHBand="0" w:val="04a0"/>
      </w:tblPr>
      <w:tblGrid>
        <w:gridCol w:w="890"/>
        <w:gridCol w:w="1699"/>
        <w:gridCol w:w="4388"/>
        <w:gridCol w:w="3933"/>
        <w:gridCol w:w="2662"/>
      </w:tblGrid>
      <w:tr>
        <w:trPr>
          <w:tblHeader w:val="true"/>
          <w:trHeight w:val="517" w:hRule="atLeast"/>
        </w:trPr>
        <w:tc>
          <w:tcPr>
            <w:tcW w:w="89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enheadarial"/>
              <w:spacing w:before="0" w:after="0"/>
              <w:jc w:val="center"/>
              <w:rPr>
                <w:rFonts w:ascii="Times New Roman" w:hAnsi="Times New Roman"/>
              </w:rPr>
            </w:pPr>
            <w:r>
              <w:rPr>
                <w:rFonts w:ascii="Times New Roman" w:hAnsi="Times New Roman"/>
                <w:b/>
                <w:color w:val="auto"/>
                <w:sz w:val="22"/>
                <w:szCs w:val="22"/>
              </w:rPr>
              <w:t>Nr.</w:t>
            </w:r>
          </w:p>
        </w:tc>
        <w:tc>
          <w:tcPr>
            <w:tcW w:w="169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enheadarial"/>
              <w:spacing w:before="0" w:after="0"/>
              <w:jc w:val="center"/>
              <w:rPr>
                <w:rFonts w:ascii="Times New Roman" w:hAnsi="Times New Roman"/>
              </w:rPr>
            </w:pPr>
            <w:r>
              <w:rPr>
                <w:rFonts w:ascii="Times New Roman" w:hAnsi="Times New Roman"/>
                <w:b/>
                <w:color w:val="auto"/>
                <w:sz w:val="22"/>
                <w:szCs w:val="22"/>
              </w:rPr>
              <w:t>Paslaugų teikimo etapas</w:t>
            </w:r>
          </w:p>
        </w:tc>
        <w:tc>
          <w:tcPr>
            <w:tcW w:w="43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enheadarial"/>
              <w:spacing w:before="0" w:after="0"/>
              <w:jc w:val="center"/>
              <w:rPr>
                <w:rFonts w:ascii="Times New Roman" w:hAnsi="Times New Roman"/>
              </w:rPr>
            </w:pPr>
            <w:r>
              <w:rPr>
                <w:rFonts w:ascii="Times New Roman" w:hAnsi="Times New Roman"/>
                <w:b/>
                <w:color w:val="auto"/>
                <w:sz w:val="22"/>
                <w:szCs w:val="22"/>
              </w:rPr>
              <w:t>Reikalavimai etapo rezultatams</w:t>
            </w:r>
          </w:p>
        </w:tc>
        <w:tc>
          <w:tcPr>
            <w:tcW w:w="39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enheadarial"/>
              <w:spacing w:before="0" w:after="0"/>
              <w:jc w:val="center"/>
              <w:rPr>
                <w:rFonts w:ascii="Times New Roman" w:hAnsi="Times New Roman"/>
              </w:rPr>
            </w:pPr>
            <w:r>
              <w:rPr>
                <w:rFonts w:ascii="Times New Roman" w:hAnsi="Times New Roman"/>
                <w:b/>
                <w:color w:val="auto"/>
                <w:sz w:val="22"/>
                <w:szCs w:val="22"/>
              </w:rPr>
              <w:t>Rezultatas</w:t>
            </w:r>
          </w:p>
        </w:tc>
        <w:tc>
          <w:tcPr>
            <w:tcW w:w="26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enheadarial"/>
              <w:spacing w:before="0" w:after="0"/>
              <w:jc w:val="center"/>
              <w:rPr>
                <w:rFonts w:ascii="Times New Roman" w:hAnsi="Times New Roman"/>
              </w:rPr>
            </w:pPr>
            <w:r>
              <w:rPr>
                <w:rFonts w:ascii="Times New Roman" w:hAnsi="Times New Roman"/>
                <w:b/>
                <w:color w:val="auto"/>
                <w:sz w:val="22"/>
                <w:szCs w:val="22"/>
              </w:rPr>
              <w:t>Pastabos</w:t>
            </w:r>
          </w:p>
        </w:tc>
      </w:tr>
      <w:tr>
        <w:trPr>
          <w:trHeight w:val="2305" w:hRule="atLeast"/>
        </w:trPr>
        <w:tc>
          <w:tcPr>
            <w:tcW w:w="890" w:type="dxa"/>
            <w:tcBorders>
              <w:top w:val="single" w:sz="4" w:space="0" w:color="000000"/>
              <w:left w:val="single" w:sz="4" w:space="0" w:color="000000"/>
              <w:bottom w:val="single" w:sz="4" w:space="0" w:color="000000"/>
              <w:right w:val="single" w:sz="4" w:space="0" w:color="000000"/>
            </w:tcBorders>
          </w:tcPr>
          <w:p>
            <w:pPr>
              <w:pStyle w:val="ListParagraph"/>
              <w:numPr>
                <w:ilvl w:val="1"/>
                <w:numId w:val="2"/>
              </w:numPr>
              <w:spacing w:before="0" w:after="0"/>
              <w:jc w:val="both"/>
              <w:rPr>
                <w:rFonts w:ascii="Times New Roman" w:hAnsi="Times New Roman"/>
                <w:sz w:val="22"/>
              </w:rPr>
            </w:pPr>
            <w:r>
              <w:rPr>
                <w:rFonts w:ascii="Times New Roman" w:hAnsi="Times New Roman"/>
                <w:sz w:val="22"/>
              </w:rPr>
            </w:r>
          </w:p>
        </w:tc>
        <w:tc>
          <w:tcPr>
            <w:tcW w:w="1699" w:type="dxa"/>
            <w:tcBorders>
              <w:top w:val="single" w:sz="4" w:space="0" w:color="000000"/>
              <w:left w:val="single" w:sz="4" w:space="0" w:color="000000"/>
              <w:bottom w:val="single" w:sz="4" w:space="0" w:color="000000"/>
              <w:right w:val="single" w:sz="4" w:space="0" w:color="000000"/>
            </w:tcBorders>
          </w:tcPr>
          <w:p>
            <w:pPr>
              <w:pStyle w:val="Lentekstasarial"/>
              <w:spacing w:before="0" w:after="0"/>
              <w:rPr>
                <w:rFonts w:ascii="Times New Roman" w:hAnsi="Times New Roman"/>
              </w:rPr>
            </w:pPr>
            <w:r>
              <w:rPr>
                <w:rFonts w:ascii="Times New Roman" w:hAnsi="Times New Roman"/>
                <w:b/>
                <w:color w:themeColor="background2" w:themeShade="1a" w:val="171717"/>
                <w:sz w:val="22"/>
                <w:szCs w:val="22"/>
              </w:rPr>
              <w:t>Inicijavimas</w:t>
            </w:r>
          </w:p>
        </w:tc>
        <w:tc>
          <w:tcPr>
            <w:tcW w:w="4388" w:type="dxa"/>
            <w:tcBorders>
              <w:top w:val="single" w:sz="4" w:space="0" w:color="000000"/>
              <w:left w:val="single" w:sz="4" w:space="0" w:color="000000"/>
              <w:bottom w:val="single" w:sz="4" w:space="0" w:color="000000"/>
              <w:right w:val="single" w:sz="4" w:space="0" w:color="000000"/>
            </w:tcBorders>
          </w:tcPr>
          <w:p>
            <w:pPr>
              <w:pStyle w:val="Lentekstasarial"/>
              <w:spacing w:before="0" w:after="0"/>
              <w:rPr>
                <w:rFonts w:ascii="Times New Roman" w:hAnsi="Times New Roman"/>
              </w:rPr>
            </w:pPr>
            <w:r>
              <w:rPr>
                <w:rFonts w:ascii="Times New Roman" w:hAnsi="Times New Roman"/>
                <w:color w:themeColor="background2" w:themeShade="1a" w:val="171717"/>
                <w:sz w:val="22"/>
                <w:szCs w:val="22"/>
              </w:rPr>
              <w:t>Diegėjas:</w:t>
            </w:r>
          </w:p>
          <w:p>
            <w:pPr>
              <w:pStyle w:val="LENBUL1arial"/>
              <w:numPr>
                <w:ilvl w:val="0"/>
                <w:numId w:val="3"/>
              </w:numPr>
              <w:spacing w:before="0" w:after="120"/>
              <w:ind w:hanging="0" w:left="31"/>
              <w:contextualSpacing/>
              <w:rPr>
                <w:rFonts w:ascii="Times New Roman" w:hAnsi="Times New Roman"/>
              </w:rPr>
            </w:pPr>
            <w:r>
              <w:rPr>
                <w:rFonts w:ascii="Times New Roman" w:hAnsi="Times New Roman"/>
                <w:sz w:val="22"/>
                <w:szCs w:val="22"/>
              </w:rPr>
              <w:t>parengia Paslaugų teikimo reglamentą ir jį suderina su VTEK.</w:t>
            </w:r>
          </w:p>
          <w:p>
            <w:pPr>
              <w:pStyle w:val="Lentekstasarial"/>
              <w:spacing w:before="0" w:after="0"/>
              <w:rPr>
                <w:rFonts w:ascii="Times New Roman" w:hAnsi="Times New Roman"/>
              </w:rPr>
            </w:pPr>
            <w:r>
              <w:rPr>
                <w:rFonts w:ascii="Times New Roman" w:hAnsi="Times New Roman"/>
                <w:color w:themeColor="background2" w:themeShade="1a" w:val="171717"/>
                <w:sz w:val="22"/>
                <w:szCs w:val="22"/>
              </w:rPr>
              <w:t>VTEK (pagal kompetenciją):</w:t>
            </w:r>
          </w:p>
          <w:p>
            <w:pPr>
              <w:pStyle w:val="LENBUL1arial"/>
              <w:numPr>
                <w:ilvl w:val="0"/>
                <w:numId w:val="3"/>
              </w:numPr>
              <w:spacing w:before="0" w:after="120"/>
              <w:ind w:hanging="0" w:left="31"/>
              <w:contextualSpacing/>
              <w:rPr>
                <w:rFonts w:ascii="Times New Roman" w:hAnsi="Times New Roman"/>
              </w:rPr>
            </w:pPr>
            <w:r>
              <w:rPr>
                <w:rFonts w:ascii="Times New Roman" w:hAnsi="Times New Roman"/>
                <w:sz w:val="22"/>
                <w:szCs w:val="22"/>
              </w:rPr>
              <w:t>suteikia reikalingą informaciją;</w:t>
            </w:r>
          </w:p>
          <w:p>
            <w:pPr>
              <w:pStyle w:val="LENBUL1arial"/>
              <w:numPr>
                <w:ilvl w:val="0"/>
                <w:numId w:val="3"/>
              </w:numPr>
              <w:spacing w:before="0" w:after="120"/>
              <w:ind w:hanging="0" w:left="31"/>
              <w:contextualSpacing/>
              <w:rPr>
                <w:rFonts w:ascii="Times New Roman" w:hAnsi="Times New Roman"/>
              </w:rPr>
            </w:pPr>
            <w:r>
              <w:rPr>
                <w:rFonts w:ascii="Times New Roman" w:hAnsi="Times New Roman"/>
                <w:sz w:val="22"/>
                <w:szCs w:val="22"/>
              </w:rPr>
              <w:t>teikia pastabas ir rekomendacijas.</w:t>
            </w:r>
          </w:p>
        </w:tc>
        <w:tc>
          <w:tcPr>
            <w:tcW w:w="3933" w:type="dxa"/>
            <w:tcBorders>
              <w:top w:val="single" w:sz="4" w:space="0" w:color="000000"/>
              <w:left w:val="single" w:sz="4" w:space="0" w:color="000000"/>
              <w:bottom w:val="single" w:sz="4" w:space="0" w:color="000000"/>
              <w:right w:val="single" w:sz="4" w:space="0" w:color="000000"/>
            </w:tcBorders>
          </w:tcPr>
          <w:p>
            <w:pPr>
              <w:pStyle w:val="LENBUL1arial"/>
              <w:numPr>
                <w:ilvl w:val="0"/>
                <w:numId w:val="3"/>
              </w:numPr>
              <w:spacing w:before="120" w:after="120"/>
              <w:ind w:hanging="0" w:left="12"/>
              <w:contextualSpacing/>
              <w:rPr>
                <w:rFonts w:ascii="Times New Roman" w:hAnsi="Times New Roman"/>
              </w:rPr>
            </w:pPr>
            <w:r>
              <w:rPr>
                <w:rFonts w:ascii="Times New Roman" w:hAnsi="Times New Roman"/>
                <w:b/>
                <w:sz w:val="22"/>
                <w:szCs w:val="22"/>
              </w:rPr>
              <w:t>Paslaugų teikimo reglamentas</w:t>
            </w:r>
            <w:r>
              <w:rPr>
                <w:rFonts w:ascii="Times New Roman" w:hAnsi="Times New Roman"/>
                <w:sz w:val="22"/>
                <w:szCs w:val="22"/>
              </w:rPr>
              <w:t>. Paslaugų teikimo reglamente nurodoma etapų apimtys ir rezultatai, suinteresuotos šalys, darbų atlikimo grafikas, rizikos ir jų suvaldymo būdai, komunikavimo principai, atsakomybės ir kt.</w:t>
            </w:r>
          </w:p>
        </w:tc>
        <w:tc>
          <w:tcPr>
            <w:tcW w:w="2662" w:type="dxa"/>
            <w:tcBorders>
              <w:top w:val="single" w:sz="4" w:space="0" w:color="000000"/>
              <w:left w:val="single" w:sz="4" w:space="0" w:color="000000"/>
              <w:bottom w:val="single" w:sz="4" w:space="0" w:color="000000"/>
              <w:right w:val="single" w:sz="4" w:space="0" w:color="000000"/>
            </w:tcBorders>
          </w:tcPr>
          <w:p>
            <w:pPr>
              <w:pStyle w:val="Lentekstasarial"/>
              <w:spacing w:before="0" w:after="0"/>
              <w:rPr>
                <w:rFonts w:ascii="Times New Roman" w:hAnsi="Times New Roman"/>
              </w:rPr>
            </w:pPr>
            <w:r>
              <w:rPr>
                <w:rFonts w:ascii="Times New Roman" w:hAnsi="Times New Roman"/>
                <w:color w:themeColor="background2" w:themeShade="1a" w:val="171717"/>
                <w:sz w:val="22"/>
                <w:szCs w:val="22"/>
                <w:shd w:fill="FFFFFF" w:val="clear"/>
              </w:rPr>
              <w:t>Etapo rezultatai turi būti pateikti VTEK ne vėliau kaip per 5 darbo dienas nuo Sutarties įsigaliojimo datos.</w:t>
            </w:r>
          </w:p>
        </w:tc>
      </w:tr>
      <w:tr>
        <w:trPr/>
        <w:tc>
          <w:tcPr>
            <w:tcW w:w="890" w:type="dxa"/>
            <w:tcBorders>
              <w:top w:val="single" w:sz="4" w:space="0" w:color="000000"/>
              <w:left w:val="single" w:sz="4" w:space="0" w:color="000000"/>
              <w:bottom w:val="single" w:sz="4" w:space="0" w:color="000000"/>
              <w:right w:val="single" w:sz="4" w:space="0" w:color="000000"/>
            </w:tcBorders>
          </w:tcPr>
          <w:p>
            <w:pPr>
              <w:pStyle w:val="ListParagraph"/>
              <w:numPr>
                <w:ilvl w:val="1"/>
                <w:numId w:val="2"/>
              </w:numPr>
              <w:spacing w:before="0" w:after="0"/>
              <w:jc w:val="both"/>
              <w:rPr>
                <w:rFonts w:ascii="Times New Roman" w:hAnsi="Times New Roman"/>
                <w:sz w:val="22"/>
              </w:rPr>
            </w:pPr>
            <w:r>
              <w:rPr>
                <w:rFonts w:ascii="Times New Roman" w:hAnsi="Times New Roman"/>
                <w:sz w:val="22"/>
              </w:rPr>
            </w:r>
          </w:p>
        </w:tc>
        <w:tc>
          <w:tcPr>
            <w:tcW w:w="1699" w:type="dxa"/>
            <w:tcBorders>
              <w:top w:val="single" w:sz="4" w:space="0" w:color="000000"/>
              <w:left w:val="single" w:sz="4" w:space="0" w:color="000000"/>
              <w:bottom w:val="single" w:sz="4" w:space="0" w:color="000000"/>
              <w:right w:val="single" w:sz="4" w:space="0" w:color="000000"/>
            </w:tcBorders>
          </w:tcPr>
          <w:p>
            <w:pPr>
              <w:pStyle w:val="Lentekstasarial"/>
              <w:spacing w:before="0" w:after="0"/>
              <w:rPr>
                <w:rFonts w:ascii="Times New Roman" w:hAnsi="Times New Roman"/>
              </w:rPr>
            </w:pPr>
            <w:r>
              <w:rPr>
                <w:rFonts w:ascii="Times New Roman" w:hAnsi="Times New Roman"/>
                <w:b/>
                <w:color w:themeColor="background2" w:themeShade="1a" w:val="171717"/>
                <w:sz w:val="22"/>
                <w:szCs w:val="22"/>
              </w:rPr>
              <w:t>Detali analizė</w:t>
            </w:r>
          </w:p>
        </w:tc>
        <w:tc>
          <w:tcPr>
            <w:tcW w:w="4388" w:type="dxa"/>
            <w:tcBorders>
              <w:top w:val="single" w:sz="4" w:space="0" w:color="000000"/>
              <w:left w:val="single" w:sz="4" w:space="0" w:color="000000"/>
              <w:bottom w:val="single" w:sz="4" w:space="0" w:color="000000"/>
              <w:right w:val="single" w:sz="4" w:space="0" w:color="000000"/>
            </w:tcBorders>
          </w:tcPr>
          <w:p>
            <w:pPr>
              <w:pStyle w:val="Lentekstasarial"/>
              <w:spacing w:before="0" w:after="0"/>
              <w:rPr>
                <w:rFonts w:ascii="Times New Roman" w:hAnsi="Times New Roman"/>
              </w:rPr>
            </w:pPr>
            <w:r>
              <w:rPr>
                <w:rFonts w:ascii="Times New Roman" w:hAnsi="Times New Roman"/>
                <w:color w:themeColor="background2" w:themeShade="1a" w:val="171717"/>
                <w:sz w:val="22"/>
                <w:szCs w:val="22"/>
              </w:rPr>
              <w:t>Diegėjas:</w:t>
            </w:r>
          </w:p>
          <w:p>
            <w:pPr>
              <w:pStyle w:val="LENBUL1arial"/>
              <w:numPr>
                <w:ilvl w:val="0"/>
                <w:numId w:val="3"/>
              </w:numPr>
              <w:spacing w:before="0" w:after="120"/>
              <w:ind w:hanging="0" w:left="31"/>
              <w:contextualSpacing/>
              <w:rPr>
                <w:rFonts w:ascii="Times New Roman" w:hAnsi="Times New Roman"/>
              </w:rPr>
            </w:pPr>
            <w:r>
              <w:rPr>
                <w:rFonts w:ascii="Times New Roman" w:hAnsi="Times New Roman"/>
                <w:sz w:val="22"/>
                <w:szCs w:val="22"/>
              </w:rPr>
              <w:t>atlieka esamos ir siekiamos padėties įvertinimą, parengia detalios analizės dokumentaciją ir ją suderina su VTEK.</w:t>
            </w:r>
          </w:p>
          <w:p>
            <w:pPr>
              <w:pStyle w:val="Lentekstasarial"/>
              <w:spacing w:before="0" w:after="0"/>
              <w:rPr>
                <w:rFonts w:ascii="Times New Roman" w:hAnsi="Times New Roman"/>
              </w:rPr>
            </w:pPr>
            <w:r>
              <w:rPr>
                <w:rFonts w:ascii="Times New Roman" w:hAnsi="Times New Roman"/>
                <w:color w:themeColor="background2" w:themeShade="1a" w:val="171717"/>
                <w:sz w:val="22"/>
                <w:szCs w:val="22"/>
              </w:rPr>
              <w:t>VTEK (pagal kompetenciją):</w:t>
            </w:r>
          </w:p>
          <w:p>
            <w:pPr>
              <w:pStyle w:val="LENBUL1arial"/>
              <w:numPr>
                <w:ilvl w:val="0"/>
                <w:numId w:val="3"/>
              </w:numPr>
              <w:spacing w:before="0" w:after="120"/>
              <w:ind w:hanging="0" w:left="31"/>
              <w:contextualSpacing/>
              <w:rPr>
                <w:rFonts w:ascii="Times New Roman" w:hAnsi="Times New Roman"/>
              </w:rPr>
            </w:pPr>
            <w:r>
              <w:rPr>
                <w:rFonts w:ascii="Times New Roman" w:hAnsi="Times New Roman"/>
                <w:sz w:val="22"/>
                <w:szCs w:val="22"/>
              </w:rPr>
              <w:t>suteikia reikalingą informaciją;</w:t>
            </w:r>
          </w:p>
          <w:p>
            <w:pPr>
              <w:pStyle w:val="LENBUL1arial"/>
              <w:numPr>
                <w:ilvl w:val="0"/>
                <w:numId w:val="3"/>
              </w:numPr>
              <w:spacing w:before="0" w:after="120"/>
              <w:ind w:hanging="0" w:left="31"/>
              <w:contextualSpacing/>
              <w:rPr>
                <w:rFonts w:ascii="Times New Roman" w:hAnsi="Times New Roman"/>
              </w:rPr>
            </w:pPr>
            <w:r>
              <w:rPr>
                <w:rFonts w:ascii="Times New Roman" w:hAnsi="Times New Roman"/>
                <w:sz w:val="22"/>
                <w:szCs w:val="22"/>
              </w:rPr>
              <w:t>teikia pastabas ir rekomendacijas;</w:t>
            </w:r>
          </w:p>
          <w:p>
            <w:pPr>
              <w:pStyle w:val="LENBUL1arial"/>
              <w:numPr>
                <w:ilvl w:val="0"/>
                <w:numId w:val="3"/>
              </w:numPr>
              <w:spacing w:before="0" w:after="120"/>
              <w:ind w:hanging="0" w:left="31"/>
              <w:contextualSpacing/>
              <w:rPr>
                <w:rFonts w:ascii="Times New Roman" w:hAnsi="Times New Roman"/>
              </w:rPr>
            </w:pPr>
            <w:r>
              <w:rPr>
                <w:rFonts w:ascii="Times New Roman" w:hAnsi="Times New Roman"/>
                <w:sz w:val="22"/>
                <w:szCs w:val="22"/>
              </w:rPr>
              <w:t>tvirtina etapo Diegėjo rezultatus.</w:t>
            </w:r>
          </w:p>
        </w:tc>
        <w:tc>
          <w:tcPr>
            <w:tcW w:w="3933" w:type="dxa"/>
            <w:tcBorders>
              <w:top w:val="single" w:sz="4" w:space="0" w:color="000000"/>
              <w:left w:val="single" w:sz="4" w:space="0" w:color="000000"/>
              <w:bottom w:val="single" w:sz="4" w:space="0" w:color="000000"/>
              <w:right w:val="single" w:sz="4" w:space="0" w:color="000000"/>
            </w:tcBorders>
          </w:tcPr>
          <w:p>
            <w:pPr>
              <w:pStyle w:val="LENBUL1arial"/>
              <w:numPr>
                <w:ilvl w:val="0"/>
                <w:numId w:val="3"/>
              </w:numPr>
              <w:spacing w:before="120" w:after="120"/>
              <w:ind w:hanging="0" w:left="12"/>
              <w:contextualSpacing/>
              <w:rPr>
                <w:rFonts w:ascii="Times New Roman" w:hAnsi="Times New Roman"/>
              </w:rPr>
            </w:pPr>
            <w:r>
              <w:rPr>
                <w:rFonts w:ascii="Times New Roman" w:hAnsi="Times New Roman"/>
                <w:b/>
                <w:sz w:val="22"/>
                <w:szCs w:val="22"/>
              </w:rPr>
              <w:t>Detalios analizės dokumentai.</w:t>
            </w:r>
            <w:r>
              <w:rPr>
                <w:rFonts w:ascii="Times New Roman" w:hAnsi="Times New Roman"/>
                <w:sz w:val="22"/>
                <w:szCs w:val="22"/>
              </w:rPr>
              <w:t xml:space="preserve"> Detalios analizės dokumentuose išanalizuojami ir detalizuojami funkciniai ir nefunkciniai Techninės specifikacijos reikalavimai bei kiti VTEK išsakyti poreikiai, parengiami panaudojimo atvejai (angl. </w:t>
            </w:r>
            <w:r>
              <w:rPr>
                <w:rFonts w:ascii="Times New Roman" w:hAnsi="Times New Roman"/>
                <w:i/>
                <w:sz w:val="22"/>
                <w:szCs w:val="22"/>
              </w:rPr>
              <w:t>use case</w:t>
            </w:r>
            <w:r>
              <w:rPr>
                <w:rFonts w:ascii="Times New Roman" w:hAnsi="Times New Roman"/>
                <w:sz w:val="22"/>
                <w:szCs w:val="22"/>
              </w:rPr>
              <w:t xml:space="preserve">), kurie pateikiami panaudos atvejų diagramomis pagal UML (angl. </w:t>
            </w:r>
            <w:r>
              <w:rPr>
                <w:rFonts w:ascii="Times New Roman" w:hAnsi="Times New Roman"/>
                <w:i/>
                <w:sz w:val="22"/>
                <w:szCs w:val="22"/>
              </w:rPr>
              <w:t>Unified Modeling Language</w:t>
            </w:r>
            <w:r>
              <w:rPr>
                <w:rFonts w:ascii="Times New Roman" w:hAnsi="Times New Roman"/>
                <w:sz w:val="22"/>
                <w:szCs w:val="22"/>
              </w:rPr>
              <w:t>) notaciją ir detalizuojami aprašant kiekvieno panaudos atvejo vykdymo žingsnius (pagrindinę eigą, alternatyvią eigą, išimtinę eigą) ir kitus apribojimus. Turi būti atliktas visų šios Techninės specifikacijos funkcinių ir nefunkcinių reikalavimų susiejimas su detalios analizės dokumento turiniu (skyriais, panaudos atvejais, diagramomis ir pan.). Siejimas turi būti atliekamas tokia forma, kad būtų aišku kokiu būdu yra projektuojamas ir realizuojamas kiekvienas šios Techninės specifikacijos reikalavimas.</w:t>
            </w:r>
          </w:p>
        </w:tc>
        <w:tc>
          <w:tcPr>
            <w:tcW w:w="2662" w:type="dxa"/>
            <w:tcBorders>
              <w:top w:val="single" w:sz="4" w:space="0" w:color="000000"/>
              <w:left w:val="single" w:sz="4" w:space="0" w:color="000000"/>
              <w:bottom w:val="single" w:sz="4" w:space="0" w:color="000000"/>
              <w:right w:val="single" w:sz="4" w:space="0" w:color="000000"/>
            </w:tcBorders>
          </w:tcPr>
          <w:p>
            <w:pPr>
              <w:pStyle w:val="Lentekstasarial"/>
              <w:spacing w:before="0" w:after="0"/>
              <w:rPr>
                <w:rFonts w:ascii="Times New Roman" w:hAnsi="Times New Roman"/>
              </w:rPr>
            </w:pPr>
            <w:r>
              <w:rPr>
                <w:rFonts w:ascii="Times New Roman" w:hAnsi="Times New Roman"/>
                <w:color w:themeColor="background2" w:themeShade="1a" w:val="171717"/>
                <w:sz w:val="22"/>
                <w:szCs w:val="22"/>
                <w:shd w:fill="FFFFFF" w:val="clear"/>
              </w:rPr>
              <w:t xml:space="preserve">Etapo rezultatai turi būti pateikti VTEK ne vėliau kaip per </w:t>
            </w:r>
            <w:r>
              <w:rPr>
                <w:rFonts w:ascii="Times New Roman" w:hAnsi="Times New Roman"/>
                <w:color w:themeColor="background2" w:themeShade="1a" w:val="171717"/>
                <w:sz w:val="22"/>
                <w:szCs w:val="22"/>
                <w:shd w:fill="FFFFFF" w:val="clear"/>
                <w:lang w:val="en-US"/>
              </w:rPr>
              <w:t>2</w:t>
            </w:r>
            <w:r>
              <w:rPr>
                <w:rFonts w:ascii="Times New Roman" w:hAnsi="Times New Roman"/>
                <w:color w:themeColor="background2" w:themeShade="1a" w:val="171717"/>
                <w:sz w:val="22"/>
                <w:szCs w:val="22"/>
                <w:shd w:fill="FFFFFF" w:val="clear"/>
              </w:rPr>
              <w:t xml:space="preserve"> mėnesį nuo Paslaugų teikimo sutarties įsigaliojimo datos.</w:t>
            </w:r>
          </w:p>
        </w:tc>
      </w:tr>
      <w:tr>
        <w:trPr/>
        <w:tc>
          <w:tcPr>
            <w:tcW w:w="890" w:type="dxa"/>
            <w:tcBorders>
              <w:top w:val="single" w:sz="4" w:space="0" w:color="000000"/>
              <w:left w:val="single" w:sz="4" w:space="0" w:color="000000"/>
              <w:bottom w:val="single" w:sz="4" w:space="0" w:color="000000"/>
              <w:right w:val="single" w:sz="4" w:space="0" w:color="000000"/>
            </w:tcBorders>
          </w:tcPr>
          <w:p>
            <w:pPr>
              <w:pStyle w:val="ListParagraph"/>
              <w:numPr>
                <w:ilvl w:val="1"/>
                <w:numId w:val="2"/>
              </w:numPr>
              <w:spacing w:before="0" w:after="0"/>
              <w:jc w:val="both"/>
              <w:rPr>
                <w:rFonts w:ascii="Times New Roman" w:hAnsi="Times New Roman"/>
                <w:sz w:val="22"/>
              </w:rPr>
            </w:pPr>
            <w:r>
              <w:rPr>
                <w:rFonts w:ascii="Times New Roman" w:hAnsi="Times New Roman"/>
                <w:sz w:val="22"/>
              </w:rPr>
            </w:r>
          </w:p>
        </w:tc>
        <w:tc>
          <w:tcPr>
            <w:tcW w:w="1699" w:type="dxa"/>
            <w:tcBorders>
              <w:top w:val="single" w:sz="4" w:space="0" w:color="000000"/>
              <w:left w:val="single" w:sz="4" w:space="0" w:color="000000"/>
              <w:bottom w:val="single" w:sz="4" w:space="0" w:color="000000"/>
              <w:right w:val="single" w:sz="4" w:space="0" w:color="000000"/>
            </w:tcBorders>
          </w:tcPr>
          <w:p>
            <w:pPr>
              <w:pStyle w:val="Lentekstasarial"/>
              <w:spacing w:before="0" w:after="0"/>
              <w:rPr>
                <w:rFonts w:ascii="Times New Roman" w:hAnsi="Times New Roman"/>
              </w:rPr>
            </w:pPr>
            <w:r>
              <w:rPr>
                <w:rFonts w:ascii="Times New Roman" w:hAnsi="Times New Roman"/>
                <w:b/>
                <w:color w:themeColor="background2" w:themeShade="1a" w:val="171717"/>
                <w:sz w:val="22"/>
                <w:szCs w:val="22"/>
              </w:rPr>
              <w:t>Projektavimas</w:t>
            </w:r>
          </w:p>
        </w:tc>
        <w:tc>
          <w:tcPr>
            <w:tcW w:w="4388" w:type="dxa"/>
            <w:tcBorders>
              <w:top w:val="single" w:sz="4" w:space="0" w:color="000000"/>
              <w:left w:val="single" w:sz="4" w:space="0" w:color="000000"/>
              <w:bottom w:val="single" w:sz="4" w:space="0" w:color="000000"/>
              <w:right w:val="single" w:sz="4" w:space="0" w:color="000000"/>
            </w:tcBorders>
          </w:tcPr>
          <w:p>
            <w:pPr>
              <w:pStyle w:val="Lentekstasarial"/>
              <w:spacing w:before="0" w:after="0"/>
              <w:rPr>
                <w:rFonts w:ascii="Times New Roman" w:hAnsi="Times New Roman"/>
              </w:rPr>
            </w:pPr>
            <w:r>
              <w:rPr>
                <w:rFonts w:ascii="Times New Roman" w:hAnsi="Times New Roman"/>
                <w:color w:themeColor="background2" w:themeShade="1a" w:val="171717"/>
                <w:sz w:val="22"/>
                <w:szCs w:val="22"/>
              </w:rPr>
              <w:t>Diegėjas</w:t>
            </w:r>
          </w:p>
          <w:p>
            <w:pPr>
              <w:pStyle w:val="LENBUL1arial"/>
              <w:numPr>
                <w:ilvl w:val="0"/>
                <w:numId w:val="3"/>
              </w:numPr>
              <w:spacing w:before="0" w:after="120"/>
              <w:ind w:hanging="0" w:left="31"/>
              <w:contextualSpacing/>
              <w:rPr>
                <w:rFonts w:ascii="Times New Roman" w:hAnsi="Times New Roman"/>
              </w:rPr>
            </w:pPr>
            <w:r>
              <w:rPr>
                <w:rFonts w:ascii="Times New Roman" w:hAnsi="Times New Roman"/>
                <w:sz w:val="22"/>
                <w:szCs w:val="22"/>
              </w:rPr>
              <w:t>parengia modernizuojamos PINREG dalies projektavimo dokumentaciją ir ją suderina su VTEK.</w:t>
            </w:r>
          </w:p>
          <w:p>
            <w:pPr>
              <w:pStyle w:val="LENBUL1arial"/>
              <w:numPr>
                <w:ilvl w:val="0"/>
                <w:numId w:val="0"/>
              </w:numPr>
              <w:spacing w:before="0" w:after="120"/>
              <w:ind w:hanging="0" w:left="31"/>
              <w:contextualSpacing/>
              <w:rPr>
                <w:rFonts w:ascii="Times New Roman" w:hAnsi="Times New Roman"/>
                <w:sz w:val="22"/>
                <w:szCs w:val="22"/>
              </w:rPr>
            </w:pPr>
            <w:r>
              <w:rPr>
                <w:rFonts w:ascii="Times New Roman" w:hAnsi="Times New Roman"/>
                <w:sz w:val="22"/>
                <w:szCs w:val="22"/>
              </w:rPr>
            </w:r>
          </w:p>
          <w:p>
            <w:pPr>
              <w:pStyle w:val="LENBUL1arial"/>
              <w:numPr>
                <w:ilvl w:val="0"/>
                <w:numId w:val="0"/>
              </w:numPr>
              <w:spacing w:before="0" w:after="120"/>
              <w:ind w:hanging="0" w:left="31"/>
              <w:contextualSpacing/>
              <w:rPr>
                <w:rFonts w:ascii="Times New Roman" w:hAnsi="Times New Roman"/>
              </w:rPr>
            </w:pPr>
            <w:r>
              <w:rPr>
                <w:rFonts w:ascii="Times New Roman" w:hAnsi="Times New Roman"/>
                <w:color w:themeColor="background2" w:themeShade="1a" w:val="171717"/>
                <w:sz w:val="22"/>
                <w:szCs w:val="22"/>
              </w:rPr>
              <w:t>VTEK (pagal kompetenciją):</w:t>
            </w:r>
          </w:p>
          <w:p>
            <w:pPr>
              <w:pStyle w:val="LENBUL1arial"/>
              <w:numPr>
                <w:ilvl w:val="0"/>
                <w:numId w:val="3"/>
              </w:numPr>
              <w:spacing w:before="0" w:after="120"/>
              <w:ind w:hanging="0" w:left="31"/>
              <w:contextualSpacing/>
              <w:rPr>
                <w:rFonts w:ascii="Times New Roman" w:hAnsi="Times New Roman"/>
              </w:rPr>
            </w:pPr>
            <w:r>
              <w:rPr>
                <w:rFonts w:ascii="Times New Roman" w:hAnsi="Times New Roman"/>
                <w:sz w:val="22"/>
                <w:szCs w:val="22"/>
              </w:rPr>
              <w:t>suteikia reikalingą informaciją;</w:t>
            </w:r>
          </w:p>
          <w:p>
            <w:pPr>
              <w:pStyle w:val="LENBUL1arial"/>
              <w:numPr>
                <w:ilvl w:val="0"/>
                <w:numId w:val="3"/>
              </w:numPr>
              <w:spacing w:before="0" w:after="120"/>
              <w:ind w:hanging="0" w:left="31"/>
              <w:contextualSpacing/>
              <w:rPr>
                <w:rFonts w:ascii="Times New Roman" w:hAnsi="Times New Roman"/>
              </w:rPr>
            </w:pPr>
            <w:r>
              <w:rPr>
                <w:rFonts w:ascii="Times New Roman" w:hAnsi="Times New Roman"/>
                <w:sz w:val="22"/>
                <w:szCs w:val="22"/>
              </w:rPr>
              <w:t>teikia pastabas ir rekomendacijas paslaugų rezultatams;</w:t>
            </w:r>
          </w:p>
          <w:p>
            <w:pPr>
              <w:pStyle w:val="LENBUL1arial"/>
              <w:numPr>
                <w:ilvl w:val="0"/>
                <w:numId w:val="3"/>
              </w:numPr>
              <w:spacing w:before="0" w:after="120"/>
              <w:ind w:hanging="0" w:left="31"/>
              <w:contextualSpacing/>
              <w:rPr>
                <w:rFonts w:ascii="Times New Roman" w:hAnsi="Times New Roman"/>
              </w:rPr>
            </w:pPr>
            <w:r>
              <w:rPr>
                <w:rFonts w:ascii="Times New Roman" w:hAnsi="Times New Roman"/>
                <w:sz w:val="22"/>
                <w:szCs w:val="22"/>
              </w:rPr>
              <w:t>tvirtina etapo Diegėjo rezultatus.</w:t>
            </w:r>
          </w:p>
        </w:tc>
        <w:tc>
          <w:tcPr>
            <w:tcW w:w="3933" w:type="dxa"/>
            <w:tcBorders>
              <w:top w:val="single" w:sz="4" w:space="0" w:color="000000"/>
              <w:left w:val="single" w:sz="4" w:space="0" w:color="000000"/>
              <w:bottom w:val="single" w:sz="4" w:space="0" w:color="000000"/>
              <w:right w:val="single" w:sz="4" w:space="0" w:color="000000"/>
            </w:tcBorders>
          </w:tcPr>
          <w:p>
            <w:pPr>
              <w:pStyle w:val="LENBUL1arial"/>
              <w:numPr>
                <w:ilvl w:val="0"/>
                <w:numId w:val="3"/>
              </w:numPr>
              <w:spacing w:before="120" w:after="120"/>
              <w:ind w:hanging="0" w:left="7"/>
              <w:contextualSpacing/>
              <w:rPr>
                <w:rFonts w:ascii="Times New Roman" w:hAnsi="Times New Roman"/>
              </w:rPr>
            </w:pPr>
            <w:r>
              <w:rPr>
                <w:rFonts w:ascii="Times New Roman" w:hAnsi="Times New Roman"/>
                <w:b/>
                <w:sz w:val="22"/>
                <w:szCs w:val="22"/>
              </w:rPr>
              <w:t>Projektavimo dokumentai</w:t>
            </w:r>
            <w:r>
              <w:rPr>
                <w:rFonts w:ascii="Times New Roman" w:hAnsi="Times New Roman"/>
                <w:sz w:val="22"/>
                <w:szCs w:val="22"/>
              </w:rPr>
              <w:t>. Projektavimo dokumente pateikiama: PINREG modernizuotos dalies architektūros aprašymas fizinių komponentų ir programinių komponentų požiūriu, naudojamos technologijos (jų pavadinimai, versijos), informacinis vaizdas (duomenų bazės struktūros, duomenų bazių sąsajų schemos ir kt.), funkcinis vaizdas (PINREG modernizuotos dalies funkciniai vienetai, jų funkcijos, tarpusavio sąsajos, naudotojo sąsajos prototipai) ir kt.</w:t>
            </w:r>
          </w:p>
          <w:p>
            <w:pPr>
              <w:pStyle w:val="LENBUL1arial"/>
              <w:numPr>
                <w:ilvl w:val="0"/>
                <w:numId w:val="0"/>
              </w:numPr>
              <w:spacing w:before="120" w:after="120"/>
              <w:ind w:hanging="360" w:left="720"/>
              <w:contextualSpacing/>
              <w:rPr>
                <w:rFonts w:ascii="Times New Roman" w:hAnsi="Times New Roman"/>
                <w:sz w:val="22"/>
                <w:szCs w:val="22"/>
              </w:rPr>
            </w:pPr>
            <w:r>
              <w:rPr>
                <w:rFonts w:ascii="Times New Roman" w:hAnsi="Times New Roman"/>
                <w:sz w:val="22"/>
                <w:szCs w:val="22"/>
              </w:rPr>
            </w:r>
          </w:p>
        </w:tc>
        <w:tc>
          <w:tcPr>
            <w:tcW w:w="2662" w:type="dxa"/>
            <w:tcBorders>
              <w:top w:val="single" w:sz="4" w:space="0" w:color="000000"/>
              <w:left w:val="single" w:sz="4" w:space="0" w:color="000000"/>
              <w:bottom w:val="single" w:sz="4" w:space="0" w:color="000000"/>
              <w:right w:val="single" w:sz="4" w:space="0" w:color="000000"/>
            </w:tcBorders>
          </w:tcPr>
          <w:p>
            <w:pPr>
              <w:pStyle w:val="Lentekstasarial"/>
              <w:spacing w:before="0" w:after="0"/>
              <w:rPr>
                <w:rFonts w:ascii="Times New Roman" w:hAnsi="Times New Roman"/>
              </w:rPr>
            </w:pPr>
            <w:r>
              <w:rPr>
                <w:rFonts w:ascii="Times New Roman" w:hAnsi="Times New Roman"/>
                <w:color w:themeColor="background2" w:themeShade="1a" w:val="171717"/>
                <w:sz w:val="22"/>
                <w:szCs w:val="22"/>
              </w:rPr>
              <w:t>Etapo rezultatai turi būti pateikti VTEK ne vėliau kaip p</w:t>
            </w:r>
            <w:r>
              <w:rPr>
                <w:rFonts w:ascii="Times New Roman" w:hAnsi="Times New Roman"/>
                <w:color w:themeColor="background2" w:themeShade="1a" w:val="171717"/>
                <w:sz w:val="22"/>
                <w:szCs w:val="22"/>
                <w:shd w:fill="FFFFFF" w:val="clear"/>
              </w:rPr>
              <w:t xml:space="preserve">er 2 mėnesius </w:t>
            </w:r>
            <w:r>
              <w:rPr>
                <w:rFonts w:ascii="Times New Roman" w:hAnsi="Times New Roman"/>
                <w:color w:themeColor="background2" w:themeShade="1a" w:val="171717"/>
                <w:sz w:val="22"/>
                <w:szCs w:val="22"/>
              </w:rPr>
              <w:t>nuo Paslaugų teikimo sutarties įsigaliojimo datos.</w:t>
            </w:r>
          </w:p>
        </w:tc>
      </w:tr>
      <w:tr>
        <w:trPr/>
        <w:tc>
          <w:tcPr>
            <w:tcW w:w="890" w:type="dxa"/>
            <w:tcBorders>
              <w:top w:val="single" w:sz="4" w:space="0" w:color="000000"/>
              <w:left w:val="single" w:sz="4" w:space="0" w:color="000000"/>
              <w:bottom w:val="single" w:sz="4" w:space="0" w:color="000000"/>
              <w:right w:val="single" w:sz="4" w:space="0" w:color="000000"/>
            </w:tcBorders>
          </w:tcPr>
          <w:p>
            <w:pPr>
              <w:pStyle w:val="ListParagraph"/>
              <w:numPr>
                <w:ilvl w:val="1"/>
                <w:numId w:val="2"/>
              </w:numPr>
              <w:spacing w:before="0" w:after="0"/>
              <w:jc w:val="both"/>
              <w:rPr>
                <w:rFonts w:ascii="Times New Roman" w:hAnsi="Times New Roman"/>
                <w:sz w:val="22"/>
              </w:rPr>
            </w:pPr>
            <w:r>
              <w:rPr>
                <w:rFonts w:ascii="Times New Roman" w:hAnsi="Times New Roman"/>
                <w:sz w:val="22"/>
              </w:rPr>
            </w:r>
          </w:p>
        </w:tc>
        <w:tc>
          <w:tcPr>
            <w:tcW w:w="1699" w:type="dxa"/>
            <w:tcBorders>
              <w:top w:val="single" w:sz="4" w:space="0" w:color="000000"/>
              <w:left w:val="single" w:sz="4" w:space="0" w:color="000000"/>
              <w:bottom w:val="single" w:sz="4" w:space="0" w:color="000000"/>
              <w:right w:val="single" w:sz="4" w:space="0" w:color="000000"/>
            </w:tcBorders>
          </w:tcPr>
          <w:p>
            <w:pPr>
              <w:pStyle w:val="Lentekstasarial"/>
              <w:spacing w:before="0" w:after="0"/>
              <w:rPr>
                <w:rFonts w:ascii="Times New Roman" w:hAnsi="Times New Roman"/>
              </w:rPr>
            </w:pPr>
            <w:r>
              <w:rPr>
                <w:rFonts w:ascii="Times New Roman" w:hAnsi="Times New Roman"/>
                <w:b/>
                <w:color w:themeColor="background2" w:themeShade="1a" w:val="171717"/>
                <w:sz w:val="22"/>
                <w:szCs w:val="22"/>
              </w:rPr>
              <w:t>Kūrimas (konstravimas)</w:t>
            </w:r>
          </w:p>
        </w:tc>
        <w:tc>
          <w:tcPr>
            <w:tcW w:w="4388" w:type="dxa"/>
            <w:tcBorders>
              <w:top w:val="single" w:sz="4" w:space="0" w:color="000000"/>
              <w:left w:val="single" w:sz="4" w:space="0" w:color="000000"/>
              <w:bottom w:val="single" w:sz="4" w:space="0" w:color="000000"/>
              <w:right w:val="single" w:sz="4" w:space="0" w:color="000000"/>
            </w:tcBorders>
          </w:tcPr>
          <w:p>
            <w:pPr>
              <w:pStyle w:val="Lentekstasarial"/>
              <w:spacing w:before="0" w:after="0"/>
              <w:rPr>
                <w:rFonts w:ascii="Times New Roman" w:hAnsi="Times New Roman"/>
              </w:rPr>
            </w:pPr>
            <w:r>
              <w:rPr>
                <w:rFonts w:ascii="Times New Roman" w:hAnsi="Times New Roman"/>
                <w:color w:val="auto"/>
                <w:sz w:val="22"/>
                <w:szCs w:val="22"/>
              </w:rPr>
              <w:t>Diegėjas:</w:t>
            </w:r>
          </w:p>
          <w:p>
            <w:pPr>
              <w:pStyle w:val="LENBUL1arial"/>
              <w:numPr>
                <w:ilvl w:val="0"/>
                <w:numId w:val="3"/>
              </w:numPr>
              <w:spacing w:before="0" w:after="120"/>
              <w:ind w:hanging="0" w:left="31"/>
              <w:contextualSpacing/>
              <w:rPr>
                <w:rFonts w:ascii="Times New Roman" w:hAnsi="Times New Roman"/>
              </w:rPr>
            </w:pPr>
            <w:r>
              <w:rPr>
                <w:rFonts w:ascii="Times New Roman" w:hAnsi="Times New Roman"/>
                <w:sz w:val="22"/>
                <w:szCs w:val="22"/>
              </w:rPr>
              <w:t>vykdo reikalingus programavimo ir programinio konfigūravimo darbus (savo kūrimo aplinkoje), įgyvendina funkcinius ir nefunkcinius reikalavimus;</w:t>
            </w:r>
          </w:p>
          <w:p>
            <w:pPr>
              <w:pStyle w:val="LENBUL1arial"/>
              <w:numPr>
                <w:ilvl w:val="0"/>
                <w:numId w:val="3"/>
              </w:numPr>
              <w:spacing w:before="0" w:after="120"/>
              <w:ind w:hanging="0" w:left="31"/>
              <w:contextualSpacing/>
              <w:rPr>
                <w:rFonts w:ascii="Times New Roman" w:hAnsi="Times New Roman"/>
              </w:rPr>
            </w:pPr>
            <w:r>
              <w:rPr>
                <w:rFonts w:ascii="Times New Roman" w:hAnsi="Times New Roman"/>
                <w:sz w:val="22"/>
                <w:szCs w:val="22"/>
              </w:rPr>
              <w:t>atlieka komponentų (angl. unit) testavimą, vidinį saugumo testavimą, PINREG modernizuotos dalies vidinį testavimą ir parengia vidinio testavimo ataskaitą;</w:t>
            </w:r>
          </w:p>
          <w:p>
            <w:pPr>
              <w:pStyle w:val="LENBUL1arial"/>
              <w:numPr>
                <w:ilvl w:val="0"/>
                <w:numId w:val="3"/>
              </w:numPr>
              <w:spacing w:before="0" w:after="120"/>
              <w:ind w:hanging="0" w:left="31"/>
              <w:contextualSpacing/>
              <w:rPr>
                <w:rFonts w:ascii="Times New Roman" w:hAnsi="Times New Roman"/>
              </w:rPr>
            </w:pPr>
            <w:r>
              <w:rPr>
                <w:rFonts w:ascii="Times New Roman" w:hAnsi="Times New Roman"/>
                <w:sz w:val="22"/>
                <w:szCs w:val="22"/>
              </w:rPr>
              <w:t>vykdo PINREG modernizuotos dalies demonstraciją.</w:t>
            </w:r>
          </w:p>
          <w:p>
            <w:pPr>
              <w:pStyle w:val="Lentekstasarial"/>
              <w:spacing w:before="0" w:after="0"/>
              <w:rPr>
                <w:rFonts w:ascii="Times New Roman" w:hAnsi="Times New Roman"/>
              </w:rPr>
            </w:pPr>
            <w:r>
              <w:rPr>
                <w:rFonts w:ascii="Times New Roman" w:hAnsi="Times New Roman"/>
                <w:color w:val="auto"/>
                <w:sz w:val="22"/>
                <w:szCs w:val="22"/>
              </w:rPr>
              <w:t>VTEK (pagal kompetenciją):</w:t>
            </w:r>
          </w:p>
          <w:p>
            <w:pPr>
              <w:pStyle w:val="LENBUL1arial"/>
              <w:numPr>
                <w:ilvl w:val="0"/>
                <w:numId w:val="3"/>
              </w:numPr>
              <w:spacing w:before="0" w:after="120"/>
              <w:ind w:hanging="0" w:left="31"/>
              <w:contextualSpacing/>
              <w:rPr>
                <w:rFonts w:ascii="Times New Roman" w:hAnsi="Times New Roman"/>
              </w:rPr>
            </w:pPr>
            <w:r>
              <w:rPr>
                <w:rFonts w:ascii="Times New Roman" w:hAnsi="Times New Roman"/>
                <w:sz w:val="22"/>
                <w:szCs w:val="22"/>
              </w:rPr>
              <w:t>suteikia reikalingą informaciją;</w:t>
            </w:r>
          </w:p>
          <w:p>
            <w:pPr>
              <w:pStyle w:val="LENBUL1arial"/>
              <w:numPr>
                <w:ilvl w:val="0"/>
                <w:numId w:val="3"/>
              </w:numPr>
              <w:spacing w:before="0" w:after="120"/>
              <w:ind w:hanging="0" w:left="31"/>
              <w:contextualSpacing/>
              <w:rPr>
                <w:rFonts w:ascii="Times New Roman" w:hAnsi="Times New Roman"/>
              </w:rPr>
            </w:pPr>
            <w:r>
              <w:rPr>
                <w:rFonts w:ascii="Times New Roman" w:hAnsi="Times New Roman"/>
                <w:sz w:val="22"/>
                <w:szCs w:val="22"/>
              </w:rPr>
              <w:t>peržiūri ir įvertina vidinio testavimo rezultatus;</w:t>
            </w:r>
          </w:p>
          <w:p>
            <w:pPr>
              <w:pStyle w:val="LENBUL1arial"/>
              <w:numPr>
                <w:ilvl w:val="0"/>
                <w:numId w:val="3"/>
              </w:numPr>
              <w:spacing w:before="0" w:after="120"/>
              <w:ind w:hanging="0" w:left="31"/>
              <w:contextualSpacing/>
              <w:rPr>
                <w:rFonts w:ascii="Times New Roman" w:hAnsi="Times New Roman"/>
              </w:rPr>
            </w:pPr>
            <w:r>
              <w:rPr>
                <w:rFonts w:ascii="Times New Roman" w:hAnsi="Times New Roman"/>
                <w:sz w:val="22"/>
                <w:szCs w:val="22"/>
              </w:rPr>
              <w:t>teikia pastabas ir rekomendacijas Diegėjo parengtai dokumentacijai.</w:t>
            </w:r>
          </w:p>
          <w:p>
            <w:pPr>
              <w:pStyle w:val="LENBUL1arial"/>
              <w:numPr>
                <w:ilvl w:val="0"/>
                <w:numId w:val="0"/>
              </w:numPr>
              <w:spacing w:before="0" w:after="120"/>
              <w:ind w:hanging="0" w:left="31"/>
              <w:contextualSpacing/>
              <w:rPr>
                <w:rFonts w:ascii="Times New Roman" w:hAnsi="Times New Roman"/>
                <w:sz w:val="22"/>
                <w:szCs w:val="22"/>
              </w:rPr>
            </w:pPr>
            <w:r>
              <w:rPr>
                <w:rFonts w:ascii="Times New Roman" w:hAnsi="Times New Roman"/>
                <w:sz w:val="22"/>
                <w:szCs w:val="22"/>
              </w:rPr>
            </w:r>
          </w:p>
        </w:tc>
        <w:tc>
          <w:tcPr>
            <w:tcW w:w="3933" w:type="dxa"/>
            <w:tcBorders>
              <w:top w:val="single" w:sz="4" w:space="0" w:color="000000"/>
              <w:left w:val="single" w:sz="4" w:space="0" w:color="000000"/>
              <w:bottom w:val="single" w:sz="4" w:space="0" w:color="000000"/>
              <w:right w:val="single" w:sz="4" w:space="0" w:color="000000"/>
            </w:tcBorders>
          </w:tcPr>
          <w:p>
            <w:pPr>
              <w:pStyle w:val="LENBUL1arial"/>
              <w:numPr>
                <w:ilvl w:val="0"/>
                <w:numId w:val="3"/>
              </w:numPr>
              <w:spacing w:before="120" w:after="120"/>
              <w:ind w:hanging="0" w:left="7"/>
              <w:contextualSpacing/>
              <w:rPr>
                <w:rFonts w:ascii="Times New Roman" w:hAnsi="Times New Roman"/>
              </w:rPr>
            </w:pPr>
            <w:r>
              <w:rPr>
                <w:rFonts w:ascii="Times New Roman" w:hAnsi="Times New Roman"/>
                <w:b/>
                <w:sz w:val="22"/>
                <w:szCs w:val="22"/>
              </w:rPr>
              <w:t>Vidinio testavimo ataskaita</w:t>
            </w:r>
            <w:r>
              <w:rPr>
                <w:rFonts w:ascii="Times New Roman" w:hAnsi="Times New Roman"/>
                <w:sz w:val="22"/>
                <w:szCs w:val="22"/>
              </w:rPr>
              <w:t>, kurioje aprašyti atlikto vidinio testavimo rezultatai (apimtis, vykdymo metodika, testavimo tipai, procedūra, įėjimo/išėjimo kriterijai, testavimo aplinka), pateikiant informaciją apie PINREG modernizuotos dalies sritis, į kurias reikia atkreipti papildomą dėmesį testavimo metu;</w:t>
            </w:r>
          </w:p>
          <w:p>
            <w:pPr>
              <w:pStyle w:val="LENBUL1arial"/>
              <w:numPr>
                <w:ilvl w:val="0"/>
                <w:numId w:val="3"/>
              </w:numPr>
              <w:ind w:hanging="0" w:left="7"/>
              <w:rPr>
                <w:rFonts w:ascii="Times New Roman" w:hAnsi="Times New Roman"/>
              </w:rPr>
            </w:pPr>
            <w:r>
              <w:rPr>
                <w:rFonts w:ascii="Times New Roman" w:hAnsi="Times New Roman"/>
                <w:sz w:val="22"/>
                <w:szCs w:val="22"/>
              </w:rPr>
              <w:t>Sukurta kūrimo aplinka;</w:t>
            </w:r>
          </w:p>
          <w:p>
            <w:pPr>
              <w:pStyle w:val="LENBUL1arial"/>
              <w:numPr>
                <w:ilvl w:val="0"/>
                <w:numId w:val="3"/>
              </w:numPr>
              <w:ind w:hanging="0" w:left="7"/>
              <w:rPr>
                <w:rFonts w:ascii="Times New Roman" w:hAnsi="Times New Roman"/>
              </w:rPr>
            </w:pPr>
            <w:r>
              <w:rPr>
                <w:rFonts w:ascii="Times New Roman" w:hAnsi="Times New Roman"/>
                <w:sz w:val="22"/>
                <w:szCs w:val="22"/>
              </w:rPr>
              <w:t>Atliktos PINREG modernizuotos dalies demonstracijos;</w:t>
            </w:r>
          </w:p>
          <w:p>
            <w:pPr>
              <w:pStyle w:val="LENBUL1arial"/>
              <w:numPr>
                <w:ilvl w:val="0"/>
                <w:numId w:val="3"/>
              </w:numPr>
              <w:ind w:hanging="0" w:left="7"/>
              <w:rPr>
                <w:rFonts w:ascii="Times New Roman" w:hAnsi="Times New Roman"/>
              </w:rPr>
            </w:pPr>
            <w:r>
              <w:rPr>
                <w:rFonts w:ascii="Times New Roman" w:hAnsi="Times New Roman"/>
                <w:sz w:val="22"/>
                <w:szCs w:val="22"/>
              </w:rPr>
              <w:t>Diegimui į testavimo aplinką parengtas modernizuotas PINREG;</w:t>
            </w:r>
          </w:p>
          <w:p>
            <w:pPr>
              <w:pStyle w:val="LENBUL1arial"/>
              <w:numPr>
                <w:ilvl w:val="0"/>
                <w:numId w:val="3"/>
              </w:numPr>
              <w:spacing w:before="120" w:after="120"/>
              <w:ind w:hanging="0" w:left="7"/>
              <w:contextualSpacing/>
              <w:rPr>
                <w:rFonts w:ascii="Times New Roman" w:hAnsi="Times New Roman"/>
              </w:rPr>
            </w:pPr>
            <w:r>
              <w:rPr>
                <w:rFonts w:ascii="Times New Roman" w:hAnsi="Times New Roman"/>
                <w:sz w:val="22"/>
                <w:szCs w:val="22"/>
              </w:rPr>
              <w:t>Rezultatai turi būti suderinti su VTEK.</w:t>
            </w:r>
          </w:p>
        </w:tc>
        <w:tc>
          <w:tcPr>
            <w:tcW w:w="2662" w:type="dxa"/>
            <w:tcBorders>
              <w:top w:val="single" w:sz="4" w:space="0" w:color="000000"/>
              <w:left w:val="single" w:sz="4" w:space="0" w:color="000000"/>
              <w:bottom w:val="single" w:sz="4" w:space="0" w:color="000000"/>
              <w:right w:val="single" w:sz="4" w:space="0" w:color="000000"/>
            </w:tcBorders>
          </w:tcPr>
          <w:p>
            <w:pPr>
              <w:pStyle w:val="Lentekstasarial"/>
              <w:spacing w:before="120" w:after="0"/>
              <w:rPr>
                <w:rFonts w:ascii="Times New Roman" w:hAnsi="Times New Roman"/>
              </w:rPr>
            </w:pPr>
            <w:r>
              <w:rPr>
                <w:rFonts w:ascii="Times New Roman" w:hAnsi="Times New Roman"/>
                <w:color w:themeColor="background2" w:themeShade="1a" w:val="171717"/>
                <w:sz w:val="22"/>
                <w:szCs w:val="22"/>
              </w:rPr>
              <w:t xml:space="preserve">Vidinio testavimo ataskaita turi būti pateikta ne mažiau kaip </w:t>
            </w:r>
            <w:r>
              <w:rPr>
                <w:rFonts w:ascii="Times New Roman" w:hAnsi="Times New Roman"/>
                <w:color w:themeColor="background2" w:themeShade="1a" w:val="171717"/>
                <w:sz w:val="22"/>
                <w:szCs w:val="22"/>
                <w:shd w:fill="FFFFFF" w:val="clear"/>
              </w:rPr>
              <w:t>15 darbo dienų ik</w:t>
            </w:r>
            <w:r>
              <w:rPr>
                <w:rFonts w:ascii="Times New Roman" w:hAnsi="Times New Roman"/>
                <w:color w:themeColor="background2" w:themeShade="1a" w:val="171717"/>
                <w:sz w:val="22"/>
                <w:szCs w:val="22"/>
              </w:rPr>
              <w:t>i diegimo etapo pradžios.</w:t>
            </w:r>
          </w:p>
          <w:p>
            <w:pPr>
              <w:pStyle w:val="Lentekstasarial"/>
              <w:spacing w:before="0" w:after="0"/>
              <w:rPr>
                <w:rFonts w:ascii="Times New Roman" w:hAnsi="Times New Roman"/>
              </w:rPr>
            </w:pPr>
            <w:r>
              <w:rPr>
                <w:rFonts w:ascii="Times New Roman" w:hAnsi="Times New Roman"/>
                <w:color w:themeColor="background2" w:themeShade="1a" w:val="171717"/>
                <w:sz w:val="22"/>
                <w:szCs w:val="22"/>
              </w:rPr>
              <w:t>PINREG modernizuotos dalies demonstracijos turi būti vykdomos nuolatos, pagal atskirai suderintą grafiką, kuris turi būti pateiktas Paslaugų teikimo reglamente.</w:t>
            </w:r>
          </w:p>
          <w:p>
            <w:pPr>
              <w:pStyle w:val="Lentekstasarial"/>
              <w:spacing w:before="0" w:after="0"/>
              <w:rPr>
                <w:rFonts w:ascii="Times New Roman" w:hAnsi="Times New Roman"/>
              </w:rPr>
            </w:pPr>
            <w:r>
              <w:rPr>
                <w:rFonts w:ascii="Times New Roman" w:hAnsi="Times New Roman"/>
                <w:color w:themeColor="background2" w:themeShade="1a" w:val="171717"/>
                <w:sz w:val="22"/>
                <w:szCs w:val="22"/>
              </w:rPr>
              <w:t>Etapo rezultatai turi būti pasiekti ir suderinti ne vėliau kaip p</w:t>
            </w:r>
            <w:r>
              <w:rPr>
                <w:rFonts w:ascii="Times New Roman" w:hAnsi="Times New Roman"/>
                <w:color w:themeColor="background2" w:themeShade="1a" w:val="171717"/>
                <w:sz w:val="22"/>
                <w:szCs w:val="22"/>
                <w:shd w:fill="FFFFFF" w:val="clear"/>
              </w:rPr>
              <w:t>er 3 mėnesius nuo Pasl</w:t>
            </w:r>
            <w:r>
              <w:rPr>
                <w:rFonts w:ascii="Times New Roman" w:hAnsi="Times New Roman"/>
                <w:color w:themeColor="background2" w:themeShade="1a" w:val="171717"/>
                <w:sz w:val="22"/>
                <w:szCs w:val="22"/>
              </w:rPr>
              <w:t>augų teikimo sutarties įsigaliojimo datos.</w:t>
            </w:r>
          </w:p>
        </w:tc>
      </w:tr>
      <w:tr>
        <w:trPr/>
        <w:tc>
          <w:tcPr>
            <w:tcW w:w="890" w:type="dxa"/>
            <w:tcBorders>
              <w:top w:val="single" w:sz="4" w:space="0" w:color="000000"/>
              <w:left w:val="single" w:sz="4" w:space="0" w:color="000000"/>
              <w:bottom w:val="single" w:sz="4" w:space="0" w:color="000000"/>
              <w:right w:val="single" w:sz="4" w:space="0" w:color="000000"/>
            </w:tcBorders>
          </w:tcPr>
          <w:p>
            <w:pPr>
              <w:pStyle w:val="ListParagraph"/>
              <w:numPr>
                <w:ilvl w:val="1"/>
                <w:numId w:val="2"/>
              </w:numPr>
              <w:spacing w:before="0" w:after="0"/>
              <w:jc w:val="both"/>
              <w:rPr>
                <w:rFonts w:ascii="Times New Roman" w:hAnsi="Times New Roman"/>
                <w:sz w:val="22"/>
              </w:rPr>
            </w:pPr>
            <w:r>
              <w:rPr>
                <w:rFonts w:ascii="Times New Roman" w:hAnsi="Times New Roman"/>
                <w:sz w:val="22"/>
              </w:rPr>
            </w:r>
          </w:p>
        </w:tc>
        <w:tc>
          <w:tcPr>
            <w:tcW w:w="1699" w:type="dxa"/>
            <w:tcBorders>
              <w:top w:val="single" w:sz="4" w:space="0" w:color="000000"/>
              <w:left w:val="single" w:sz="4" w:space="0" w:color="000000"/>
              <w:bottom w:val="single" w:sz="4" w:space="0" w:color="000000"/>
              <w:right w:val="single" w:sz="4" w:space="0" w:color="000000"/>
            </w:tcBorders>
          </w:tcPr>
          <w:p>
            <w:pPr>
              <w:pStyle w:val="Lentekstasarial"/>
              <w:spacing w:before="0" w:after="0"/>
              <w:rPr>
                <w:rFonts w:ascii="Times New Roman" w:hAnsi="Times New Roman"/>
              </w:rPr>
            </w:pPr>
            <w:r>
              <w:rPr>
                <w:rFonts w:ascii="Times New Roman" w:hAnsi="Times New Roman"/>
                <w:b/>
                <w:color w:themeColor="background2" w:themeShade="1a" w:val="171717"/>
                <w:sz w:val="22"/>
                <w:szCs w:val="22"/>
              </w:rPr>
              <w:t>Diegimas testavimo aplinkoje</w:t>
            </w:r>
          </w:p>
        </w:tc>
        <w:tc>
          <w:tcPr>
            <w:tcW w:w="4388" w:type="dxa"/>
            <w:tcBorders>
              <w:top w:val="single" w:sz="4" w:space="0" w:color="000000"/>
              <w:left w:val="single" w:sz="4" w:space="0" w:color="000000"/>
              <w:bottom w:val="single" w:sz="4" w:space="0" w:color="000000"/>
              <w:right w:val="single" w:sz="4" w:space="0" w:color="000000"/>
            </w:tcBorders>
          </w:tcPr>
          <w:p>
            <w:pPr>
              <w:pStyle w:val="Lentekstasarial"/>
              <w:spacing w:before="0" w:after="0"/>
              <w:rPr>
                <w:rFonts w:ascii="Times New Roman" w:hAnsi="Times New Roman"/>
              </w:rPr>
            </w:pPr>
            <w:r>
              <w:rPr>
                <w:rFonts w:ascii="Times New Roman" w:hAnsi="Times New Roman"/>
                <w:color w:themeColor="background2" w:themeShade="1a" w:val="171717"/>
                <w:sz w:val="22"/>
                <w:szCs w:val="22"/>
              </w:rPr>
              <w:t>Diegėjas:</w:t>
            </w:r>
          </w:p>
          <w:p>
            <w:pPr>
              <w:pStyle w:val="LENBUL1arial"/>
              <w:numPr>
                <w:ilvl w:val="0"/>
                <w:numId w:val="3"/>
              </w:numPr>
              <w:spacing w:before="0" w:after="120"/>
              <w:ind w:hanging="0" w:left="31"/>
              <w:contextualSpacing/>
              <w:rPr>
                <w:rFonts w:ascii="Times New Roman" w:hAnsi="Times New Roman"/>
              </w:rPr>
            </w:pPr>
            <w:r>
              <w:rPr>
                <w:rFonts w:ascii="Times New Roman" w:hAnsi="Times New Roman"/>
                <w:sz w:val="22"/>
                <w:szCs w:val="22"/>
              </w:rPr>
              <w:t>parengia ir pateikia programinę įrangą tinkamą įdiegimui testavimo aplinkoje;</w:t>
            </w:r>
          </w:p>
          <w:p>
            <w:pPr>
              <w:pStyle w:val="LENBUL1arial"/>
              <w:numPr>
                <w:ilvl w:val="0"/>
                <w:numId w:val="3"/>
              </w:numPr>
              <w:spacing w:before="0" w:after="120"/>
              <w:ind w:hanging="0" w:left="31"/>
              <w:contextualSpacing/>
              <w:rPr>
                <w:rFonts w:ascii="Times New Roman" w:hAnsi="Times New Roman"/>
              </w:rPr>
            </w:pPr>
            <w:r>
              <w:rPr>
                <w:rFonts w:ascii="Times New Roman" w:hAnsi="Times New Roman"/>
                <w:sz w:val="22"/>
                <w:szCs w:val="22"/>
              </w:rPr>
              <w:t>įdiegia modernizuotą PINREG testavimo aplinkoje;</w:t>
            </w:r>
          </w:p>
          <w:p>
            <w:pPr>
              <w:pStyle w:val="LENBUL1arial"/>
              <w:numPr>
                <w:ilvl w:val="0"/>
                <w:numId w:val="3"/>
              </w:numPr>
              <w:spacing w:before="0" w:after="120"/>
              <w:ind w:hanging="0" w:left="31"/>
              <w:contextualSpacing/>
              <w:rPr>
                <w:rFonts w:ascii="Times New Roman" w:hAnsi="Times New Roman"/>
              </w:rPr>
            </w:pPr>
            <w:r>
              <w:rPr>
                <w:rFonts w:ascii="Times New Roman" w:hAnsi="Times New Roman"/>
                <w:sz w:val="22"/>
                <w:szCs w:val="22"/>
              </w:rPr>
              <w:t>konsultuoja VTEK programinės įrangos įdiegimo klausimais;</w:t>
            </w:r>
          </w:p>
          <w:p>
            <w:pPr>
              <w:pStyle w:val="LENBUL1arial"/>
              <w:numPr>
                <w:ilvl w:val="0"/>
                <w:numId w:val="0"/>
              </w:numPr>
              <w:spacing w:before="0" w:after="120"/>
              <w:ind w:hanging="0" w:left="31"/>
              <w:contextualSpacing/>
              <w:rPr>
                <w:rFonts w:ascii="Times New Roman" w:hAnsi="Times New Roman"/>
                <w:sz w:val="22"/>
                <w:szCs w:val="22"/>
              </w:rPr>
            </w:pPr>
            <w:r>
              <w:rPr>
                <w:rFonts w:ascii="Times New Roman" w:hAnsi="Times New Roman"/>
                <w:sz w:val="22"/>
                <w:szCs w:val="22"/>
              </w:rPr>
            </w:r>
          </w:p>
          <w:p>
            <w:pPr>
              <w:pStyle w:val="LENBUL1arial"/>
              <w:numPr>
                <w:ilvl w:val="0"/>
                <w:numId w:val="0"/>
              </w:numPr>
              <w:spacing w:before="0" w:after="120"/>
              <w:ind w:hanging="0" w:left="31"/>
              <w:contextualSpacing/>
              <w:rPr>
                <w:rFonts w:ascii="Times New Roman" w:hAnsi="Times New Roman"/>
              </w:rPr>
            </w:pPr>
            <w:r>
              <w:rPr>
                <w:rFonts w:ascii="Times New Roman" w:hAnsi="Times New Roman"/>
                <w:sz w:val="22"/>
                <w:szCs w:val="22"/>
              </w:rPr>
              <w:t>VTEK (pagal kompetenciją):</w:t>
            </w:r>
          </w:p>
          <w:p>
            <w:pPr>
              <w:pStyle w:val="LENBUL1arial"/>
              <w:numPr>
                <w:ilvl w:val="0"/>
                <w:numId w:val="3"/>
              </w:numPr>
              <w:spacing w:before="0" w:after="120"/>
              <w:ind w:hanging="0" w:left="31"/>
              <w:contextualSpacing/>
              <w:rPr>
                <w:rFonts w:ascii="Times New Roman" w:hAnsi="Times New Roman"/>
              </w:rPr>
            </w:pPr>
            <w:r>
              <w:rPr>
                <w:rFonts w:ascii="Times New Roman" w:hAnsi="Times New Roman"/>
                <w:sz w:val="22"/>
                <w:szCs w:val="22"/>
              </w:rPr>
              <w:t>suteikia reikalingą informaciją.</w:t>
            </w:r>
          </w:p>
        </w:tc>
        <w:tc>
          <w:tcPr>
            <w:tcW w:w="3933" w:type="dxa"/>
            <w:tcBorders>
              <w:top w:val="single" w:sz="4" w:space="0" w:color="000000"/>
              <w:left w:val="single" w:sz="4" w:space="0" w:color="000000"/>
              <w:bottom w:val="single" w:sz="4" w:space="0" w:color="000000"/>
              <w:right w:val="single" w:sz="4" w:space="0" w:color="000000"/>
            </w:tcBorders>
          </w:tcPr>
          <w:p>
            <w:pPr>
              <w:pStyle w:val="LENBUL1arial"/>
              <w:numPr>
                <w:ilvl w:val="0"/>
                <w:numId w:val="3"/>
              </w:numPr>
              <w:spacing w:before="0" w:after="120"/>
              <w:ind w:hanging="0" w:left="31"/>
              <w:contextualSpacing/>
              <w:rPr>
                <w:rFonts w:ascii="Times New Roman" w:hAnsi="Times New Roman"/>
              </w:rPr>
            </w:pPr>
            <w:r>
              <w:rPr>
                <w:rFonts w:ascii="Times New Roman" w:hAnsi="Times New Roman"/>
                <w:sz w:val="22"/>
                <w:szCs w:val="22"/>
              </w:rPr>
              <w:t>Sukurta programinė įranga ir įdiegta testavimo aplinkoje.</w:t>
            </w:r>
          </w:p>
        </w:tc>
        <w:tc>
          <w:tcPr>
            <w:tcW w:w="2662" w:type="dxa"/>
            <w:tcBorders>
              <w:top w:val="single" w:sz="4" w:space="0" w:color="000000"/>
              <w:left w:val="single" w:sz="4" w:space="0" w:color="000000"/>
              <w:bottom w:val="single" w:sz="4" w:space="0" w:color="000000"/>
              <w:right w:val="single" w:sz="4" w:space="0" w:color="000000"/>
            </w:tcBorders>
          </w:tcPr>
          <w:p>
            <w:pPr>
              <w:pStyle w:val="Lentekstasarial"/>
              <w:spacing w:before="0" w:after="0"/>
              <w:rPr>
                <w:rFonts w:ascii="Times New Roman" w:hAnsi="Times New Roman"/>
              </w:rPr>
            </w:pPr>
            <w:r>
              <w:rPr>
                <w:rFonts w:ascii="Times New Roman" w:hAnsi="Times New Roman"/>
                <w:color w:themeColor="background2" w:themeShade="1a" w:val="171717"/>
                <w:sz w:val="22"/>
                <w:szCs w:val="22"/>
              </w:rPr>
              <w:t>Šis diegimo etapas turi būti baigtas iki priėmimo testavimo etapo pradžios.</w:t>
            </w:r>
          </w:p>
        </w:tc>
      </w:tr>
      <w:tr>
        <w:trPr/>
        <w:tc>
          <w:tcPr>
            <w:tcW w:w="890" w:type="dxa"/>
            <w:tcBorders>
              <w:top w:val="single" w:sz="4" w:space="0" w:color="000000"/>
              <w:left w:val="single" w:sz="4" w:space="0" w:color="000000"/>
              <w:bottom w:val="single" w:sz="4" w:space="0" w:color="000000"/>
              <w:right w:val="single" w:sz="4" w:space="0" w:color="000000"/>
            </w:tcBorders>
          </w:tcPr>
          <w:p>
            <w:pPr>
              <w:pStyle w:val="ListParagraph"/>
              <w:numPr>
                <w:ilvl w:val="1"/>
                <w:numId w:val="2"/>
              </w:numPr>
              <w:spacing w:before="0" w:after="0"/>
              <w:jc w:val="both"/>
              <w:rPr>
                <w:rFonts w:ascii="Times New Roman" w:hAnsi="Times New Roman"/>
                <w:sz w:val="22"/>
              </w:rPr>
            </w:pPr>
            <w:r>
              <w:rPr>
                <w:rFonts w:ascii="Times New Roman" w:hAnsi="Times New Roman"/>
                <w:sz w:val="22"/>
              </w:rPr>
            </w:r>
          </w:p>
        </w:tc>
        <w:tc>
          <w:tcPr>
            <w:tcW w:w="1699" w:type="dxa"/>
            <w:tcBorders>
              <w:top w:val="single" w:sz="4" w:space="0" w:color="000000"/>
              <w:left w:val="single" w:sz="4" w:space="0" w:color="000000"/>
              <w:bottom w:val="single" w:sz="4" w:space="0" w:color="000000"/>
              <w:right w:val="single" w:sz="4" w:space="0" w:color="000000"/>
            </w:tcBorders>
          </w:tcPr>
          <w:p>
            <w:pPr>
              <w:pStyle w:val="Lentekstasarial"/>
              <w:spacing w:before="0" w:after="0"/>
              <w:rPr>
                <w:rFonts w:ascii="Times New Roman" w:hAnsi="Times New Roman"/>
              </w:rPr>
            </w:pPr>
            <w:r>
              <w:rPr>
                <w:rFonts w:ascii="Times New Roman" w:hAnsi="Times New Roman"/>
                <w:b/>
                <w:color w:themeColor="background2" w:themeShade="1a" w:val="171717"/>
                <w:sz w:val="22"/>
                <w:szCs w:val="22"/>
              </w:rPr>
              <w:t>Priėmimo testavimas</w:t>
            </w:r>
          </w:p>
        </w:tc>
        <w:tc>
          <w:tcPr>
            <w:tcW w:w="4388" w:type="dxa"/>
            <w:tcBorders>
              <w:top w:val="single" w:sz="4" w:space="0" w:color="000000"/>
              <w:left w:val="single" w:sz="4" w:space="0" w:color="000000"/>
              <w:bottom w:val="single" w:sz="4" w:space="0" w:color="000000"/>
              <w:right w:val="single" w:sz="4" w:space="0" w:color="000000"/>
            </w:tcBorders>
          </w:tcPr>
          <w:p>
            <w:pPr>
              <w:pStyle w:val="Lentekstasarial"/>
              <w:spacing w:before="0" w:after="0"/>
              <w:rPr>
                <w:rFonts w:ascii="Times New Roman" w:hAnsi="Times New Roman"/>
              </w:rPr>
            </w:pPr>
            <w:r>
              <w:rPr>
                <w:rFonts w:ascii="Times New Roman" w:hAnsi="Times New Roman"/>
                <w:color w:themeColor="background2" w:themeShade="1a" w:val="171717"/>
                <w:sz w:val="22"/>
                <w:szCs w:val="22"/>
              </w:rPr>
              <w:t>Diegėjas:</w:t>
            </w:r>
          </w:p>
          <w:p>
            <w:pPr>
              <w:pStyle w:val="LENBUL1arial"/>
              <w:numPr>
                <w:ilvl w:val="0"/>
                <w:numId w:val="3"/>
              </w:numPr>
              <w:spacing w:before="0" w:after="120"/>
              <w:ind w:hanging="0" w:left="31"/>
              <w:contextualSpacing/>
              <w:rPr>
                <w:rFonts w:ascii="Times New Roman" w:hAnsi="Times New Roman"/>
              </w:rPr>
            </w:pPr>
            <w:r>
              <w:rPr>
                <w:rFonts w:ascii="Times New Roman" w:hAnsi="Times New Roman"/>
                <w:sz w:val="22"/>
                <w:szCs w:val="22"/>
              </w:rPr>
              <w:t>parengia (atnaujina) modernizuotos PINREG dalies naudojimo instrukcijas;</w:t>
            </w:r>
          </w:p>
          <w:p>
            <w:pPr>
              <w:pStyle w:val="LENBUL1arial"/>
              <w:numPr>
                <w:ilvl w:val="0"/>
                <w:numId w:val="3"/>
              </w:numPr>
              <w:spacing w:before="0" w:after="120"/>
              <w:ind w:hanging="0" w:left="31"/>
              <w:contextualSpacing/>
              <w:rPr>
                <w:rFonts w:ascii="Times New Roman" w:hAnsi="Times New Roman"/>
              </w:rPr>
            </w:pPr>
            <w:r>
              <w:rPr>
                <w:rFonts w:ascii="Times New Roman" w:hAnsi="Times New Roman"/>
                <w:sz w:val="22"/>
                <w:szCs w:val="22"/>
              </w:rPr>
              <w:t>parengia (atnaujina) modernizuotos PINREG dalies administravimo dokumentus;</w:t>
            </w:r>
          </w:p>
          <w:p>
            <w:pPr>
              <w:pStyle w:val="LENBUL1arial"/>
              <w:numPr>
                <w:ilvl w:val="0"/>
                <w:numId w:val="3"/>
              </w:numPr>
              <w:spacing w:before="0" w:after="120"/>
              <w:ind w:hanging="0" w:left="31"/>
              <w:contextualSpacing/>
              <w:rPr>
                <w:rFonts w:ascii="Times New Roman" w:hAnsi="Times New Roman"/>
              </w:rPr>
            </w:pPr>
            <w:r>
              <w:rPr>
                <w:rFonts w:ascii="Times New Roman" w:hAnsi="Times New Roman"/>
                <w:sz w:val="22"/>
                <w:szCs w:val="22"/>
              </w:rPr>
              <w:t>vykdo priėmimo testavimą;</w:t>
            </w:r>
          </w:p>
          <w:p>
            <w:pPr>
              <w:pStyle w:val="LENBUL1arial"/>
              <w:numPr>
                <w:ilvl w:val="0"/>
                <w:numId w:val="3"/>
              </w:numPr>
              <w:spacing w:before="0" w:after="120"/>
              <w:ind w:hanging="0" w:left="31"/>
              <w:contextualSpacing/>
              <w:rPr>
                <w:rFonts w:ascii="Times New Roman" w:hAnsi="Times New Roman"/>
              </w:rPr>
            </w:pPr>
            <w:r>
              <w:rPr>
                <w:rFonts w:ascii="Times New Roman" w:hAnsi="Times New Roman"/>
                <w:sz w:val="22"/>
                <w:szCs w:val="22"/>
              </w:rPr>
              <w:t>šalina priėmimo testavimo metu užfiksuotus trūkumus (klaidas);</w:t>
            </w:r>
          </w:p>
          <w:p>
            <w:pPr>
              <w:pStyle w:val="LENBUL1arial"/>
              <w:numPr>
                <w:ilvl w:val="0"/>
                <w:numId w:val="3"/>
              </w:numPr>
              <w:spacing w:before="0" w:after="120"/>
              <w:ind w:hanging="0" w:left="31"/>
              <w:contextualSpacing/>
              <w:rPr>
                <w:rFonts w:ascii="Times New Roman" w:hAnsi="Times New Roman"/>
              </w:rPr>
            </w:pPr>
            <w:r>
              <w:rPr>
                <w:rFonts w:ascii="Times New Roman" w:hAnsi="Times New Roman"/>
                <w:sz w:val="22"/>
                <w:szCs w:val="22"/>
              </w:rPr>
              <w:t>atlieka našumo ir greitaveikos testavimą ir parengia našumo ir greitaveikos testavimo ataskaitą;</w:t>
            </w:r>
          </w:p>
          <w:p>
            <w:pPr>
              <w:pStyle w:val="LENBUL1arial"/>
              <w:numPr>
                <w:ilvl w:val="0"/>
                <w:numId w:val="3"/>
              </w:numPr>
              <w:spacing w:before="0" w:after="120"/>
              <w:ind w:hanging="0" w:left="31"/>
              <w:contextualSpacing/>
              <w:rPr>
                <w:rFonts w:ascii="Times New Roman" w:hAnsi="Times New Roman"/>
              </w:rPr>
            </w:pPr>
            <w:r>
              <w:rPr>
                <w:rFonts w:ascii="Times New Roman" w:hAnsi="Times New Roman"/>
                <w:sz w:val="22"/>
                <w:szCs w:val="22"/>
              </w:rPr>
              <w:t>atlieka reikiamus modernizuotos PINREG dalies programavimo ir / ar konfigūravimo darbus, atsižvelgiant į našumo ir greitaveikos testavimų rezultatus.</w:t>
            </w:r>
          </w:p>
          <w:p>
            <w:pPr>
              <w:pStyle w:val="LENBUL1arial"/>
              <w:numPr>
                <w:ilvl w:val="0"/>
                <w:numId w:val="0"/>
              </w:numPr>
              <w:ind w:hanging="0" w:left="720"/>
              <w:rPr>
                <w:rFonts w:ascii="Times New Roman" w:hAnsi="Times New Roman"/>
                <w:sz w:val="22"/>
                <w:szCs w:val="22"/>
              </w:rPr>
            </w:pPr>
            <w:r>
              <w:rPr>
                <w:rFonts w:ascii="Times New Roman" w:hAnsi="Times New Roman"/>
                <w:sz w:val="22"/>
                <w:szCs w:val="22"/>
              </w:rPr>
            </w:r>
          </w:p>
          <w:p>
            <w:pPr>
              <w:pStyle w:val="Lentekstasarial"/>
              <w:spacing w:before="0" w:after="0"/>
              <w:rPr>
                <w:rFonts w:ascii="Times New Roman" w:hAnsi="Times New Roman"/>
              </w:rPr>
            </w:pPr>
            <w:r>
              <w:rPr>
                <w:rFonts w:ascii="Times New Roman" w:hAnsi="Times New Roman"/>
                <w:color w:themeColor="background2" w:themeShade="1a" w:val="171717"/>
                <w:sz w:val="22"/>
                <w:szCs w:val="22"/>
              </w:rPr>
              <w:t>VTEK (pagal kompetenciją):</w:t>
            </w:r>
          </w:p>
          <w:p>
            <w:pPr>
              <w:pStyle w:val="LENBUL1arial"/>
              <w:numPr>
                <w:ilvl w:val="0"/>
                <w:numId w:val="3"/>
              </w:numPr>
              <w:spacing w:before="0" w:after="120"/>
              <w:ind w:hanging="0" w:left="31"/>
              <w:contextualSpacing/>
              <w:rPr>
                <w:rFonts w:ascii="Times New Roman" w:hAnsi="Times New Roman"/>
              </w:rPr>
            </w:pPr>
            <w:r>
              <w:rPr>
                <w:rFonts w:ascii="Times New Roman" w:hAnsi="Times New Roman"/>
                <w:sz w:val="22"/>
                <w:szCs w:val="22"/>
              </w:rPr>
              <w:t>dalyvauja testavime;</w:t>
            </w:r>
          </w:p>
          <w:p>
            <w:pPr>
              <w:pStyle w:val="LENBUL1arial"/>
              <w:numPr>
                <w:ilvl w:val="0"/>
                <w:numId w:val="3"/>
              </w:numPr>
              <w:spacing w:before="0" w:after="120"/>
              <w:ind w:hanging="0" w:left="31"/>
              <w:contextualSpacing/>
              <w:rPr>
                <w:rFonts w:ascii="Times New Roman" w:hAnsi="Times New Roman"/>
              </w:rPr>
            </w:pPr>
            <w:r>
              <w:rPr>
                <w:rFonts w:ascii="Times New Roman" w:hAnsi="Times New Roman"/>
                <w:sz w:val="22"/>
                <w:szCs w:val="22"/>
              </w:rPr>
              <w:t>priima programinę įrangą bandomajai eksploatacijai.</w:t>
            </w:r>
          </w:p>
        </w:tc>
        <w:tc>
          <w:tcPr>
            <w:tcW w:w="3933" w:type="dxa"/>
            <w:tcBorders>
              <w:top w:val="single" w:sz="4" w:space="0" w:color="000000"/>
              <w:left w:val="single" w:sz="4" w:space="0" w:color="000000"/>
              <w:bottom w:val="single" w:sz="4" w:space="0" w:color="000000"/>
              <w:right w:val="single" w:sz="4" w:space="0" w:color="000000"/>
            </w:tcBorders>
          </w:tcPr>
          <w:p>
            <w:pPr>
              <w:pStyle w:val="LENBUL1arial"/>
              <w:numPr>
                <w:ilvl w:val="0"/>
                <w:numId w:val="3"/>
              </w:numPr>
              <w:spacing w:before="0" w:after="120"/>
              <w:ind w:hanging="0" w:left="31"/>
              <w:contextualSpacing/>
              <w:rPr>
                <w:rFonts w:ascii="Times New Roman" w:hAnsi="Times New Roman"/>
              </w:rPr>
            </w:pPr>
            <w:r>
              <w:rPr>
                <w:rFonts w:ascii="Times New Roman" w:hAnsi="Times New Roman"/>
                <w:sz w:val="22"/>
                <w:szCs w:val="22"/>
              </w:rPr>
              <w:t>Sėkmingai atliktas priėmimo testavimas.</w:t>
            </w:r>
          </w:p>
          <w:p>
            <w:pPr>
              <w:pStyle w:val="LENBUL1arial"/>
              <w:numPr>
                <w:ilvl w:val="0"/>
                <w:numId w:val="3"/>
              </w:numPr>
              <w:spacing w:before="0" w:after="120"/>
              <w:ind w:hanging="0" w:left="31"/>
              <w:contextualSpacing/>
              <w:rPr>
                <w:rFonts w:ascii="Times New Roman" w:hAnsi="Times New Roman"/>
              </w:rPr>
            </w:pPr>
            <w:r>
              <w:rPr>
                <w:rFonts w:ascii="Times New Roman" w:hAnsi="Times New Roman"/>
                <w:sz w:val="22"/>
                <w:szCs w:val="22"/>
              </w:rPr>
              <w:t>Parengti (atnaujinti) naudotojų vadovai (dokumentai).</w:t>
            </w:r>
          </w:p>
          <w:p>
            <w:pPr>
              <w:pStyle w:val="LENBUL1arial"/>
              <w:numPr>
                <w:ilvl w:val="0"/>
                <w:numId w:val="3"/>
              </w:numPr>
              <w:spacing w:before="0" w:after="120"/>
              <w:ind w:hanging="0" w:left="31"/>
              <w:contextualSpacing/>
              <w:rPr>
                <w:rFonts w:ascii="Times New Roman" w:hAnsi="Times New Roman"/>
              </w:rPr>
            </w:pPr>
            <w:r>
              <w:rPr>
                <w:rFonts w:ascii="Times New Roman" w:hAnsi="Times New Roman"/>
                <w:sz w:val="22"/>
                <w:szCs w:val="22"/>
              </w:rPr>
              <w:t>Parengti administravimo dokumentai.</w:t>
            </w:r>
          </w:p>
          <w:p>
            <w:pPr>
              <w:pStyle w:val="LENBUL1arial"/>
              <w:numPr>
                <w:ilvl w:val="0"/>
                <w:numId w:val="3"/>
              </w:numPr>
              <w:spacing w:before="0" w:after="120"/>
              <w:ind w:hanging="0" w:left="31"/>
              <w:contextualSpacing/>
              <w:rPr>
                <w:rFonts w:ascii="Times New Roman" w:hAnsi="Times New Roman"/>
              </w:rPr>
            </w:pPr>
            <w:r>
              <w:rPr>
                <w:rFonts w:ascii="Times New Roman" w:hAnsi="Times New Roman"/>
                <w:sz w:val="22"/>
                <w:szCs w:val="22"/>
              </w:rPr>
              <w:t>Sėkmingai atliktas našumo ir greitaveikos testavimas.</w:t>
            </w:r>
          </w:p>
          <w:p>
            <w:pPr>
              <w:pStyle w:val="LENBUL1arial"/>
              <w:numPr>
                <w:ilvl w:val="0"/>
                <w:numId w:val="3"/>
              </w:numPr>
              <w:spacing w:before="0" w:after="120"/>
              <w:ind w:hanging="0" w:left="31"/>
              <w:contextualSpacing/>
              <w:rPr>
                <w:rFonts w:ascii="Times New Roman" w:hAnsi="Times New Roman"/>
              </w:rPr>
            </w:pPr>
            <w:r>
              <w:rPr>
                <w:rFonts w:ascii="Times New Roman" w:hAnsi="Times New Roman"/>
                <w:sz w:val="22"/>
                <w:szCs w:val="22"/>
              </w:rPr>
              <w:t>Pateikta našumo ir greitaveikos testavimo ataskaita.</w:t>
            </w:r>
          </w:p>
          <w:p>
            <w:pPr>
              <w:pStyle w:val="LENBUL1arial"/>
              <w:numPr>
                <w:ilvl w:val="0"/>
                <w:numId w:val="3"/>
              </w:numPr>
              <w:spacing w:before="0" w:after="120"/>
              <w:ind w:hanging="0" w:left="31"/>
              <w:contextualSpacing/>
              <w:rPr>
                <w:rFonts w:ascii="Times New Roman" w:hAnsi="Times New Roman"/>
              </w:rPr>
            </w:pPr>
            <w:r>
              <w:rPr>
                <w:rFonts w:ascii="Times New Roman" w:hAnsi="Times New Roman"/>
                <w:sz w:val="22"/>
                <w:szCs w:val="22"/>
              </w:rPr>
              <w:t>Diegimui į gamybinę aplinką parengtas modernizuotas PINREG.</w:t>
            </w:r>
          </w:p>
          <w:p>
            <w:pPr>
              <w:pStyle w:val="LENBUL1arial"/>
              <w:numPr>
                <w:ilvl w:val="0"/>
                <w:numId w:val="0"/>
              </w:numPr>
              <w:spacing w:before="0" w:after="120"/>
              <w:ind w:hanging="0" w:left="31"/>
              <w:contextualSpacing/>
              <w:rPr>
                <w:rFonts w:ascii="Times New Roman" w:hAnsi="Times New Roman"/>
                <w:sz w:val="22"/>
                <w:szCs w:val="22"/>
              </w:rPr>
            </w:pPr>
            <w:r>
              <w:rPr>
                <w:rFonts w:ascii="Times New Roman" w:hAnsi="Times New Roman"/>
                <w:sz w:val="22"/>
                <w:szCs w:val="22"/>
              </w:rPr>
            </w:r>
          </w:p>
        </w:tc>
        <w:tc>
          <w:tcPr>
            <w:tcW w:w="2662" w:type="dxa"/>
            <w:tcBorders>
              <w:top w:val="single" w:sz="4" w:space="0" w:color="000000"/>
              <w:left w:val="single" w:sz="4" w:space="0" w:color="000000"/>
              <w:bottom w:val="single" w:sz="4" w:space="0" w:color="000000"/>
              <w:right w:val="single" w:sz="4" w:space="0" w:color="000000"/>
            </w:tcBorders>
          </w:tcPr>
          <w:p>
            <w:pPr>
              <w:pStyle w:val="Lentekstasarial"/>
              <w:spacing w:before="0" w:after="0"/>
              <w:rPr>
                <w:rFonts w:ascii="Times New Roman" w:hAnsi="Times New Roman"/>
              </w:rPr>
            </w:pPr>
            <w:r>
              <w:rPr>
                <w:rFonts w:ascii="Times New Roman" w:hAnsi="Times New Roman"/>
                <w:color w:themeColor="background2" w:themeShade="1a" w:val="171717"/>
                <w:sz w:val="22"/>
                <w:szCs w:val="22"/>
              </w:rPr>
              <w:t>Priėmimo testavimas vykdomas iki sėkmingo priėmimo testavimo kriterijų pasiekimo.</w:t>
            </w:r>
          </w:p>
          <w:p>
            <w:pPr>
              <w:pStyle w:val="Lentekstasarial"/>
              <w:spacing w:before="0" w:after="0"/>
              <w:rPr>
                <w:rFonts w:ascii="Times New Roman" w:hAnsi="Times New Roman"/>
              </w:rPr>
            </w:pPr>
            <w:r>
              <w:rPr>
                <w:rFonts w:ascii="Times New Roman" w:hAnsi="Times New Roman"/>
                <w:color w:themeColor="background2" w:themeShade="1a" w:val="171717"/>
                <w:sz w:val="22"/>
                <w:szCs w:val="22"/>
              </w:rPr>
              <w:t>Priėmimo testavimo etapas turi būti baigtas iki bandomosios eksploatacijos etapo pradžios.</w:t>
            </w:r>
          </w:p>
        </w:tc>
      </w:tr>
      <w:tr>
        <w:trPr/>
        <w:tc>
          <w:tcPr>
            <w:tcW w:w="890" w:type="dxa"/>
            <w:tcBorders>
              <w:top w:val="single" w:sz="4" w:space="0" w:color="000000"/>
              <w:left w:val="single" w:sz="4" w:space="0" w:color="000000"/>
              <w:bottom w:val="single" w:sz="4" w:space="0" w:color="000000"/>
              <w:right w:val="single" w:sz="4" w:space="0" w:color="000000"/>
            </w:tcBorders>
          </w:tcPr>
          <w:p>
            <w:pPr>
              <w:pStyle w:val="ListParagraph"/>
              <w:numPr>
                <w:ilvl w:val="1"/>
                <w:numId w:val="2"/>
              </w:numPr>
              <w:spacing w:before="0" w:after="0"/>
              <w:jc w:val="both"/>
              <w:rPr>
                <w:rFonts w:ascii="Times New Roman" w:hAnsi="Times New Roman"/>
                <w:sz w:val="22"/>
              </w:rPr>
            </w:pPr>
            <w:r>
              <w:rPr>
                <w:rFonts w:ascii="Times New Roman" w:hAnsi="Times New Roman"/>
                <w:sz w:val="22"/>
              </w:rPr>
            </w:r>
          </w:p>
        </w:tc>
        <w:tc>
          <w:tcPr>
            <w:tcW w:w="1699" w:type="dxa"/>
            <w:tcBorders>
              <w:top w:val="single" w:sz="4" w:space="0" w:color="000000"/>
              <w:left w:val="single" w:sz="4" w:space="0" w:color="000000"/>
              <w:bottom w:val="single" w:sz="4" w:space="0" w:color="000000"/>
              <w:right w:val="single" w:sz="4" w:space="0" w:color="000000"/>
            </w:tcBorders>
          </w:tcPr>
          <w:p>
            <w:pPr>
              <w:pStyle w:val="Lentekstasarial"/>
              <w:spacing w:before="0" w:after="0"/>
              <w:rPr>
                <w:rFonts w:ascii="Times New Roman" w:hAnsi="Times New Roman"/>
              </w:rPr>
            </w:pPr>
            <w:r>
              <w:rPr>
                <w:rFonts w:ascii="Times New Roman" w:hAnsi="Times New Roman"/>
                <w:b/>
                <w:color w:themeColor="background2" w:themeShade="1a" w:val="171717"/>
                <w:sz w:val="22"/>
                <w:szCs w:val="22"/>
              </w:rPr>
              <w:t xml:space="preserve">Diegimas </w:t>
            </w:r>
            <w:r>
              <w:rPr>
                <w:rFonts w:cs="Times New Roman" w:ascii="Times New Roman" w:hAnsi="Times New Roman"/>
                <w:b/>
                <w:color w:themeColor="background2" w:themeShade="1a" w:val="171717"/>
                <w:sz w:val="22"/>
                <w:szCs w:val="22"/>
              </w:rPr>
              <w:t>gamybinėje</w:t>
            </w:r>
            <w:r>
              <w:rPr>
                <w:rFonts w:ascii="Times New Roman" w:hAnsi="Times New Roman"/>
                <w:b/>
                <w:color w:themeColor="background2" w:themeShade="1a" w:val="171717"/>
                <w:sz w:val="22"/>
                <w:szCs w:val="22"/>
              </w:rPr>
              <w:t xml:space="preserve"> aplinkoje</w:t>
            </w:r>
          </w:p>
        </w:tc>
        <w:tc>
          <w:tcPr>
            <w:tcW w:w="4388" w:type="dxa"/>
            <w:tcBorders>
              <w:top w:val="single" w:sz="4" w:space="0" w:color="000000"/>
              <w:left w:val="single" w:sz="4" w:space="0" w:color="000000"/>
              <w:bottom w:val="single" w:sz="4" w:space="0" w:color="000000"/>
              <w:right w:val="single" w:sz="4" w:space="0" w:color="000000"/>
            </w:tcBorders>
          </w:tcPr>
          <w:p>
            <w:pPr>
              <w:pStyle w:val="LENBUL1arial"/>
              <w:numPr>
                <w:ilvl w:val="0"/>
                <w:numId w:val="0"/>
              </w:numPr>
              <w:spacing w:before="0" w:after="120"/>
              <w:ind w:hanging="0" w:left="31"/>
              <w:contextualSpacing/>
              <w:rPr>
                <w:rFonts w:ascii="Times New Roman" w:hAnsi="Times New Roman"/>
              </w:rPr>
            </w:pPr>
            <w:r>
              <w:rPr>
                <w:rFonts w:ascii="Times New Roman" w:hAnsi="Times New Roman"/>
                <w:sz w:val="22"/>
                <w:szCs w:val="22"/>
              </w:rPr>
              <w:t>Diegėjas:</w:t>
            </w:r>
          </w:p>
          <w:p>
            <w:pPr>
              <w:pStyle w:val="LENBUL1arial"/>
              <w:numPr>
                <w:ilvl w:val="0"/>
                <w:numId w:val="3"/>
              </w:numPr>
              <w:spacing w:before="0" w:after="120"/>
              <w:ind w:hanging="0" w:left="31"/>
              <w:contextualSpacing/>
              <w:rPr>
                <w:rFonts w:ascii="Times New Roman" w:hAnsi="Times New Roman"/>
              </w:rPr>
            </w:pPr>
            <w:r>
              <w:rPr>
                <w:rFonts w:ascii="Times New Roman" w:hAnsi="Times New Roman"/>
                <w:sz w:val="22"/>
                <w:szCs w:val="22"/>
              </w:rPr>
              <w:t>parengia ir pateikia programinę įrangą tinkamą įdiegimui VTEK gamybinėje aplinkoje;</w:t>
            </w:r>
          </w:p>
          <w:p>
            <w:pPr>
              <w:pStyle w:val="LENBUL1arial"/>
              <w:numPr>
                <w:ilvl w:val="0"/>
                <w:numId w:val="3"/>
              </w:numPr>
              <w:spacing w:before="0" w:after="120"/>
              <w:ind w:hanging="0" w:left="31"/>
              <w:contextualSpacing/>
              <w:rPr>
                <w:rFonts w:ascii="Times New Roman" w:hAnsi="Times New Roman"/>
              </w:rPr>
            </w:pPr>
            <w:r>
              <w:rPr>
                <w:rFonts w:ascii="Times New Roman" w:hAnsi="Times New Roman"/>
                <w:sz w:val="22"/>
                <w:szCs w:val="22"/>
              </w:rPr>
              <w:t>įdiegia modernizuotą PINREG į VTEK gamybinę aplinką;</w:t>
            </w:r>
          </w:p>
          <w:p>
            <w:pPr>
              <w:pStyle w:val="LENBUL1arial"/>
              <w:numPr>
                <w:ilvl w:val="0"/>
                <w:numId w:val="0"/>
              </w:numPr>
              <w:spacing w:before="0" w:after="120"/>
              <w:ind w:hanging="0" w:left="31"/>
              <w:contextualSpacing/>
              <w:rPr>
                <w:rFonts w:ascii="Times New Roman" w:hAnsi="Times New Roman"/>
                <w:sz w:val="22"/>
                <w:szCs w:val="22"/>
              </w:rPr>
            </w:pPr>
            <w:r>
              <w:rPr>
                <w:rFonts w:ascii="Times New Roman" w:hAnsi="Times New Roman"/>
                <w:sz w:val="22"/>
                <w:szCs w:val="22"/>
              </w:rPr>
            </w:r>
          </w:p>
        </w:tc>
        <w:tc>
          <w:tcPr>
            <w:tcW w:w="3933" w:type="dxa"/>
            <w:tcBorders>
              <w:top w:val="single" w:sz="4" w:space="0" w:color="000000"/>
              <w:left w:val="single" w:sz="4" w:space="0" w:color="000000"/>
              <w:bottom w:val="single" w:sz="4" w:space="0" w:color="000000"/>
              <w:right w:val="single" w:sz="4" w:space="0" w:color="000000"/>
            </w:tcBorders>
          </w:tcPr>
          <w:p>
            <w:pPr>
              <w:pStyle w:val="LENBUL1arial"/>
              <w:numPr>
                <w:ilvl w:val="0"/>
                <w:numId w:val="3"/>
              </w:numPr>
              <w:spacing w:before="120" w:after="120"/>
              <w:ind w:hanging="0" w:left="7"/>
              <w:contextualSpacing/>
              <w:rPr>
                <w:rFonts w:ascii="Times New Roman" w:hAnsi="Times New Roman"/>
              </w:rPr>
            </w:pPr>
            <w:r>
              <w:rPr>
                <w:rFonts w:ascii="Times New Roman" w:hAnsi="Times New Roman"/>
                <w:sz w:val="22"/>
                <w:szCs w:val="22"/>
              </w:rPr>
              <w:t>Modernizuotas PINREG įdiegtas VTEK gamybinėje aplinkoje.</w:t>
            </w:r>
          </w:p>
          <w:p>
            <w:pPr>
              <w:pStyle w:val="LENBUL1arial"/>
              <w:numPr>
                <w:ilvl w:val="0"/>
                <w:numId w:val="0"/>
              </w:numPr>
              <w:spacing w:before="120" w:after="120"/>
              <w:ind w:hanging="0" w:left="7"/>
              <w:contextualSpacing/>
              <w:rPr>
                <w:rFonts w:ascii="Times New Roman" w:hAnsi="Times New Roman"/>
                <w:sz w:val="22"/>
                <w:szCs w:val="22"/>
              </w:rPr>
            </w:pPr>
            <w:r>
              <w:rPr>
                <w:rFonts w:ascii="Times New Roman" w:hAnsi="Times New Roman"/>
                <w:sz w:val="22"/>
                <w:szCs w:val="22"/>
              </w:rPr>
            </w:r>
          </w:p>
        </w:tc>
        <w:tc>
          <w:tcPr>
            <w:tcW w:w="2662" w:type="dxa"/>
            <w:tcBorders>
              <w:top w:val="single" w:sz="4" w:space="0" w:color="000000"/>
              <w:left w:val="single" w:sz="4" w:space="0" w:color="000000"/>
              <w:bottom w:val="single" w:sz="4" w:space="0" w:color="000000"/>
              <w:right w:val="single" w:sz="4" w:space="0" w:color="000000"/>
            </w:tcBorders>
          </w:tcPr>
          <w:p>
            <w:pPr>
              <w:pStyle w:val="Lentekstasarial"/>
              <w:spacing w:before="120" w:after="0"/>
              <w:rPr>
                <w:rFonts w:ascii="Times New Roman" w:hAnsi="Times New Roman"/>
              </w:rPr>
            </w:pPr>
            <w:r>
              <w:rPr>
                <w:rFonts w:ascii="Times New Roman" w:hAnsi="Times New Roman"/>
                <w:color w:themeColor="background2" w:themeShade="1a" w:val="171717"/>
                <w:sz w:val="22"/>
                <w:szCs w:val="22"/>
              </w:rPr>
              <w:t>Šis diegimas gali vykti tik po sėkmingai įvykusio priėmimo testavimo.</w:t>
            </w:r>
          </w:p>
          <w:p>
            <w:pPr>
              <w:pStyle w:val="Lentekstasarial"/>
              <w:spacing w:before="0" w:after="0"/>
              <w:rPr>
                <w:rFonts w:ascii="Times New Roman" w:hAnsi="Times New Roman"/>
              </w:rPr>
            </w:pPr>
            <w:r>
              <w:rPr>
                <w:rFonts w:ascii="Times New Roman" w:hAnsi="Times New Roman"/>
                <w:color w:themeColor="background2" w:themeShade="1a" w:val="171717"/>
                <w:sz w:val="22"/>
                <w:szCs w:val="22"/>
              </w:rPr>
              <w:t>Šis diegimo etapas turi būti baigtas per vieną savaitę nuo priėmimo testavimo etapo pabaigos ir baigtas iki bandomosios eksploatacijos pradžios.</w:t>
            </w:r>
          </w:p>
        </w:tc>
      </w:tr>
      <w:tr>
        <w:trPr/>
        <w:tc>
          <w:tcPr>
            <w:tcW w:w="890" w:type="dxa"/>
            <w:tcBorders>
              <w:top w:val="single" w:sz="4" w:space="0" w:color="000000"/>
              <w:left w:val="single" w:sz="4" w:space="0" w:color="000000"/>
              <w:bottom w:val="single" w:sz="4" w:space="0" w:color="000000"/>
              <w:right w:val="single" w:sz="4" w:space="0" w:color="000000"/>
            </w:tcBorders>
          </w:tcPr>
          <w:p>
            <w:pPr>
              <w:pStyle w:val="ListParagraph"/>
              <w:numPr>
                <w:ilvl w:val="1"/>
                <w:numId w:val="2"/>
              </w:numPr>
              <w:spacing w:before="0" w:after="0"/>
              <w:jc w:val="both"/>
              <w:rPr>
                <w:rFonts w:ascii="Times New Roman" w:hAnsi="Times New Roman"/>
                <w:sz w:val="22"/>
              </w:rPr>
            </w:pPr>
            <w:r>
              <w:rPr>
                <w:rFonts w:ascii="Times New Roman" w:hAnsi="Times New Roman"/>
                <w:sz w:val="22"/>
              </w:rPr>
            </w:r>
          </w:p>
        </w:tc>
        <w:tc>
          <w:tcPr>
            <w:tcW w:w="1699" w:type="dxa"/>
            <w:tcBorders>
              <w:top w:val="single" w:sz="4" w:space="0" w:color="000000"/>
              <w:left w:val="single" w:sz="4" w:space="0" w:color="000000"/>
              <w:bottom w:val="single" w:sz="4" w:space="0" w:color="000000"/>
              <w:right w:val="single" w:sz="4" w:space="0" w:color="000000"/>
            </w:tcBorders>
          </w:tcPr>
          <w:p>
            <w:pPr>
              <w:pStyle w:val="Lentekstasarial"/>
              <w:spacing w:before="0" w:after="0"/>
              <w:rPr>
                <w:rFonts w:ascii="Times New Roman" w:hAnsi="Times New Roman"/>
              </w:rPr>
            </w:pPr>
            <w:r>
              <w:rPr>
                <w:rFonts w:ascii="Times New Roman" w:hAnsi="Times New Roman"/>
                <w:b/>
                <w:color w:themeColor="background2" w:themeShade="1a" w:val="171717"/>
                <w:sz w:val="22"/>
                <w:szCs w:val="22"/>
              </w:rPr>
              <w:t>Mokymai</w:t>
            </w:r>
          </w:p>
        </w:tc>
        <w:tc>
          <w:tcPr>
            <w:tcW w:w="4388" w:type="dxa"/>
            <w:tcBorders>
              <w:top w:val="single" w:sz="4" w:space="0" w:color="000000"/>
              <w:left w:val="single" w:sz="4" w:space="0" w:color="000000"/>
              <w:bottom w:val="single" w:sz="4" w:space="0" w:color="000000"/>
              <w:right w:val="single" w:sz="4" w:space="0" w:color="000000"/>
            </w:tcBorders>
          </w:tcPr>
          <w:p>
            <w:pPr>
              <w:pStyle w:val="Lentekstasarial"/>
              <w:spacing w:before="0" w:after="0"/>
              <w:rPr>
                <w:rFonts w:ascii="Times New Roman" w:hAnsi="Times New Roman"/>
              </w:rPr>
            </w:pPr>
            <w:r>
              <w:rPr>
                <w:rFonts w:ascii="Times New Roman" w:hAnsi="Times New Roman"/>
                <w:color w:themeColor="background2" w:themeShade="1a" w:val="171717"/>
                <w:sz w:val="22"/>
                <w:szCs w:val="22"/>
              </w:rPr>
              <w:t>Diegėjas atlieka šiuos darbus:</w:t>
            </w:r>
          </w:p>
          <w:p>
            <w:pPr>
              <w:pStyle w:val="LENBUL1arial"/>
              <w:numPr>
                <w:ilvl w:val="0"/>
                <w:numId w:val="3"/>
              </w:numPr>
              <w:spacing w:before="0" w:after="120"/>
              <w:ind w:hanging="0" w:left="31"/>
              <w:contextualSpacing/>
              <w:rPr>
                <w:rFonts w:ascii="Times New Roman" w:hAnsi="Times New Roman"/>
              </w:rPr>
            </w:pPr>
            <w:r>
              <w:rPr>
                <w:rFonts w:ascii="Times New Roman" w:hAnsi="Times New Roman"/>
                <w:sz w:val="22"/>
                <w:szCs w:val="22"/>
              </w:rPr>
              <w:t>parengia mokymų planą;</w:t>
            </w:r>
          </w:p>
          <w:p>
            <w:pPr>
              <w:pStyle w:val="LENBUL1arial"/>
              <w:numPr>
                <w:ilvl w:val="0"/>
                <w:numId w:val="3"/>
              </w:numPr>
              <w:spacing w:before="0" w:after="120"/>
              <w:ind w:hanging="0" w:left="31"/>
              <w:contextualSpacing/>
              <w:rPr>
                <w:rFonts w:ascii="Times New Roman" w:hAnsi="Times New Roman"/>
              </w:rPr>
            </w:pPr>
            <w:r>
              <w:rPr>
                <w:rFonts w:ascii="Times New Roman" w:hAnsi="Times New Roman"/>
                <w:sz w:val="22"/>
                <w:szCs w:val="22"/>
              </w:rPr>
              <w:t>parengia mokymų medžiagą ir kitas reikalingas priemones;</w:t>
            </w:r>
          </w:p>
          <w:p>
            <w:pPr>
              <w:pStyle w:val="LENBUL1arial"/>
              <w:numPr>
                <w:ilvl w:val="0"/>
                <w:numId w:val="3"/>
              </w:numPr>
              <w:spacing w:before="0" w:after="120"/>
              <w:ind w:hanging="0" w:left="31"/>
              <w:contextualSpacing/>
              <w:rPr>
                <w:rFonts w:ascii="Times New Roman" w:hAnsi="Times New Roman"/>
              </w:rPr>
            </w:pPr>
            <w:r>
              <w:rPr>
                <w:rFonts w:ascii="Times New Roman" w:hAnsi="Times New Roman"/>
                <w:sz w:val="22"/>
                <w:szCs w:val="22"/>
              </w:rPr>
              <w:t>parengia mokymų aplinką testinėje aplinkoje;</w:t>
            </w:r>
          </w:p>
          <w:p>
            <w:pPr>
              <w:pStyle w:val="LENBUL1arial"/>
              <w:numPr>
                <w:ilvl w:val="0"/>
                <w:numId w:val="3"/>
              </w:numPr>
              <w:spacing w:before="0" w:after="120"/>
              <w:ind w:hanging="0" w:left="31"/>
              <w:contextualSpacing/>
              <w:rPr>
                <w:rFonts w:ascii="Times New Roman" w:hAnsi="Times New Roman"/>
              </w:rPr>
            </w:pPr>
            <w:r>
              <w:rPr>
                <w:rFonts w:ascii="Times New Roman" w:hAnsi="Times New Roman"/>
                <w:sz w:val="22"/>
                <w:szCs w:val="22"/>
              </w:rPr>
              <w:t>vykdo mokymus.</w:t>
            </w:r>
          </w:p>
          <w:p>
            <w:pPr>
              <w:pStyle w:val="LENBUL1arial"/>
              <w:numPr>
                <w:ilvl w:val="0"/>
                <w:numId w:val="0"/>
              </w:numPr>
              <w:spacing w:before="120" w:after="120"/>
              <w:ind w:hanging="0" w:left="720"/>
              <w:contextualSpacing/>
              <w:rPr>
                <w:rFonts w:ascii="Times New Roman" w:hAnsi="Times New Roman"/>
                <w:sz w:val="22"/>
                <w:szCs w:val="22"/>
              </w:rPr>
            </w:pPr>
            <w:r>
              <w:rPr>
                <w:rFonts w:ascii="Times New Roman" w:hAnsi="Times New Roman"/>
                <w:sz w:val="22"/>
                <w:szCs w:val="22"/>
              </w:rPr>
            </w:r>
          </w:p>
        </w:tc>
        <w:tc>
          <w:tcPr>
            <w:tcW w:w="3933" w:type="dxa"/>
            <w:tcBorders>
              <w:top w:val="single" w:sz="4" w:space="0" w:color="000000"/>
              <w:left w:val="single" w:sz="4" w:space="0" w:color="000000"/>
              <w:bottom w:val="single" w:sz="4" w:space="0" w:color="000000"/>
              <w:right w:val="single" w:sz="4" w:space="0" w:color="000000"/>
            </w:tcBorders>
          </w:tcPr>
          <w:p>
            <w:pPr>
              <w:pStyle w:val="LENBUL1arial"/>
              <w:numPr>
                <w:ilvl w:val="0"/>
                <w:numId w:val="3"/>
              </w:numPr>
              <w:spacing w:before="120" w:after="120"/>
              <w:ind w:hanging="0" w:left="7"/>
              <w:contextualSpacing/>
              <w:rPr>
                <w:rFonts w:ascii="Times New Roman" w:hAnsi="Times New Roman"/>
              </w:rPr>
            </w:pPr>
            <w:r>
              <w:rPr>
                <w:rFonts w:ascii="Times New Roman" w:hAnsi="Times New Roman"/>
                <w:b/>
                <w:sz w:val="22"/>
                <w:szCs w:val="22"/>
              </w:rPr>
              <w:t xml:space="preserve">Parengtas mokymų planas. </w:t>
            </w:r>
            <w:r>
              <w:rPr>
                <w:rFonts w:ascii="Times New Roman" w:hAnsi="Times New Roman"/>
                <w:sz w:val="22"/>
                <w:szCs w:val="22"/>
              </w:rPr>
              <w:t>Dokumente turi būti aprašytas mokymų kursų organizavimas, pateikti detalūs mokymų planai / grafikai,  nurodytos mokymų priemonės, resursai, pateiktas mokymų rengimų užduočių planas.</w:t>
            </w:r>
          </w:p>
          <w:p>
            <w:pPr>
              <w:pStyle w:val="LENBUL1arial"/>
              <w:numPr>
                <w:ilvl w:val="0"/>
                <w:numId w:val="3"/>
              </w:numPr>
              <w:ind w:hanging="0" w:left="7"/>
              <w:rPr>
                <w:rFonts w:ascii="Times New Roman" w:hAnsi="Times New Roman"/>
              </w:rPr>
            </w:pPr>
            <w:r>
              <w:rPr>
                <w:rFonts w:ascii="Times New Roman" w:hAnsi="Times New Roman"/>
                <w:b/>
                <w:sz w:val="22"/>
                <w:szCs w:val="22"/>
              </w:rPr>
              <w:t xml:space="preserve">Parengta mokymų medžiaga. </w:t>
            </w:r>
            <w:r>
              <w:rPr>
                <w:rFonts w:ascii="Times New Roman" w:hAnsi="Times New Roman"/>
                <w:sz w:val="22"/>
                <w:szCs w:val="22"/>
              </w:rPr>
              <w:t>Dokumente turi būti pateikti mokymų pratimai.</w:t>
            </w:r>
          </w:p>
          <w:p>
            <w:pPr>
              <w:pStyle w:val="LENBUL1arial"/>
              <w:numPr>
                <w:ilvl w:val="0"/>
                <w:numId w:val="3"/>
              </w:numPr>
              <w:spacing w:before="120" w:after="120"/>
              <w:ind w:hanging="0" w:left="7"/>
              <w:contextualSpacing/>
              <w:rPr>
                <w:rFonts w:ascii="Times New Roman" w:hAnsi="Times New Roman"/>
              </w:rPr>
            </w:pPr>
            <w:r>
              <w:rPr>
                <w:rFonts w:ascii="Times New Roman" w:hAnsi="Times New Roman"/>
                <w:b/>
                <w:sz w:val="22"/>
                <w:szCs w:val="22"/>
              </w:rPr>
              <w:t>Įvykdyti mokymai</w:t>
            </w:r>
            <w:r>
              <w:rPr>
                <w:rFonts w:ascii="Times New Roman" w:hAnsi="Times New Roman"/>
                <w:sz w:val="22"/>
                <w:szCs w:val="22"/>
              </w:rPr>
              <w:t xml:space="preserve"> nurodytam naudotojų kiekiui.</w:t>
            </w:r>
          </w:p>
        </w:tc>
        <w:tc>
          <w:tcPr>
            <w:tcW w:w="2662" w:type="dxa"/>
            <w:tcBorders>
              <w:top w:val="single" w:sz="4" w:space="0" w:color="000000"/>
              <w:left w:val="single" w:sz="4" w:space="0" w:color="000000"/>
              <w:bottom w:val="single" w:sz="4" w:space="0" w:color="000000"/>
              <w:right w:val="single" w:sz="4" w:space="0" w:color="000000"/>
            </w:tcBorders>
          </w:tcPr>
          <w:p>
            <w:pPr>
              <w:pStyle w:val="Lentekstasarial"/>
              <w:spacing w:before="0" w:after="0"/>
              <w:rPr>
                <w:rFonts w:ascii="Times New Roman" w:hAnsi="Times New Roman"/>
              </w:rPr>
            </w:pPr>
            <w:r>
              <w:rPr>
                <w:rFonts w:ascii="Times New Roman" w:hAnsi="Times New Roman"/>
                <w:color w:themeColor="background2" w:themeShade="1a" w:val="171717"/>
                <w:sz w:val="22"/>
                <w:szCs w:val="22"/>
              </w:rPr>
              <w:t>Mokymai turi būti įvykdyti iki bandomosios eksploatacijos pradžios.</w:t>
            </w:r>
          </w:p>
          <w:p>
            <w:pPr>
              <w:pStyle w:val="Lentekstasarial"/>
              <w:spacing w:before="0" w:after="0"/>
              <w:rPr>
                <w:rFonts w:ascii="Times New Roman" w:hAnsi="Times New Roman"/>
                <w:color w:themeColor="background2" w:themeShade="1a" w:val="171717"/>
                <w:sz w:val="22"/>
                <w:szCs w:val="22"/>
              </w:rPr>
            </w:pPr>
            <w:r>
              <w:rPr>
                <w:rFonts w:ascii="Times New Roman" w:hAnsi="Times New Roman"/>
                <w:color w:themeColor="background2" w:themeShade="1a" w:val="171717"/>
                <w:sz w:val="22"/>
                <w:szCs w:val="22"/>
              </w:rPr>
            </w:r>
          </w:p>
        </w:tc>
      </w:tr>
      <w:tr>
        <w:trPr/>
        <w:tc>
          <w:tcPr>
            <w:tcW w:w="890" w:type="dxa"/>
            <w:tcBorders>
              <w:top w:val="single" w:sz="4" w:space="0" w:color="000000"/>
              <w:left w:val="single" w:sz="4" w:space="0" w:color="000000"/>
              <w:bottom w:val="single" w:sz="4" w:space="0" w:color="000000"/>
              <w:right w:val="single" w:sz="4" w:space="0" w:color="000000"/>
            </w:tcBorders>
          </w:tcPr>
          <w:p>
            <w:pPr>
              <w:pStyle w:val="ListParagraph"/>
              <w:numPr>
                <w:ilvl w:val="1"/>
                <w:numId w:val="2"/>
              </w:numPr>
              <w:spacing w:before="0" w:after="0"/>
              <w:jc w:val="both"/>
              <w:rPr>
                <w:rFonts w:ascii="Times New Roman" w:hAnsi="Times New Roman"/>
                <w:sz w:val="22"/>
              </w:rPr>
            </w:pPr>
            <w:r>
              <w:rPr>
                <w:rFonts w:ascii="Times New Roman" w:hAnsi="Times New Roman"/>
                <w:sz w:val="22"/>
              </w:rPr>
            </w:r>
          </w:p>
        </w:tc>
        <w:tc>
          <w:tcPr>
            <w:tcW w:w="1699" w:type="dxa"/>
            <w:tcBorders>
              <w:top w:val="single" w:sz="4" w:space="0" w:color="000000"/>
              <w:left w:val="single" w:sz="4" w:space="0" w:color="000000"/>
              <w:bottom w:val="single" w:sz="4" w:space="0" w:color="000000"/>
              <w:right w:val="single" w:sz="4" w:space="0" w:color="000000"/>
            </w:tcBorders>
          </w:tcPr>
          <w:p>
            <w:pPr>
              <w:pStyle w:val="Lentekstasarial"/>
              <w:spacing w:before="0" w:after="0"/>
              <w:rPr>
                <w:rFonts w:ascii="Times New Roman" w:hAnsi="Times New Roman"/>
              </w:rPr>
            </w:pPr>
            <w:r>
              <w:rPr>
                <w:rFonts w:ascii="Times New Roman" w:hAnsi="Times New Roman"/>
                <w:b/>
                <w:color w:themeColor="background2" w:themeShade="1a" w:val="171717"/>
                <w:sz w:val="22"/>
                <w:szCs w:val="22"/>
              </w:rPr>
              <w:t>Bandomoji eksploatacija</w:t>
            </w:r>
          </w:p>
        </w:tc>
        <w:tc>
          <w:tcPr>
            <w:tcW w:w="4388" w:type="dxa"/>
            <w:tcBorders>
              <w:top w:val="single" w:sz="4" w:space="0" w:color="000000"/>
              <w:left w:val="single" w:sz="4" w:space="0" w:color="000000"/>
              <w:bottom w:val="single" w:sz="4" w:space="0" w:color="000000"/>
              <w:right w:val="single" w:sz="4" w:space="0" w:color="000000"/>
            </w:tcBorders>
          </w:tcPr>
          <w:p>
            <w:pPr>
              <w:pStyle w:val="Lentekstasarial"/>
              <w:spacing w:before="0" w:after="0"/>
              <w:rPr>
                <w:rFonts w:ascii="Times New Roman" w:hAnsi="Times New Roman"/>
              </w:rPr>
            </w:pPr>
            <w:r>
              <w:rPr>
                <w:rFonts w:ascii="Times New Roman" w:hAnsi="Times New Roman"/>
                <w:color w:themeColor="background2" w:themeShade="1a" w:val="171717"/>
                <w:sz w:val="22"/>
                <w:szCs w:val="22"/>
              </w:rPr>
              <w:t>Diegėjas:</w:t>
            </w:r>
          </w:p>
          <w:p>
            <w:pPr>
              <w:pStyle w:val="LENBUL1arial"/>
              <w:numPr>
                <w:ilvl w:val="0"/>
                <w:numId w:val="3"/>
              </w:numPr>
              <w:spacing w:before="0" w:after="120"/>
              <w:ind w:hanging="0" w:left="31"/>
              <w:contextualSpacing/>
              <w:rPr>
                <w:rFonts w:ascii="Times New Roman" w:hAnsi="Times New Roman"/>
              </w:rPr>
            </w:pPr>
            <w:r>
              <w:rPr>
                <w:rFonts w:ascii="Times New Roman" w:hAnsi="Times New Roman"/>
                <w:sz w:val="22"/>
                <w:szCs w:val="22"/>
              </w:rPr>
              <w:t>teikia konsultacijas bandomosios eksploatacijos klausimais;</w:t>
            </w:r>
          </w:p>
          <w:p>
            <w:pPr>
              <w:pStyle w:val="LENBUL1arial"/>
              <w:numPr>
                <w:ilvl w:val="0"/>
                <w:numId w:val="3"/>
              </w:numPr>
              <w:spacing w:before="0" w:after="120"/>
              <w:ind w:hanging="0" w:left="31"/>
              <w:contextualSpacing/>
              <w:rPr>
                <w:rFonts w:ascii="Times New Roman" w:hAnsi="Times New Roman"/>
              </w:rPr>
            </w:pPr>
            <w:r>
              <w:rPr>
                <w:rFonts w:ascii="Times New Roman" w:hAnsi="Times New Roman"/>
                <w:sz w:val="22"/>
                <w:szCs w:val="22"/>
              </w:rPr>
              <w:t>reaguoja ir pašalina eksploatacijos metu nustatytus defektus;</w:t>
            </w:r>
          </w:p>
          <w:p>
            <w:pPr>
              <w:pStyle w:val="LENBUL1arial"/>
              <w:numPr>
                <w:ilvl w:val="0"/>
                <w:numId w:val="3"/>
              </w:numPr>
              <w:spacing w:before="0" w:after="120"/>
              <w:ind w:hanging="0" w:left="31"/>
              <w:contextualSpacing/>
              <w:rPr>
                <w:rFonts w:ascii="Times New Roman" w:hAnsi="Times New Roman"/>
              </w:rPr>
            </w:pPr>
            <w:r>
              <w:rPr>
                <w:rFonts w:ascii="Times New Roman" w:hAnsi="Times New Roman"/>
                <w:sz w:val="22"/>
                <w:szCs w:val="22"/>
              </w:rPr>
              <w:t>užtikrina ekspertų konsultavimą Perkančiosios organizacijos darbuotojams;</w:t>
            </w:r>
          </w:p>
          <w:p>
            <w:pPr>
              <w:pStyle w:val="LENBUL1arial"/>
              <w:numPr>
                <w:ilvl w:val="0"/>
                <w:numId w:val="3"/>
              </w:numPr>
              <w:spacing w:before="0" w:after="120"/>
              <w:ind w:hanging="0" w:left="31"/>
              <w:contextualSpacing/>
              <w:rPr>
                <w:rFonts w:ascii="Times New Roman" w:hAnsi="Times New Roman"/>
              </w:rPr>
            </w:pPr>
            <w:r>
              <w:rPr>
                <w:rFonts w:ascii="Times New Roman" w:hAnsi="Times New Roman"/>
                <w:sz w:val="22"/>
                <w:szCs w:val="22"/>
              </w:rPr>
              <w:t>užtikrina modernizuoto PINREG  duomenų integralumą ir vientisumą;</w:t>
            </w:r>
          </w:p>
          <w:p>
            <w:pPr>
              <w:pStyle w:val="LENBUL1arial"/>
              <w:numPr>
                <w:ilvl w:val="0"/>
                <w:numId w:val="3"/>
              </w:numPr>
              <w:spacing w:before="0" w:after="120"/>
              <w:ind w:hanging="0" w:left="31"/>
              <w:contextualSpacing/>
              <w:rPr>
                <w:rFonts w:ascii="Times New Roman" w:hAnsi="Times New Roman"/>
              </w:rPr>
            </w:pPr>
            <w:r>
              <w:rPr>
                <w:rFonts w:ascii="Times New Roman" w:hAnsi="Times New Roman"/>
                <w:sz w:val="22"/>
                <w:szCs w:val="22"/>
              </w:rPr>
              <w:t>atlieka reikiamus pakeitimus atsižvelgiant į atsparumo įsilaužimams ir našumo testavimo rezultatus;</w:t>
            </w:r>
          </w:p>
          <w:p>
            <w:pPr>
              <w:pStyle w:val="LENBUL1arial"/>
              <w:numPr>
                <w:ilvl w:val="0"/>
                <w:numId w:val="3"/>
              </w:numPr>
              <w:spacing w:before="0" w:after="120"/>
              <w:ind w:hanging="0" w:left="31"/>
              <w:contextualSpacing/>
              <w:rPr>
                <w:rFonts w:ascii="Times New Roman" w:hAnsi="Times New Roman"/>
              </w:rPr>
            </w:pPr>
            <w:r>
              <w:rPr>
                <w:rFonts w:ascii="Times New Roman" w:hAnsi="Times New Roman"/>
                <w:sz w:val="22"/>
                <w:szCs w:val="22"/>
              </w:rPr>
              <w:t>parengia bandomosios eksploatacijos rezultatų ataskaitą;</w:t>
            </w:r>
          </w:p>
          <w:p>
            <w:pPr>
              <w:pStyle w:val="LENBUL1arial"/>
              <w:numPr>
                <w:ilvl w:val="0"/>
                <w:numId w:val="3"/>
              </w:numPr>
              <w:spacing w:before="0" w:after="120"/>
              <w:ind w:hanging="0" w:left="31"/>
              <w:contextualSpacing/>
              <w:rPr>
                <w:rFonts w:ascii="Times New Roman" w:hAnsi="Times New Roman"/>
              </w:rPr>
            </w:pPr>
            <w:r>
              <w:rPr>
                <w:rFonts w:ascii="Times New Roman" w:hAnsi="Times New Roman"/>
                <w:sz w:val="22"/>
                <w:szCs w:val="22"/>
              </w:rPr>
              <w:t>parengia garantinės priežiūros procedūros dokumentą.</w:t>
            </w:r>
          </w:p>
          <w:p>
            <w:pPr>
              <w:pStyle w:val="Lentekstasarial"/>
              <w:spacing w:before="0" w:after="0"/>
              <w:rPr>
                <w:rFonts w:ascii="Times New Roman" w:hAnsi="Times New Roman"/>
              </w:rPr>
            </w:pPr>
            <w:r>
              <w:rPr>
                <w:rFonts w:ascii="Times New Roman" w:hAnsi="Times New Roman"/>
                <w:color w:themeColor="background2" w:themeShade="1a" w:val="171717"/>
                <w:sz w:val="22"/>
                <w:szCs w:val="22"/>
              </w:rPr>
              <w:t>VTEK (pagal kompetenciją):</w:t>
            </w:r>
          </w:p>
          <w:p>
            <w:pPr>
              <w:pStyle w:val="LENBUL1arial"/>
              <w:numPr>
                <w:ilvl w:val="0"/>
                <w:numId w:val="3"/>
              </w:numPr>
              <w:spacing w:before="0" w:after="120"/>
              <w:ind w:hanging="0" w:left="31"/>
              <w:contextualSpacing/>
              <w:rPr>
                <w:rFonts w:ascii="Times New Roman" w:hAnsi="Times New Roman"/>
              </w:rPr>
            </w:pPr>
            <w:r>
              <w:rPr>
                <w:rFonts w:ascii="Times New Roman" w:hAnsi="Times New Roman"/>
                <w:sz w:val="22"/>
                <w:szCs w:val="22"/>
              </w:rPr>
              <w:t>dirba su įdiegta modernizuota PINREG dalimi;</w:t>
            </w:r>
          </w:p>
          <w:p>
            <w:pPr>
              <w:pStyle w:val="LENBUL1arial"/>
              <w:numPr>
                <w:ilvl w:val="0"/>
                <w:numId w:val="3"/>
              </w:numPr>
              <w:spacing w:before="0" w:after="120"/>
              <w:ind w:hanging="0" w:left="31"/>
              <w:contextualSpacing/>
              <w:rPr>
                <w:rFonts w:ascii="Times New Roman" w:hAnsi="Times New Roman"/>
              </w:rPr>
            </w:pPr>
            <w:r>
              <w:rPr>
                <w:rFonts w:ascii="Times New Roman" w:hAnsi="Times New Roman"/>
                <w:sz w:val="22"/>
                <w:szCs w:val="22"/>
              </w:rPr>
              <w:t>registruoja bandomosios eksploatacijos metu nustatytas klaidas.</w:t>
            </w:r>
          </w:p>
        </w:tc>
        <w:tc>
          <w:tcPr>
            <w:tcW w:w="3933" w:type="dxa"/>
            <w:tcBorders>
              <w:top w:val="single" w:sz="4" w:space="0" w:color="000000"/>
              <w:left w:val="single" w:sz="4" w:space="0" w:color="000000"/>
              <w:bottom w:val="single" w:sz="4" w:space="0" w:color="000000"/>
              <w:right w:val="single" w:sz="4" w:space="0" w:color="000000"/>
            </w:tcBorders>
          </w:tcPr>
          <w:p>
            <w:pPr>
              <w:pStyle w:val="LENBUL1arial"/>
              <w:numPr>
                <w:ilvl w:val="0"/>
                <w:numId w:val="3"/>
              </w:numPr>
              <w:spacing w:before="120" w:after="120"/>
              <w:ind w:hanging="0" w:left="7"/>
              <w:contextualSpacing/>
              <w:rPr>
                <w:rFonts w:ascii="Times New Roman" w:hAnsi="Times New Roman"/>
              </w:rPr>
            </w:pPr>
            <w:r>
              <w:rPr>
                <w:rFonts w:ascii="Times New Roman" w:hAnsi="Times New Roman"/>
                <w:sz w:val="22"/>
                <w:szCs w:val="22"/>
              </w:rPr>
              <w:t>Parengta bandomosios eksploatacijos ataskaita;</w:t>
            </w:r>
          </w:p>
          <w:p>
            <w:pPr>
              <w:pStyle w:val="LENBUL1arial"/>
              <w:numPr>
                <w:ilvl w:val="0"/>
                <w:numId w:val="3"/>
              </w:numPr>
              <w:ind w:hanging="0" w:left="7"/>
              <w:rPr>
                <w:rFonts w:ascii="Times New Roman" w:hAnsi="Times New Roman"/>
              </w:rPr>
            </w:pPr>
            <w:r>
              <w:rPr>
                <w:rFonts w:ascii="Times New Roman" w:hAnsi="Times New Roman"/>
                <w:b/>
                <w:sz w:val="22"/>
                <w:szCs w:val="22"/>
              </w:rPr>
              <w:t>Pašalintos bandomosios eksploatacijos metu nustatytos klaidos</w:t>
            </w:r>
            <w:r>
              <w:rPr>
                <w:rFonts w:ascii="Times New Roman" w:hAnsi="Times New Roman"/>
                <w:sz w:val="22"/>
                <w:szCs w:val="22"/>
              </w:rPr>
              <w:t>. Diegėjas bandomosios eksploatacijos metu pagal suderintą klaidų šalinimo grafiką turi šalinti visus PINREG modernizuotos dalies trūkumus, užregistruotus bandomosios eksploatacijos problemų registre;</w:t>
            </w:r>
          </w:p>
          <w:p>
            <w:pPr>
              <w:pStyle w:val="LENBUL1arial"/>
              <w:numPr>
                <w:ilvl w:val="0"/>
                <w:numId w:val="3"/>
              </w:numPr>
              <w:ind w:hanging="0" w:left="7"/>
              <w:rPr>
                <w:rFonts w:ascii="Times New Roman" w:hAnsi="Times New Roman"/>
              </w:rPr>
            </w:pPr>
            <w:r>
              <w:rPr>
                <w:rFonts w:ascii="Times New Roman" w:hAnsi="Times New Roman"/>
                <w:sz w:val="22"/>
                <w:szCs w:val="22"/>
              </w:rPr>
              <w:t>Suteiktos konsultacijos;</w:t>
            </w:r>
          </w:p>
          <w:p>
            <w:pPr>
              <w:pStyle w:val="LENBUL1arial"/>
              <w:numPr>
                <w:ilvl w:val="0"/>
                <w:numId w:val="3"/>
              </w:numPr>
              <w:ind w:hanging="0" w:left="7"/>
              <w:rPr>
                <w:rFonts w:ascii="Times New Roman" w:hAnsi="Times New Roman"/>
              </w:rPr>
            </w:pPr>
            <w:r>
              <w:rPr>
                <w:rFonts w:ascii="Times New Roman" w:hAnsi="Times New Roman"/>
                <w:sz w:val="22"/>
                <w:szCs w:val="22"/>
              </w:rPr>
              <w:t>Sėkmingai įvykdyta bandomoji eksploatacija.</w:t>
            </w:r>
          </w:p>
          <w:p>
            <w:pPr>
              <w:pStyle w:val="LENBUL1arial"/>
              <w:numPr>
                <w:ilvl w:val="0"/>
                <w:numId w:val="3"/>
              </w:numPr>
              <w:spacing w:before="120" w:after="120"/>
              <w:ind w:hanging="0" w:left="7"/>
              <w:contextualSpacing/>
              <w:rPr>
                <w:rFonts w:ascii="Times New Roman" w:hAnsi="Times New Roman"/>
              </w:rPr>
            </w:pPr>
            <w:r>
              <w:rPr>
                <w:rFonts w:ascii="Times New Roman" w:hAnsi="Times New Roman"/>
                <w:b/>
                <w:sz w:val="22"/>
                <w:szCs w:val="22"/>
              </w:rPr>
              <w:t>Parengtas garantinės priežiūros procedūros dokumentas</w:t>
            </w:r>
            <w:r>
              <w:rPr>
                <w:rFonts w:ascii="Times New Roman" w:hAnsi="Times New Roman"/>
                <w:sz w:val="22"/>
                <w:szCs w:val="22"/>
              </w:rPr>
              <w:t xml:space="preserve"> (įskaitant PINREG modernizuotos dalies pakeitimų valdymo procedūrą). Dokumente turi būti aprašytas garantinės priežiūros teikimo būdas, detalizuotos garantinės priežiūros teikimo sąlygos, Diegėjo atsakomybė, VTEK atsakomybė, kontaktinė informacija, papildomos tvarkos (eskalavimo, klaidų registravimo, konsultavimo)). </w:t>
            </w:r>
            <w:r>
              <w:rPr>
                <w:rFonts w:ascii="Times New Roman" w:hAnsi="Times New Roman"/>
                <w:b/>
                <w:sz w:val="22"/>
                <w:szCs w:val="22"/>
              </w:rPr>
              <w:t>Atlikti reikiami pakeitimai</w:t>
            </w:r>
            <w:r>
              <w:rPr>
                <w:rFonts w:ascii="Times New Roman" w:hAnsi="Times New Roman"/>
                <w:sz w:val="22"/>
                <w:szCs w:val="22"/>
              </w:rPr>
              <w:t xml:space="preserve"> atsižvelgiant į atsparumo įsilaužimams ir našumo testavimo rezultatus.</w:t>
            </w:r>
          </w:p>
        </w:tc>
        <w:tc>
          <w:tcPr>
            <w:tcW w:w="2662" w:type="dxa"/>
            <w:tcBorders>
              <w:top w:val="single" w:sz="4" w:space="0" w:color="000000"/>
              <w:left w:val="single" w:sz="4" w:space="0" w:color="000000"/>
              <w:bottom w:val="single" w:sz="4" w:space="0" w:color="000000"/>
              <w:right w:val="single" w:sz="4" w:space="0" w:color="000000"/>
            </w:tcBorders>
          </w:tcPr>
          <w:p>
            <w:pPr>
              <w:pStyle w:val="Lentekstasarial"/>
              <w:spacing w:before="120" w:after="0"/>
              <w:rPr>
                <w:rFonts w:ascii="Times New Roman" w:hAnsi="Times New Roman"/>
              </w:rPr>
            </w:pPr>
            <w:r>
              <w:rPr>
                <w:rFonts w:ascii="Times New Roman" w:hAnsi="Times New Roman"/>
                <w:color w:themeColor="background2" w:themeShade="1a" w:val="171717"/>
                <w:sz w:val="22"/>
                <w:szCs w:val="22"/>
              </w:rPr>
              <w:t>Bandomoji eksploatacija vykdoma iki sėkmingo bandomosios eksploatacijos kriterijų pasiekimo.</w:t>
            </w:r>
          </w:p>
          <w:p>
            <w:pPr>
              <w:pStyle w:val="Lentekstasarial"/>
              <w:spacing w:before="0" w:after="0"/>
              <w:rPr>
                <w:rFonts w:ascii="Times New Roman" w:hAnsi="Times New Roman"/>
              </w:rPr>
            </w:pPr>
            <w:r>
              <w:rPr>
                <w:rFonts w:ascii="Times New Roman" w:hAnsi="Times New Roman"/>
                <w:color w:themeColor="background2" w:themeShade="1a" w:val="171717"/>
                <w:sz w:val="22"/>
                <w:szCs w:val="22"/>
              </w:rPr>
              <w:t>Garantinės priežiūros procedūros dokumentas turi būti pateiktas likus 2 savaitėms mėnesiui iki projekto įgyvendinimo pabaigos.</w:t>
            </w:r>
          </w:p>
          <w:p>
            <w:pPr>
              <w:pStyle w:val="Lentekstasarial"/>
              <w:spacing w:before="0" w:after="0"/>
              <w:rPr>
                <w:rFonts w:ascii="Times New Roman" w:hAnsi="Times New Roman"/>
                <w:color w:themeColor="background2" w:themeShade="1a" w:val="171717"/>
                <w:sz w:val="22"/>
                <w:szCs w:val="22"/>
              </w:rPr>
            </w:pPr>
            <w:r>
              <w:rPr>
                <w:rFonts w:ascii="Times New Roman" w:hAnsi="Times New Roman"/>
                <w:color w:themeColor="background2" w:themeShade="1a" w:val="171717"/>
                <w:sz w:val="22"/>
                <w:szCs w:val="22"/>
              </w:rPr>
            </w:r>
          </w:p>
        </w:tc>
      </w:tr>
      <w:tr>
        <w:trPr/>
        <w:tc>
          <w:tcPr>
            <w:tcW w:w="890" w:type="dxa"/>
            <w:tcBorders>
              <w:top w:val="single" w:sz="4" w:space="0" w:color="000000"/>
              <w:left w:val="single" w:sz="4" w:space="0" w:color="000000"/>
              <w:bottom w:val="single" w:sz="4" w:space="0" w:color="000000"/>
              <w:right w:val="single" w:sz="4" w:space="0" w:color="000000"/>
            </w:tcBorders>
          </w:tcPr>
          <w:p>
            <w:pPr>
              <w:pStyle w:val="ListParagraph"/>
              <w:numPr>
                <w:ilvl w:val="1"/>
                <w:numId w:val="2"/>
              </w:numPr>
              <w:spacing w:before="0" w:after="0"/>
              <w:jc w:val="both"/>
              <w:rPr>
                <w:rFonts w:ascii="Times New Roman" w:hAnsi="Times New Roman"/>
                <w:sz w:val="22"/>
              </w:rPr>
            </w:pPr>
            <w:r>
              <w:rPr>
                <w:rFonts w:ascii="Times New Roman" w:hAnsi="Times New Roman"/>
                <w:sz w:val="22"/>
              </w:rPr>
            </w:r>
          </w:p>
        </w:tc>
        <w:tc>
          <w:tcPr>
            <w:tcW w:w="1699" w:type="dxa"/>
            <w:tcBorders>
              <w:top w:val="single" w:sz="4" w:space="0" w:color="000000"/>
              <w:left w:val="single" w:sz="4" w:space="0" w:color="000000"/>
              <w:bottom w:val="single" w:sz="4" w:space="0" w:color="000000"/>
              <w:right w:val="single" w:sz="4" w:space="0" w:color="000000"/>
            </w:tcBorders>
          </w:tcPr>
          <w:p>
            <w:pPr>
              <w:pStyle w:val="Lentekstasarial"/>
              <w:spacing w:before="0" w:after="0"/>
              <w:rPr>
                <w:rFonts w:ascii="Times New Roman" w:hAnsi="Times New Roman"/>
              </w:rPr>
            </w:pPr>
            <w:r>
              <w:rPr>
                <w:rFonts w:ascii="Times New Roman" w:hAnsi="Times New Roman"/>
                <w:b/>
                <w:color w:themeColor="background2" w:themeShade="1a" w:val="171717"/>
                <w:sz w:val="22"/>
                <w:szCs w:val="22"/>
              </w:rPr>
              <w:t>PINREG modernizuotos dalies pridavimas</w:t>
            </w:r>
          </w:p>
        </w:tc>
        <w:tc>
          <w:tcPr>
            <w:tcW w:w="4388" w:type="dxa"/>
            <w:tcBorders>
              <w:top w:val="single" w:sz="4" w:space="0" w:color="000000"/>
              <w:left w:val="single" w:sz="4" w:space="0" w:color="000000"/>
              <w:bottom w:val="single" w:sz="4" w:space="0" w:color="000000"/>
              <w:right w:val="single" w:sz="4" w:space="0" w:color="000000"/>
            </w:tcBorders>
          </w:tcPr>
          <w:p>
            <w:pPr>
              <w:pStyle w:val="Lentekstasarial"/>
              <w:spacing w:before="0" w:after="120"/>
              <w:rPr>
                <w:rFonts w:ascii="Times New Roman" w:hAnsi="Times New Roman"/>
              </w:rPr>
            </w:pPr>
            <w:r>
              <w:rPr>
                <w:rFonts w:cs="Times New Roman" w:ascii="Times New Roman" w:hAnsi="Times New Roman"/>
                <w:color w:val="auto"/>
                <w:sz w:val="22"/>
                <w:szCs w:val="22"/>
              </w:rPr>
              <w:t>Diegėjas:</w:t>
            </w:r>
          </w:p>
          <w:p>
            <w:pPr>
              <w:pStyle w:val="LENBUL1arial"/>
              <w:numPr>
                <w:ilvl w:val="0"/>
                <w:numId w:val="3"/>
              </w:numPr>
              <w:spacing w:before="0" w:after="120"/>
              <w:ind w:hanging="0" w:left="31"/>
              <w:contextualSpacing/>
              <w:rPr>
                <w:rFonts w:ascii="Times New Roman" w:hAnsi="Times New Roman"/>
              </w:rPr>
            </w:pPr>
            <w:r>
              <w:rPr>
                <w:rFonts w:ascii="Times New Roman" w:hAnsi="Times New Roman"/>
                <w:sz w:val="22"/>
                <w:szCs w:val="22"/>
              </w:rPr>
              <w:t>parengia ir pateikia galutinį perdavimo ir priėmimo aktą;</w:t>
            </w:r>
          </w:p>
          <w:p>
            <w:pPr>
              <w:pStyle w:val="LENBUL1arial"/>
              <w:numPr>
                <w:ilvl w:val="0"/>
                <w:numId w:val="3"/>
              </w:numPr>
              <w:spacing w:before="0" w:after="120"/>
              <w:ind w:hanging="0" w:left="31"/>
              <w:contextualSpacing/>
              <w:rPr>
                <w:rFonts w:ascii="Times New Roman" w:hAnsi="Times New Roman"/>
              </w:rPr>
            </w:pPr>
            <w:r>
              <w:rPr>
                <w:rFonts w:ascii="Times New Roman" w:hAnsi="Times New Roman"/>
                <w:sz w:val="22"/>
                <w:szCs w:val="22"/>
              </w:rPr>
              <w:t>pateikia visų atnaujintų dokumentų galutines suderintas versijas;</w:t>
            </w:r>
          </w:p>
          <w:p>
            <w:pPr>
              <w:pStyle w:val="LENBUL1arial"/>
              <w:numPr>
                <w:ilvl w:val="0"/>
                <w:numId w:val="3"/>
              </w:numPr>
              <w:spacing w:before="0" w:after="120"/>
              <w:ind w:hanging="0" w:left="31"/>
              <w:contextualSpacing/>
              <w:rPr>
                <w:rFonts w:ascii="Times New Roman" w:hAnsi="Times New Roman"/>
              </w:rPr>
            </w:pPr>
            <w:r>
              <w:rPr>
                <w:rFonts w:ascii="Times New Roman" w:hAnsi="Times New Roman"/>
                <w:sz w:val="22"/>
                <w:szCs w:val="22"/>
              </w:rPr>
              <w:t>pateikia sukurtos programinės įrangos išeities tekstus.</w:t>
            </w:r>
          </w:p>
        </w:tc>
        <w:tc>
          <w:tcPr>
            <w:tcW w:w="3933" w:type="dxa"/>
            <w:tcBorders>
              <w:top w:val="single" w:sz="4" w:space="0" w:color="000000"/>
              <w:left w:val="single" w:sz="4" w:space="0" w:color="000000"/>
              <w:bottom w:val="single" w:sz="4" w:space="0" w:color="000000"/>
              <w:right w:val="single" w:sz="4" w:space="0" w:color="000000"/>
            </w:tcBorders>
          </w:tcPr>
          <w:p>
            <w:pPr>
              <w:pStyle w:val="Lentekstasarial"/>
              <w:spacing w:before="0" w:after="120"/>
              <w:rPr>
                <w:rFonts w:ascii="Times New Roman" w:hAnsi="Times New Roman"/>
              </w:rPr>
            </w:pPr>
            <w:r>
              <w:rPr>
                <w:rFonts w:cs="Times New Roman" w:ascii="Times New Roman" w:hAnsi="Times New Roman"/>
                <w:color w:val="auto"/>
                <w:sz w:val="22"/>
                <w:szCs w:val="22"/>
              </w:rPr>
              <w:t>Pasirašytas galutinis perdavimo ir priėmimo aktas.</w:t>
            </w:r>
          </w:p>
        </w:tc>
        <w:tc>
          <w:tcPr>
            <w:tcW w:w="2662" w:type="dxa"/>
            <w:tcBorders>
              <w:top w:val="single" w:sz="4" w:space="0" w:color="000000"/>
              <w:left w:val="single" w:sz="4" w:space="0" w:color="000000"/>
              <w:bottom w:val="single" w:sz="4" w:space="0" w:color="000000"/>
              <w:right w:val="single" w:sz="4" w:space="0" w:color="000000"/>
            </w:tcBorders>
          </w:tcPr>
          <w:p>
            <w:pPr>
              <w:pStyle w:val="Lentekstasarial"/>
              <w:spacing w:before="0" w:after="0"/>
              <w:rPr>
                <w:rFonts w:ascii="Times New Roman" w:hAnsi="Times New Roman"/>
              </w:rPr>
            </w:pPr>
            <w:r>
              <w:rPr>
                <w:rFonts w:cs="Times New Roman" w:ascii="Times New Roman" w:hAnsi="Times New Roman"/>
                <w:color w:val="auto"/>
                <w:sz w:val="22"/>
                <w:szCs w:val="22"/>
              </w:rPr>
              <w:t>PINREG modernizuotos dalies pridavimas turi trukti ne ilgiau nei 10 kalendorinių dienų nuo įvedimo į eksploataciją etapo (paskutinio žingsnio) pabaigos.</w:t>
            </w:r>
          </w:p>
        </w:tc>
      </w:tr>
      <w:tr>
        <w:trPr/>
        <w:tc>
          <w:tcPr>
            <w:tcW w:w="890" w:type="dxa"/>
            <w:tcBorders>
              <w:top w:val="single" w:sz="4" w:space="0" w:color="000000"/>
              <w:left w:val="single" w:sz="4" w:space="0" w:color="000000"/>
              <w:bottom w:val="single" w:sz="4" w:space="0" w:color="000000"/>
              <w:right w:val="single" w:sz="4" w:space="0" w:color="000000"/>
            </w:tcBorders>
          </w:tcPr>
          <w:p>
            <w:pPr>
              <w:pStyle w:val="ListParagraph"/>
              <w:numPr>
                <w:ilvl w:val="1"/>
                <w:numId w:val="2"/>
              </w:numPr>
              <w:spacing w:before="0" w:after="0"/>
              <w:jc w:val="both"/>
              <w:rPr>
                <w:rFonts w:ascii="Times New Roman" w:hAnsi="Times New Roman"/>
                <w:sz w:val="22"/>
              </w:rPr>
            </w:pPr>
            <w:r>
              <w:rPr>
                <w:rFonts w:ascii="Times New Roman" w:hAnsi="Times New Roman"/>
                <w:sz w:val="22"/>
              </w:rPr>
            </w:r>
          </w:p>
        </w:tc>
        <w:tc>
          <w:tcPr>
            <w:tcW w:w="1699" w:type="dxa"/>
            <w:tcBorders>
              <w:top w:val="single" w:sz="4" w:space="0" w:color="000000"/>
              <w:left w:val="single" w:sz="4" w:space="0" w:color="000000"/>
              <w:bottom w:val="single" w:sz="4" w:space="0" w:color="000000"/>
              <w:right w:val="single" w:sz="4" w:space="0" w:color="000000"/>
            </w:tcBorders>
          </w:tcPr>
          <w:p>
            <w:pPr>
              <w:pStyle w:val="Lentekstasarial"/>
              <w:spacing w:before="0" w:after="0"/>
              <w:rPr>
                <w:rFonts w:ascii="Times New Roman" w:hAnsi="Times New Roman"/>
              </w:rPr>
            </w:pPr>
            <w:r>
              <w:rPr>
                <w:rFonts w:ascii="Times New Roman" w:hAnsi="Times New Roman"/>
                <w:b/>
                <w:color w:themeColor="background2" w:themeShade="1a" w:val="171717"/>
                <w:sz w:val="22"/>
                <w:szCs w:val="22"/>
              </w:rPr>
              <w:t>Garantinė priežiūra</w:t>
            </w:r>
          </w:p>
        </w:tc>
        <w:tc>
          <w:tcPr>
            <w:tcW w:w="4388" w:type="dxa"/>
            <w:tcBorders>
              <w:top w:val="single" w:sz="4" w:space="0" w:color="000000"/>
              <w:left w:val="single" w:sz="4" w:space="0" w:color="000000"/>
              <w:bottom w:val="single" w:sz="4" w:space="0" w:color="000000"/>
              <w:right w:val="single" w:sz="4" w:space="0" w:color="000000"/>
            </w:tcBorders>
          </w:tcPr>
          <w:p>
            <w:pPr>
              <w:pStyle w:val="Lentekstasarial"/>
              <w:spacing w:before="0" w:after="0"/>
              <w:rPr>
                <w:rFonts w:ascii="Times New Roman" w:hAnsi="Times New Roman"/>
              </w:rPr>
            </w:pPr>
            <w:r>
              <w:rPr>
                <w:rFonts w:ascii="Times New Roman" w:hAnsi="Times New Roman"/>
                <w:color w:themeColor="background2" w:themeShade="1a" w:val="171717"/>
                <w:sz w:val="22"/>
                <w:szCs w:val="22"/>
              </w:rPr>
              <w:t>Diegėjas suteikia ne trumpesnį nei 24 mėnesių garantinį aptarnavimą.</w:t>
            </w:r>
          </w:p>
        </w:tc>
        <w:tc>
          <w:tcPr>
            <w:tcW w:w="3933" w:type="dxa"/>
            <w:tcBorders>
              <w:top w:val="single" w:sz="4" w:space="0" w:color="000000"/>
              <w:left w:val="single" w:sz="4" w:space="0" w:color="000000"/>
              <w:bottom w:val="single" w:sz="4" w:space="0" w:color="000000"/>
              <w:right w:val="single" w:sz="4" w:space="0" w:color="000000"/>
            </w:tcBorders>
          </w:tcPr>
          <w:p>
            <w:pPr>
              <w:pStyle w:val="Lentekstasarial"/>
              <w:spacing w:before="0" w:after="0"/>
              <w:rPr>
                <w:rFonts w:ascii="Times New Roman" w:hAnsi="Times New Roman"/>
              </w:rPr>
            </w:pPr>
            <w:r>
              <w:rPr>
                <w:rFonts w:ascii="Times New Roman" w:hAnsi="Times New Roman"/>
                <w:color w:themeColor="background2" w:themeShade="1a" w:val="171717"/>
                <w:sz w:val="22"/>
                <w:szCs w:val="22"/>
              </w:rPr>
              <w:t>Teikiami garantinės priežiūros įsipareigojimai.</w:t>
            </w:r>
          </w:p>
        </w:tc>
        <w:tc>
          <w:tcPr>
            <w:tcW w:w="2662" w:type="dxa"/>
            <w:tcBorders>
              <w:top w:val="single" w:sz="4" w:space="0" w:color="000000"/>
              <w:left w:val="single" w:sz="4" w:space="0" w:color="000000"/>
              <w:bottom w:val="single" w:sz="4" w:space="0" w:color="000000"/>
              <w:right w:val="single" w:sz="4" w:space="0" w:color="000000"/>
            </w:tcBorders>
          </w:tcPr>
          <w:p>
            <w:pPr>
              <w:pStyle w:val="Lentekstasarial"/>
              <w:spacing w:before="0" w:after="0"/>
              <w:rPr>
                <w:rFonts w:ascii="Times New Roman" w:hAnsi="Times New Roman"/>
              </w:rPr>
            </w:pPr>
            <w:r>
              <w:rPr>
                <w:rFonts w:ascii="Times New Roman" w:hAnsi="Times New Roman"/>
                <w:color w:themeColor="background2" w:themeShade="1a" w:val="171717"/>
                <w:sz w:val="22"/>
                <w:szCs w:val="22"/>
              </w:rPr>
              <w:t>24 mėnesius nuo galutinio perdavimo ir priėmimo akto pasirašymo dienos.</w:t>
            </w:r>
          </w:p>
        </w:tc>
      </w:tr>
      <w:tr>
        <w:trPr/>
        <w:tc>
          <w:tcPr>
            <w:tcW w:w="890" w:type="dxa"/>
            <w:tcBorders>
              <w:top w:val="single" w:sz="4" w:space="0" w:color="000000"/>
              <w:left w:val="single" w:sz="4" w:space="0" w:color="000000"/>
              <w:bottom w:val="single" w:sz="4" w:space="0" w:color="000000"/>
              <w:right w:val="single" w:sz="4" w:space="0" w:color="000000"/>
            </w:tcBorders>
          </w:tcPr>
          <w:p>
            <w:pPr>
              <w:pStyle w:val="Lentekstasarial"/>
              <w:spacing w:before="0" w:after="0"/>
              <w:jc w:val="center"/>
              <w:rPr>
                <w:rFonts w:ascii="Times New Roman" w:hAnsi="Times New Roman"/>
                <w:b/>
                <w:color w:themeColor="background2" w:themeShade="1a" w:val="171717"/>
                <w:sz w:val="22"/>
                <w:szCs w:val="22"/>
              </w:rPr>
            </w:pPr>
            <w:r>
              <w:rPr>
                <w:rFonts w:ascii="Times New Roman" w:hAnsi="Times New Roman"/>
                <w:b/>
                <w:color w:themeColor="background2" w:themeShade="1a" w:val="171717"/>
                <w:sz w:val="22"/>
                <w:szCs w:val="22"/>
              </w:rPr>
            </w:r>
          </w:p>
        </w:tc>
        <w:tc>
          <w:tcPr>
            <w:tcW w:w="12682" w:type="dxa"/>
            <w:gridSpan w:val="4"/>
            <w:tcBorders>
              <w:top w:val="single" w:sz="4" w:space="0" w:color="000000"/>
              <w:left w:val="single" w:sz="4" w:space="0" w:color="000000"/>
              <w:bottom w:val="single" w:sz="4" w:space="0" w:color="000000"/>
              <w:right w:val="single" w:sz="4" w:space="0" w:color="000000"/>
            </w:tcBorders>
          </w:tcPr>
          <w:p>
            <w:pPr>
              <w:pStyle w:val="Lentekstasarial"/>
              <w:spacing w:before="0" w:after="0"/>
              <w:jc w:val="center"/>
              <w:rPr>
                <w:rFonts w:ascii="Times New Roman" w:hAnsi="Times New Roman"/>
              </w:rPr>
            </w:pPr>
            <w:r>
              <w:rPr>
                <w:rFonts w:ascii="Times New Roman" w:hAnsi="Times New Roman"/>
                <w:b/>
                <w:color w:themeColor="background2" w:themeShade="1a" w:val="171717"/>
                <w:sz w:val="22"/>
                <w:szCs w:val="22"/>
              </w:rPr>
              <w:t>Viso projekto metu</w:t>
            </w:r>
          </w:p>
        </w:tc>
      </w:tr>
      <w:tr>
        <w:trPr/>
        <w:tc>
          <w:tcPr>
            <w:tcW w:w="890" w:type="dxa"/>
            <w:tcBorders>
              <w:top w:val="single" w:sz="4" w:space="0" w:color="000000"/>
              <w:left w:val="single" w:sz="4" w:space="0" w:color="000000"/>
              <w:bottom w:val="single" w:sz="4" w:space="0" w:color="000000"/>
              <w:right w:val="single" w:sz="4" w:space="0" w:color="000000"/>
            </w:tcBorders>
          </w:tcPr>
          <w:p>
            <w:pPr>
              <w:pStyle w:val="ListParagraph"/>
              <w:numPr>
                <w:ilvl w:val="1"/>
                <w:numId w:val="2"/>
              </w:numPr>
              <w:spacing w:before="0" w:after="0"/>
              <w:jc w:val="both"/>
              <w:rPr>
                <w:rFonts w:ascii="Times New Roman" w:hAnsi="Times New Roman"/>
                <w:b/>
                <w:color w:themeColor="background2" w:themeShade="1a" w:val="171717"/>
                <w:sz w:val="22"/>
              </w:rPr>
            </w:pPr>
            <w:r>
              <w:rPr>
                <w:rFonts w:ascii="Times New Roman" w:hAnsi="Times New Roman"/>
                <w:b/>
                <w:color w:themeColor="background2" w:themeShade="1a" w:val="171717"/>
                <w:sz w:val="22"/>
              </w:rPr>
            </w:r>
          </w:p>
        </w:tc>
        <w:tc>
          <w:tcPr>
            <w:tcW w:w="1699" w:type="dxa"/>
            <w:tcBorders>
              <w:top w:val="single" w:sz="4" w:space="0" w:color="000000"/>
              <w:left w:val="single" w:sz="4" w:space="0" w:color="000000"/>
              <w:bottom w:val="single" w:sz="4" w:space="0" w:color="000000"/>
              <w:right w:val="single" w:sz="4" w:space="0" w:color="000000"/>
            </w:tcBorders>
          </w:tcPr>
          <w:p>
            <w:pPr>
              <w:pStyle w:val="Lentekstasarial"/>
              <w:spacing w:before="0" w:after="0"/>
              <w:rPr>
                <w:rFonts w:ascii="Times New Roman" w:hAnsi="Times New Roman"/>
              </w:rPr>
            </w:pPr>
            <w:r>
              <w:rPr>
                <w:rFonts w:ascii="Times New Roman" w:hAnsi="Times New Roman"/>
                <w:b/>
                <w:color w:themeColor="background2" w:themeShade="1a" w:val="171717"/>
                <w:sz w:val="22"/>
                <w:szCs w:val="22"/>
              </w:rPr>
              <w:t>Ataskaitų rengimas</w:t>
            </w:r>
          </w:p>
        </w:tc>
        <w:tc>
          <w:tcPr>
            <w:tcW w:w="4388" w:type="dxa"/>
            <w:tcBorders>
              <w:top w:val="single" w:sz="4" w:space="0" w:color="000000"/>
              <w:left w:val="single" w:sz="4" w:space="0" w:color="000000"/>
              <w:bottom w:val="single" w:sz="4" w:space="0" w:color="000000"/>
              <w:right w:val="single" w:sz="4" w:space="0" w:color="000000"/>
            </w:tcBorders>
          </w:tcPr>
          <w:p>
            <w:pPr>
              <w:pStyle w:val="Lentekstasarial"/>
              <w:spacing w:before="0" w:after="0"/>
              <w:rPr>
                <w:rFonts w:ascii="Times New Roman" w:hAnsi="Times New Roman"/>
              </w:rPr>
            </w:pPr>
            <w:r>
              <w:rPr>
                <w:rFonts w:ascii="Times New Roman" w:hAnsi="Times New Roman"/>
                <w:color w:themeColor="background2" w:themeShade="1a" w:val="171717"/>
                <w:sz w:val="22"/>
                <w:szCs w:val="22"/>
              </w:rPr>
              <w:t>Diegėjas:</w:t>
            </w:r>
          </w:p>
          <w:p>
            <w:pPr>
              <w:pStyle w:val="LENBUL1arial"/>
              <w:numPr>
                <w:ilvl w:val="0"/>
                <w:numId w:val="3"/>
              </w:numPr>
              <w:ind w:hanging="0" w:left="31"/>
              <w:rPr>
                <w:rFonts w:ascii="Times New Roman" w:hAnsi="Times New Roman"/>
              </w:rPr>
            </w:pPr>
            <w:r>
              <w:rPr>
                <w:rFonts w:ascii="Times New Roman" w:hAnsi="Times New Roman"/>
                <w:sz w:val="22"/>
                <w:szCs w:val="22"/>
              </w:rPr>
              <w:t>rengia PINREG modernizavimo eigos ataskaitą ne rečiau kaip kartą per du mėnesius;</w:t>
            </w:r>
          </w:p>
          <w:p>
            <w:pPr>
              <w:pStyle w:val="LENBUL1arial"/>
              <w:numPr>
                <w:ilvl w:val="0"/>
                <w:numId w:val="3"/>
              </w:numPr>
              <w:ind w:hanging="0" w:left="31"/>
              <w:rPr>
                <w:rFonts w:ascii="Times New Roman" w:hAnsi="Times New Roman"/>
              </w:rPr>
            </w:pPr>
            <w:r>
              <w:rPr>
                <w:rFonts w:ascii="Times New Roman" w:hAnsi="Times New Roman"/>
                <w:sz w:val="22"/>
                <w:szCs w:val="22"/>
              </w:rPr>
              <w:t>rengia galutinę paslaugų įvykdymo ataskaitą (po bandomosios eksploatacijos).</w:t>
            </w:r>
          </w:p>
          <w:p>
            <w:pPr>
              <w:pStyle w:val="Lentekstasarial"/>
              <w:spacing w:before="0" w:after="0"/>
              <w:rPr>
                <w:rFonts w:ascii="Times New Roman" w:hAnsi="Times New Roman"/>
              </w:rPr>
            </w:pPr>
            <w:r>
              <w:rPr>
                <w:rFonts w:ascii="Times New Roman" w:hAnsi="Times New Roman"/>
                <w:color w:themeColor="background2" w:themeShade="1a" w:val="171717"/>
                <w:sz w:val="22"/>
                <w:szCs w:val="22"/>
              </w:rPr>
              <w:t>VTEK (pagal kompetenciją):</w:t>
            </w:r>
          </w:p>
          <w:p>
            <w:pPr>
              <w:pStyle w:val="LENBUL1arial"/>
              <w:numPr>
                <w:ilvl w:val="0"/>
                <w:numId w:val="3"/>
              </w:numPr>
              <w:spacing w:before="120" w:after="120"/>
              <w:ind w:hanging="0" w:left="31"/>
              <w:contextualSpacing/>
              <w:rPr>
                <w:rFonts w:ascii="Times New Roman" w:hAnsi="Times New Roman"/>
              </w:rPr>
            </w:pPr>
            <w:r>
              <w:rPr>
                <w:rFonts w:ascii="Times New Roman" w:hAnsi="Times New Roman"/>
                <w:sz w:val="22"/>
                <w:szCs w:val="22"/>
              </w:rPr>
              <w:t>pateikia pastabas ir rekomendacijas ataskaitoms.</w:t>
            </w:r>
          </w:p>
        </w:tc>
        <w:tc>
          <w:tcPr>
            <w:tcW w:w="3933" w:type="dxa"/>
            <w:tcBorders>
              <w:top w:val="single" w:sz="4" w:space="0" w:color="000000"/>
              <w:left w:val="single" w:sz="4" w:space="0" w:color="000000"/>
              <w:bottom w:val="single" w:sz="4" w:space="0" w:color="000000"/>
              <w:right w:val="single" w:sz="4" w:space="0" w:color="000000"/>
            </w:tcBorders>
          </w:tcPr>
          <w:p>
            <w:pPr>
              <w:pStyle w:val="LENBUL1arial"/>
              <w:numPr>
                <w:ilvl w:val="0"/>
                <w:numId w:val="3"/>
              </w:numPr>
              <w:spacing w:before="120" w:after="120"/>
              <w:ind w:hanging="0" w:left="31"/>
              <w:contextualSpacing/>
              <w:rPr>
                <w:rFonts w:ascii="Times New Roman" w:hAnsi="Times New Roman"/>
              </w:rPr>
            </w:pPr>
            <w:r>
              <w:rPr>
                <w:rFonts w:ascii="Times New Roman" w:hAnsi="Times New Roman"/>
                <w:b/>
                <w:sz w:val="22"/>
                <w:szCs w:val="22"/>
              </w:rPr>
              <w:t>Parengtos tarpinės ataskaitos</w:t>
            </w:r>
            <w:r>
              <w:rPr>
                <w:rFonts w:ascii="Times New Roman" w:hAnsi="Times New Roman"/>
                <w:sz w:val="22"/>
                <w:szCs w:val="22"/>
              </w:rPr>
              <w:t>. Ataskaitose išdėstoma (neapsiribojant):</w:t>
            </w:r>
          </w:p>
          <w:p>
            <w:pPr>
              <w:pStyle w:val="LENBUL1arial"/>
              <w:numPr>
                <w:ilvl w:val="0"/>
                <w:numId w:val="6"/>
              </w:numPr>
              <w:tabs>
                <w:tab w:val="clear" w:pos="503"/>
                <w:tab w:val="left" w:pos="716" w:leader="none"/>
              </w:tabs>
              <w:rPr>
                <w:rFonts w:ascii="Times New Roman" w:hAnsi="Times New Roman"/>
              </w:rPr>
            </w:pPr>
            <w:r>
              <w:rPr>
                <w:rFonts w:ascii="Times New Roman" w:hAnsi="Times New Roman"/>
                <w:sz w:val="22"/>
                <w:szCs w:val="22"/>
              </w:rPr>
              <w:t>pasiekti rezultatai, vykdomos veiklos ir jų progresas PINREG modernizavimo grafiko atžvilgiu;</w:t>
            </w:r>
          </w:p>
          <w:p>
            <w:pPr>
              <w:pStyle w:val="LENBUL1arial"/>
              <w:numPr>
                <w:ilvl w:val="0"/>
                <w:numId w:val="6"/>
              </w:numPr>
              <w:tabs>
                <w:tab w:val="clear" w:pos="503"/>
                <w:tab w:val="left" w:pos="716" w:leader="none"/>
              </w:tabs>
              <w:rPr>
                <w:rFonts w:ascii="Times New Roman" w:hAnsi="Times New Roman"/>
              </w:rPr>
            </w:pPr>
            <w:r>
              <w:rPr>
                <w:rFonts w:ascii="Times New Roman" w:hAnsi="Times New Roman"/>
                <w:sz w:val="22"/>
                <w:szCs w:val="22"/>
              </w:rPr>
              <w:t>rizikos, kritiniai faktoriai ir numatomi veiksmai, prognozės ir kitos projekto įgyvendinimui svarbios aplinkybės;</w:t>
            </w:r>
          </w:p>
          <w:p>
            <w:pPr>
              <w:pStyle w:val="LENBUL1arial"/>
              <w:numPr>
                <w:ilvl w:val="0"/>
                <w:numId w:val="6"/>
              </w:numPr>
              <w:tabs>
                <w:tab w:val="clear" w:pos="503"/>
                <w:tab w:val="left" w:pos="716" w:leader="none"/>
              </w:tabs>
              <w:rPr>
                <w:rFonts w:ascii="Times New Roman" w:hAnsi="Times New Roman"/>
              </w:rPr>
            </w:pPr>
            <w:r>
              <w:rPr>
                <w:rFonts w:ascii="Times New Roman" w:hAnsi="Times New Roman"/>
                <w:sz w:val="22"/>
                <w:szCs w:val="22"/>
              </w:rPr>
              <w:t>PINREG modernizavimo grafiko pakeitimai.</w:t>
            </w:r>
          </w:p>
          <w:p>
            <w:pPr>
              <w:pStyle w:val="LENBUL1arial"/>
              <w:numPr>
                <w:ilvl w:val="0"/>
                <w:numId w:val="3"/>
              </w:numPr>
              <w:spacing w:before="120" w:after="120"/>
              <w:ind w:hanging="0" w:left="31"/>
              <w:contextualSpacing/>
              <w:rPr>
                <w:rFonts w:ascii="Times New Roman" w:hAnsi="Times New Roman"/>
              </w:rPr>
            </w:pPr>
            <w:r>
              <w:rPr>
                <w:rFonts w:ascii="Times New Roman" w:hAnsi="Times New Roman"/>
                <w:b/>
                <w:sz w:val="22"/>
                <w:szCs w:val="22"/>
              </w:rPr>
              <w:t>Parengta galutinė paslaugų įvykdymo ataskaita</w:t>
            </w:r>
            <w:r>
              <w:rPr>
                <w:rFonts w:ascii="Times New Roman" w:hAnsi="Times New Roman"/>
                <w:sz w:val="22"/>
                <w:szCs w:val="22"/>
              </w:rPr>
              <w:t>, kuri apima projekto eigos ir rezultatų vertinimą, faktinį rezultatų palyginimą su planu ir neatitikimų įvertinimą.</w:t>
            </w:r>
          </w:p>
        </w:tc>
        <w:tc>
          <w:tcPr>
            <w:tcW w:w="2662" w:type="dxa"/>
            <w:tcBorders>
              <w:top w:val="single" w:sz="4" w:space="0" w:color="000000"/>
              <w:left w:val="single" w:sz="4" w:space="0" w:color="000000"/>
              <w:bottom w:val="single" w:sz="4" w:space="0" w:color="000000"/>
              <w:right w:val="single" w:sz="4" w:space="0" w:color="000000"/>
            </w:tcBorders>
          </w:tcPr>
          <w:p>
            <w:pPr>
              <w:pStyle w:val="Lentekstasarial"/>
              <w:spacing w:before="0" w:after="0"/>
              <w:rPr>
                <w:rFonts w:ascii="Times New Roman" w:hAnsi="Times New Roman"/>
              </w:rPr>
            </w:pPr>
            <w:r>
              <w:rPr>
                <w:rFonts w:ascii="Times New Roman" w:hAnsi="Times New Roman"/>
                <w:color w:themeColor="background2" w:themeShade="1a" w:val="171717"/>
                <w:sz w:val="22"/>
                <w:szCs w:val="22"/>
              </w:rPr>
              <w:t>Visą PINREG modernizavimo laikotarpį.</w:t>
            </w:r>
          </w:p>
          <w:p>
            <w:pPr>
              <w:pStyle w:val="Lentekstasarial"/>
              <w:spacing w:before="0" w:after="0"/>
              <w:rPr>
                <w:rFonts w:ascii="Times New Roman" w:hAnsi="Times New Roman"/>
              </w:rPr>
            </w:pPr>
            <w:r>
              <w:rPr>
                <w:rFonts w:ascii="Times New Roman" w:hAnsi="Times New Roman"/>
                <w:color w:themeColor="background2" w:themeShade="1a" w:val="171717"/>
                <w:sz w:val="22"/>
                <w:szCs w:val="22"/>
              </w:rPr>
              <w:t>Galutinė paslaugų įvykdymo ataskaita teikiama per 10 darbo dienų nuo visų paslaugų pagal Techninę specifikaciją suteikimo.</w:t>
            </w:r>
          </w:p>
          <w:p>
            <w:pPr>
              <w:pStyle w:val="Lentekstasarial"/>
              <w:spacing w:before="0" w:after="0"/>
              <w:rPr>
                <w:rFonts w:ascii="Times New Roman" w:hAnsi="Times New Roman"/>
                <w:color w:themeColor="background2" w:themeShade="1a" w:val="171717"/>
                <w:sz w:val="22"/>
                <w:szCs w:val="22"/>
              </w:rPr>
            </w:pPr>
            <w:r>
              <w:rPr>
                <w:rFonts w:ascii="Times New Roman" w:hAnsi="Times New Roman"/>
                <w:color w:themeColor="background2" w:themeShade="1a" w:val="171717"/>
                <w:sz w:val="22"/>
                <w:szCs w:val="22"/>
              </w:rPr>
            </w:r>
          </w:p>
        </w:tc>
      </w:tr>
    </w:tbl>
    <w:p>
      <w:pPr>
        <w:pStyle w:val="ALTextNormal"/>
        <w:spacing w:before="0" w:after="120"/>
        <w:rPr>
          <w:rFonts w:ascii="Times New Roman" w:hAnsi="Times New Roman"/>
          <w:sz w:val="22"/>
        </w:rPr>
      </w:pPr>
      <w:r>
        <w:rPr>
          <w:rFonts w:ascii="Times New Roman" w:hAnsi="Times New Roman"/>
          <w:sz w:val="22"/>
        </w:rPr>
      </w:r>
    </w:p>
    <w:sectPr>
      <w:headerReference w:type="default" r:id="rId9"/>
      <w:headerReference w:type="first" r:id="rId10"/>
      <w:footerReference w:type="default" r:id="rId11"/>
      <w:footerReference w:type="first" r:id="rId12"/>
      <w:type w:val="nextPage"/>
      <w:pgSz w:orient="landscape" w:w="15840" w:h="12240"/>
      <w:pgMar w:left="1134" w:right="1134" w:gutter="0" w:header="0" w:top="1701" w:footer="283" w:bottom="567"/>
      <w:pgNumType w:fmt="decimal"/>
      <w:formProt w:val="false"/>
      <w:textDirection w:val="lrTb"/>
      <w:docGrid w:type="default" w:linePitch="360" w:charSpace="1228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Arial">
    <w:charset w:val="00"/>
    <w:family w:val="roman"/>
    <w:pitch w:val="variable"/>
  </w:font>
  <w:font w:name="Segoe UI">
    <w:charset w:val="00"/>
    <w:family w:val="roman"/>
    <w:pitch w:val="variable"/>
  </w:font>
  <w:font w:name="Liberation Sans">
    <w:altName w:val="Arial"/>
    <w:charset w:val="00"/>
    <w:family w:val="roman"/>
    <w:pitch w:val="variable"/>
  </w:font>
  <w:font w:name="Times New Roman">
    <w:charset w:val="01"/>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rPr>
    </w:pPr>
    <w:r>
      <w:rPr>
        <w:rFonts w:ascii="Times New Roman" w:hAnsi="Times New Roman"/>
      </w:rPr>
      <w:t>TECHNINĖ SPECIFIKACIJA</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TECHNINĖ SPECIFIKACIJA</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uppressAutoHyphens w:val="true"/>
      <w:bidi w:val="0"/>
      <w:spacing w:lineRule="auto" w:line="259" w:before="0" w:after="160"/>
      <w:jc w:val="left"/>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TECHNINĖ SPECIFIKACIJA</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74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8471"/>
      <w:gridCol w:w="1276"/>
    </w:tblGrid>
    <w:tr>
      <w:trPr>
        <w:trHeight w:val="145" w:hRule="atLeast"/>
      </w:trPr>
      <w:tc>
        <w:tcPr>
          <w:tcW w:w="8471" w:type="dxa"/>
          <w:tcBorders>
            <w:bottom w:val="single" w:sz="4" w:space="0" w:color="000000"/>
          </w:tcBorders>
        </w:tcPr>
        <w:p>
          <w:pPr>
            <w:pStyle w:val="Headerarial"/>
            <w:spacing w:before="240" w:after="60"/>
            <w:rPr>
              <w:rFonts w:ascii="Times New Roman" w:hAnsi="Times New Roman" w:cs="Times New Roman"/>
              <w:color w:val="auto"/>
              <w:sz w:val="22"/>
            </w:rPr>
          </w:pPr>
          <w:r>
            <w:rPr>
              <w:rFonts w:cs="Times New Roman" w:ascii="Times New Roman" w:hAnsi="Times New Roman"/>
              <w:color w:val="auto"/>
              <w:sz w:val="22"/>
            </w:rPr>
            <w:t>PINREG</w:t>
          </w:r>
          <w:r>
            <w:rPr>
              <w:rFonts w:cs="Times New Roman" w:ascii="Times New Roman" w:hAnsi="Times New Roman"/>
              <w:color w:val="auto"/>
              <w:sz w:val="22"/>
              <w:lang w:val="en-US"/>
            </w:rPr>
            <w:t xml:space="preserve"> vystymo </w:t>
          </w:r>
          <w:r>
            <w:rPr>
              <w:rFonts w:cs="Times New Roman" w:ascii="Times New Roman" w:hAnsi="Times New Roman"/>
              <w:color w:val="auto"/>
              <w:sz w:val="22"/>
            </w:rPr>
            <w:t>paslaugų techninė specifikacija</w:t>
          </w:r>
        </w:p>
      </w:tc>
      <w:tc>
        <w:tcPr>
          <w:tcW w:w="1276" w:type="dxa"/>
          <w:tcBorders>
            <w:bottom w:val="single" w:sz="4" w:space="0" w:color="000000"/>
          </w:tcBorders>
        </w:tcPr>
        <w:p>
          <w:pPr>
            <w:pStyle w:val="Headerarial"/>
            <w:spacing w:before="240" w:after="60"/>
            <w:jc w:val="right"/>
            <w:rPr>
              <w:rFonts w:ascii="Times New Roman" w:hAnsi="Times New Roman" w:cs="Times New Roman"/>
              <w:color w:val="auto"/>
              <w:sz w:val="22"/>
            </w:rPr>
          </w:pPr>
          <w:r>
            <w:rPr>
              <w:rFonts w:cs="Times New Roman" w:ascii="Times New Roman" w:hAnsi="Times New Roman"/>
              <w:color w:val="auto"/>
              <w:sz w:val="22"/>
            </w:rPr>
            <w:fldChar w:fldCharType="begin"/>
          </w:r>
          <w:r>
            <w:rPr>
              <w:sz w:val="22"/>
              <w:rFonts w:cs="Times New Roman" w:ascii="Times New Roman" w:hAnsi="Times New Roman"/>
              <w:color w:val="auto"/>
            </w:rPr>
            <w:instrText xml:space="preserve"> PAGE </w:instrText>
          </w:r>
          <w:r>
            <w:rPr>
              <w:sz w:val="22"/>
              <w:rFonts w:cs="Times New Roman" w:ascii="Times New Roman" w:hAnsi="Times New Roman"/>
              <w:color w:val="auto"/>
            </w:rPr>
            <w:fldChar w:fldCharType="separate"/>
          </w:r>
          <w:r>
            <w:rPr>
              <w:sz w:val="22"/>
              <w:rFonts w:cs="Times New Roman" w:ascii="Times New Roman" w:hAnsi="Times New Roman"/>
              <w:color w:val="auto"/>
            </w:rPr>
            <w:t>8</w:t>
          </w:r>
          <w:r>
            <w:rPr>
              <w:sz w:val="22"/>
              <w:rFonts w:cs="Times New Roman" w:ascii="Times New Roman" w:hAnsi="Times New Roman"/>
              <w:color w:val="auto"/>
            </w:rPr>
            <w:fldChar w:fldCharType="end"/>
          </w:r>
          <w:r>
            <w:rPr>
              <w:rFonts w:cs="Times New Roman" w:ascii="Times New Roman" w:hAnsi="Times New Roman"/>
              <w:color w:val="auto"/>
              <w:sz w:val="22"/>
            </w:rPr>
            <w:t xml:space="preserve"> </w:t>
          </w:r>
          <w:r>
            <w:rPr>
              <w:rFonts w:cs="Times New Roman" w:ascii="Times New Roman" w:hAnsi="Times New Roman"/>
              <w:color w:val="auto"/>
              <w:sz w:val="22"/>
            </w:rPr>
            <w:t xml:space="preserve">| </w:t>
          </w:r>
          <w:r>
            <w:rPr>
              <w:rFonts w:cs="Times New Roman" w:ascii="Times New Roman" w:hAnsi="Times New Roman"/>
              <w:color w:val="auto"/>
              <w:sz w:val="22"/>
            </w:rPr>
            <w:fldChar w:fldCharType="begin"/>
          </w:r>
          <w:r>
            <w:rPr>
              <w:sz w:val="22"/>
              <w:rFonts w:cs="Times New Roman" w:ascii="Times New Roman" w:hAnsi="Times New Roman"/>
              <w:color w:val="auto"/>
            </w:rPr>
            <w:instrText xml:space="preserve"> NUMPAGES </w:instrText>
          </w:r>
          <w:r>
            <w:rPr>
              <w:sz w:val="22"/>
              <w:rFonts w:cs="Times New Roman" w:ascii="Times New Roman" w:hAnsi="Times New Roman"/>
              <w:color w:val="auto"/>
            </w:rPr>
            <w:fldChar w:fldCharType="separate"/>
          </w:r>
          <w:r>
            <w:rPr>
              <w:sz w:val="22"/>
              <w:rFonts w:cs="Times New Roman" w:ascii="Times New Roman" w:hAnsi="Times New Roman"/>
              <w:color w:val="auto"/>
            </w:rPr>
            <w:t>23</w:t>
          </w:r>
          <w:r>
            <w:rPr>
              <w:sz w:val="22"/>
              <w:rFonts w:cs="Times New Roman" w:ascii="Times New Roman" w:hAnsi="Times New Roman"/>
              <w:color w:val="auto"/>
            </w:rPr>
            <w:fldChar w:fldCharType="end"/>
          </w:r>
        </w:p>
      </w:tc>
    </w:tr>
  </w:tbl>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74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8471"/>
      <w:gridCol w:w="1276"/>
    </w:tblGrid>
    <w:tr>
      <w:trPr>
        <w:trHeight w:val="145" w:hRule="atLeast"/>
      </w:trPr>
      <w:tc>
        <w:tcPr>
          <w:tcW w:w="8471" w:type="dxa"/>
          <w:tcBorders>
            <w:bottom w:val="single" w:sz="4" w:space="0" w:color="000000"/>
          </w:tcBorders>
        </w:tcPr>
        <w:p>
          <w:pPr>
            <w:pStyle w:val="Headerarial"/>
            <w:spacing w:before="240" w:after="60"/>
            <w:rPr>
              <w:rFonts w:ascii="Times New Roman" w:hAnsi="Times New Roman" w:cs="Times New Roman"/>
              <w:color w:val="auto"/>
              <w:sz w:val="22"/>
            </w:rPr>
          </w:pPr>
          <w:r>
            <w:rPr>
              <w:rFonts w:cs="Times New Roman" w:ascii="Times New Roman" w:hAnsi="Times New Roman"/>
              <w:color w:val="auto"/>
              <w:sz w:val="22"/>
            </w:rPr>
            <w:t>Privačių interesų registro modernizavimo ir palaikymo paslaugų techninė specifikacija</w:t>
          </w:r>
        </w:p>
      </w:tc>
      <w:tc>
        <w:tcPr>
          <w:tcW w:w="1276" w:type="dxa"/>
          <w:tcBorders>
            <w:bottom w:val="single" w:sz="4" w:space="0" w:color="000000"/>
          </w:tcBorders>
        </w:tcPr>
        <w:p>
          <w:pPr>
            <w:pStyle w:val="Headerarial"/>
            <w:spacing w:before="240" w:after="60"/>
            <w:jc w:val="right"/>
            <w:rPr>
              <w:rFonts w:ascii="Times New Roman" w:hAnsi="Times New Roman" w:cs="Times New Roman"/>
              <w:color w:val="auto"/>
              <w:sz w:val="22"/>
            </w:rPr>
          </w:pPr>
          <w:r>
            <w:rPr>
              <w:rFonts w:cs="Times New Roman" w:ascii="Times New Roman" w:hAnsi="Times New Roman"/>
              <w:color w:val="auto"/>
              <w:sz w:val="22"/>
            </w:rPr>
            <w:fldChar w:fldCharType="begin"/>
          </w:r>
          <w:r>
            <w:rPr>
              <w:sz w:val="22"/>
              <w:rFonts w:cs="Times New Roman" w:ascii="Times New Roman" w:hAnsi="Times New Roman"/>
              <w:color w:val="auto"/>
            </w:rPr>
            <w:instrText xml:space="preserve"> PAGE </w:instrText>
          </w:r>
          <w:r>
            <w:rPr>
              <w:sz w:val="22"/>
              <w:rFonts w:cs="Times New Roman" w:ascii="Times New Roman" w:hAnsi="Times New Roman"/>
              <w:color w:val="auto"/>
            </w:rPr>
            <w:fldChar w:fldCharType="separate"/>
          </w:r>
          <w:r>
            <w:rPr>
              <w:sz w:val="22"/>
              <w:rFonts w:cs="Times New Roman" w:ascii="Times New Roman" w:hAnsi="Times New Roman"/>
              <w:color w:val="auto"/>
            </w:rPr>
            <w:t>17</w:t>
          </w:r>
          <w:r>
            <w:rPr>
              <w:sz w:val="22"/>
              <w:rFonts w:cs="Times New Roman" w:ascii="Times New Roman" w:hAnsi="Times New Roman"/>
              <w:color w:val="auto"/>
            </w:rPr>
            <w:fldChar w:fldCharType="end"/>
          </w:r>
          <w:r>
            <w:rPr>
              <w:rFonts w:cs="Times New Roman" w:ascii="Times New Roman" w:hAnsi="Times New Roman"/>
              <w:color w:val="auto"/>
              <w:sz w:val="22"/>
            </w:rPr>
            <w:t xml:space="preserve"> </w:t>
          </w:r>
          <w:r>
            <w:rPr>
              <w:rFonts w:cs="Times New Roman" w:ascii="Times New Roman" w:hAnsi="Times New Roman"/>
              <w:color w:val="auto"/>
              <w:sz w:val="22"/>
            </w:rPr>
            <w:t xml:space="preserve">| </w:t>
          </w:r>
          <w:r>
            <w:rPr>
              <w:rFonts w:cs="Times New Roman" w:ascii="Times New Roman" w:hAnsi="Times New Roman"/>
              <w:color w:val="auto"/>
              <w:sz w:val="22"/>
            </w:rPr>
            <w:fldChar w:fldCharType="begin"/>
          </w:r>
          <w:r>
            <w:rPr>
              <w:sz w:val="22"/>
              <w:rFonts w:cs="Times New Roman" w:ascii="Times New Roman" w:hAnsi="Times New Roman"/>
              <w:color w:val="auto"/>
            </w:rPr>
            <w:instrText xml:space="preserve"> NUMPAGES </w:instrText>
          </w:r>
          <w:r>
            <w:rPr>
              <w:sz w:val="22"/>
              <w:rFonts w:cs="Times New Roman" w:ascii="Times New Roman" w:hAnsi="Times New Roman"/>
              <w:color w:val="auto"/>
            </w:rPr>
            <w:fldChar w:fldCharType="separate"/>
          </w:r>
          <w:r>
            <w:rPr>
              <w:sz w:val="22"/>
              <w:rFonts w:cs="Times New Roman" w:ascii="Times New Roman" w:hAnsi="Times New Roman"/>
              <w:color w:val="auto"/>
            </w:rPr>
            <w:t>23</w:t>
          </w:r>
          <w:r>
            <w:rPr>
              <w:sz w:val="22"/>
              <w:rFonts w:cs="Times New Roman" w:ascii="Times New Roman" w:hAnsi="Times New Roman"/>
              <w:color w:val="auto"/>
            </w:rPr>
            <w:fldChar w:fldCharType="end"/>
          </w:r>
        </w:p>
      </w:tc>
    </w:tr>
  </w:tbl>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uppressAutoHyphens w:val="true"/>
      <w:bidi w:val="0"/>
      <w:spacing w:lineRule="auto" w:line="259" w:before="0" w:after="160"/>
      <w:jc w:val="left"/>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74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8471"/>
      <w:gridCol w:w="1276"/>
    </w:tblGrid>
    <w:tr>
      <w:trPr>
        <w:trHeight w:val="145" w:hRule="atLeast"/>
      </w:trPr>
      <w:tc>
        <w:tcPr>
          <w:tcW w:w="8471" w:type="dxa"/>
          <w:tcBorders>
            <w:bottom w:val="single" w:sz="4" w:space="0" w:color="000000"/>
          </w:tcBorders>
        </w:tcPr>
        <w:p>
          <w:pPr>
            <w:pStyle w:val="Headerarial"/>
            <w:spacing w:before="240" w:after="60"/>
            <w:rPr>
              <w:rFonts w:ascii="Times New Roman" w:hAnsi="Times New Roman" w:cs="Times New Roman"/>
              <w:color w:val="auto"/>
              <w:sz w:val="22"/>
            </w:rPr>
          </w:pPr>
          <w:r>
            <w:rPr>
              <w:rFonts w:cs="Times New Roman" w:ascii="Times New Roman" w:hAnsi="Times New Roman"/>
              <w:color w:val="auto"/>
              <w:sz w:val="22"/>
            </w:rPr>
            <w:t>Privačių interesų registro modernizavimo ir palaikymo paslaugų techninė specifikacija</w:t>
          </w:r>
        </w:p>
      </w:tc>
      <w:tc>
        <w:tcPr>
          <w:tcW w:w="1276" w:type="dxa"/>
          <w:tcBorders>
            <w:bottom w:val="single" w:sz="4" w:space="0" w:color="000000"/>
          </w:tcBorders>
        </w:tcPr>
        <w:p>
          <w:pPr>
            <w:pStyle w:val="Headerarial"/>
            <w:spacing w:before="240" w:after="60"/>
            <w:jc w:val="right"/>
            <w:rPr>
              <w:rFonts w:ascii="Times New Roman" w:hAnsi="Times New Roman" w:cs="Times New Roman"/>
              <w:color w:val="auto"/>
              <w:sz w:val="22"/>
            </w:rPr>
          </w:pPr>
          <w:r>
            <w:rPr>
              <w:rFonts w:cs="Times New Roman" w:ascii="Times New Roman" w:hAnsi="Times New Roman"/>
              <w:color w:val="auto"/>
              <w:sz w:val="22"/>
            </w:rPr>
            <w:fldChar w:fldCharType="begin"/>
          </w:r>
          <w:r>
            <w:rPr>
              <w:sz w:val="22"/>
              <w:rFonts w:cs="Times New Roman" w:ascii="Times New Roman" w:hAnsi="Times New Roman"/>
              <w:color w:val="auto"/>
            </w:rPr>
            <w:instrText xml:space="preserve"> PAGE </w:instrText>
          </w:r>
          <w:r>
            <w:rPr>
              <w:sz w:val="22"/>
              <w:rFonts w:cs="Times New Roman" w:ascii="Times New Roman" w:hAnsi="Times New Roman"/>
              <w:color w:val="auto"/>
            </w:rPr>
            <w:fldChar w:fldCharType="separate"/>
          </w:r>
          <w:r>
            <w:rPr>
              <w:sz w:val="22"/>
              <w:rFonts w:cs="Times New Roman" w:ascii="Times New Roman" w:hAnsi="Times New Roman"/>
              <w:color w:val="auto"/>
            </w:rPr>
            <w:t>23</w:t>
          </w:r>
          <w:r>
            <w:rPr>
              <w:sz w:val="22"/>
              <w:rFonts w:cs="Times New Roman" w:ascii="Times New Roman" w:hAnsi="Times New Roman"/>
              <w:color w:val="auto"/>
            </w:rPr>
            <w:fldChar w:fldCharType="end"/>
          </w:r>
          <w:r>
            <w:rPr>
              <w:rFonts w:cs="Times New Roman" w:ascii="Times New Roman" w:hAnsi="Times New Roman"/>
              <w:color w:val="auto"/>
              <w:sz w:val="22"/>
            </w:rPr>
            <w:t xml:space="preserve"> </w:t>
          </w:r>
          <w:r>
            <w:rPr>
              <w:rFonts w:cs="Times New Roman" w:ascii="Times New Roman" w:hAnsi="Times New Roman"/>
              <w:color w:val="auto"/>
              <w:sz w:val="22"/>
            </w:rPr>
            <w:t xml:space="preserve">| </w:t>
          </w:r>
          <w:r>
            <w:rPr>
              <w:rFonts w:cs="Times New Roman" w:ascii="Times New Roman" w:hAnsi="Times New Roman"/>
              <w:color w:val="auto"/>
              <w:sz w:val="22"/>
            </w:rPr>
            <w:fldChar w:fldCharType="begin"/>
          </w:r>
          <w:r>
            <w:rPr>
              <w:sz w:val="22"/>
              <w:rFonts w:cs="Times New Roman" w:ascii="Times New Roman" w:hAnsi="Times New Roman"/>
              <w:color w:val="auto"/>
            </w:rPr>
            <w:instrText xml:space="preserve"> NUMPAGES </w:instrText>
          </w:r>
          <w:r>
            <w:rPr>
              <w:sz w:val="22"/>
              <w:rFonts w:cs="Times New Roman" w:ascii="Times New Roman" w:hAnsi="Times New Roman"/>
              <w:color w:val="auto"/>
            </w:rPr>
            <w:fldChar w:fldCharType="separate"/>
          </w:r>
          <w:r>
            <w:rPr>
              <w:sz w:val="22"/>
              <w:rFonts w:cs="Times New Roman" w:ascii="Times New Roman" w:hAnsi="Times New Roman"/>
              <w:color w:val="auto"/>
            </w:rPr>
            <w:t>23</w:t>
          </w:r>
          <w:r>
            <w:rPr>
              <w:sz w:val="22"/>
              <w:rFonts w:cs="Times New Roman" w:ascii="Times New Roman" w:hAnsi="Times New Roman"/>
              <w:color w:val="auto"/>
            </w:rPr>
            <w:fldChar w:fldCharType="end"/>
          </w:r>
        </w:p>
      </w:tc>
    </w:tr>
  </w:tbl>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left"/>
      <w:pPr>
        <w:tabs>
          <w:tab w:val="num" w:pos="0"/>
        </w:tabs>
        <w:ind w:left="360" w:hanging="360"/>
      </w:pPr>
      <w:rPr/>
    </w:lvl>
    <w:lvl w:ilvl="1">
      <w:start w:val="1"/>
      <w:pStyle w:val="Heading2"/>
      <w:numFmt w:val="decimal"/>
      <w:lvlText w:val="%1.%2."/>
      <w:lvlJc w:val="left"/>
      <w:pPr>
        <w:tabs>
          <w:tab w:val="num" w:pos="0"/>
        </w:tabs>
        <w:ind w:left="716"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638"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
    <w:lvl w:ilvl="0">
      <w:start w:val="1"/>
      <w:numFmt w:val="decimal"/>
      <w:suff w:val="space"/>
      <w:lvlText w:val="%1."/>
      <w:lvlJc w:val="left"/>
      <w:pPr>
        <w:tabs>
          <w:tab w:val="num" w:pos="0"/>
        </w:tabs>
        <w:ind w:left="0" w:hanging="0"/>
      </w:pPr>
      <w:rPr/>
    </w:lvl>
    <w:lvl w:ilvl="1">
      <w:start w:val="1"/>
      <w:numFmt w:val="decimal"/>
      <w:suff w:val="space"/>
      <w:lvlText w:val="%1.%2."/>
      <w:lvlJc w:val="left"/>
      <w:pPr>
        <w:tabs>
          <w:tab w:val="num" w:pos="0"/>
        </w:tabs>
        <w:ind w:left="0" w:hanging="0"/>
      </w:pPr>
      <w:rPr>
        <w:b w:val="false"/>
      </w:rPr>
    </w:lvl>
    <w:lvl w:ilvl="2">
      <w:start w:val="1"/>
      <w:numFmt w:val="decimal"/>
      <w:suff w:val="space"/>
      <w:lvlText w:val="%1.%2.%3."/>
      <w:lvlJc w:val="left"/>
      <w:pPr>
        <w:tabs>
          <w:tab w:val="num" w:pos="0"/>
        </w:tabs>
        <w:ind w:left="0" w:hanging="0"/>
      </w:pPr>
      <w:rPr>
        <w:b w:val="false"/>
        <w:bCs w:val="false"/>
        <w:color w:val="auto"/>
      </w:rPr>
    </w:lvl>
    <w:lvl w:ilvl="3">
      <w:start w:val="1"/>
      <w:numFmt w:val="decimal"/>
      <w:suff w:val="space"/>
      <w:lvlText w:val="%1.%2.%3.%4."/>
      <w:lvlJc w:val="left"/>
      <w:pPr>
        <w:tabs>
          <w:tab w:val="num" w:pos="0"/>
        </w:tabs>
        <w:ind w:left="0" w:hanging="0"/>
      </w:pPr>
      <w:rPr/>
    </w:lvl>
    <w:lvl w:ilvl="4">
      <w:start w:val="1"/>
      <w:numFmt w:val="decimal"/>
      <w:suff w:val="space"/>
      <w:lvlText w:val="%1.%2.%3.%4.%5."/>
      <w:lvlJc w:val="left"/>
      <w:pPr>
        <w:tabs>
          <w:tab w:val="num" w:pos="0"/>
        </w:tabs>
        <w:ind w:left="0" w:hanging="0"/>
      </w:pPr>
      <w:rPr>
        <w:sz w:val="22"/>
        <w:szCs w:val="20"/>
      </w:rPr>
    </w:lvl>
    <w:lvl w:ilvl="5">
      <w:start w:val="1"/>
      <w:numFmt w:val="decimal"/>
      <w:lvlText w:val="%1.%2.%3.%4.%5.%6."/>
      <w:lvlJc w:val="left"/>
      <w:pPr>
        <w:tabs>
          <w:tab w:val="num" w:pos="0"/>
        </w:tabs>
        <w:ind w:left="0" w:hanging="0"/>
      </w:pPr>
      <w:rPr>
        <w:sz w:val="22"/>
        <w:szCs w:val="20"/>
      </w:rPr>
    </w:lvl>
    <w:lvl w:ilvl="6">
      <w:start w:val="1"/>
      <w:numFmt w:val="decimal"/>
      <w:lvlText w:val="%1.%2.%3.%4.%5.%6.%7."/>
      <w:lvlJc w:val="left"/>
      <w:pPr>
        <w:tabs>
          <w:tab w:val="num" w:pos="0"/>
        </w:tabs>
        <w:ind w:left="0" w:hanging="0"/>
      </w:pPr>
      <w:rPr>
        <w:sz w:val="22"/>
        <w:szCs w:val="20"/>
      </w:rPr>
    </w:lvl>
    <w:lvl w:ilvl="7">
      <w:start w:val="1"/>
      <w:numFmt w:val="decimal"/>
      <w:lvlText w:val="%1.%2.%3.%4.%5.%6.%7.%8."/>
      <w:lvlJc w:val="left"/>
      <w:pPr>
        <w:tabs>
          <w:tab w:val="num" w:pos="0"/>
        </w:tabs>
        <w:ind w:left="0" w:hanging="0"/>
      </w:pPr>
      <w:rPr/>
    </w:lvl>
    <w:lvl w:ilvl="8">
      <w:start w:val="1"/>
      <w:numFmt w:val="decimal"/>
      <w:lvlText w:val="%1.%2.%3.%4.%5.%6.%7.%8.%9."/>
      <w:lvlJc w:val="left"/>
      <w:pPr>
        <w:tabs>
          <w:tab w:val="num" w:pos="0"/>
        </w:tabs>
        <w:ind w:left="0" w:hanging="0"/>
      </w:pPr>
      <w:rPr/>
    </w:lvl>
  </w:abstractNum>
  <w:abstractNum w:abstractNumId="3">
    <w:lvl w:ilvl="0">
      <w:start w:val="1"/>
      <w:numFmt w:val="bullet"/>
      <w:lvlText w:val=""/>
      <w:lvlJc w:val="left"/>
      <w:pPr>
        <w:tabs>
          <w:tab w:val="num" w:pos="0"/>
        </w:tabs>
        <w:ind w:left="720" w:hanging="360"/>
      </w:pPr>
      <w:rPr>
        <w:rFonts w:ascii="Symbol" w:hAnsi="Symbol" w:cs="Symbol" w:hint="default"/>
        <w:color w:val="auto"/>
      </w:rPr>
    </w:lvl>
    <w:lvl w:ilvl="1">
      <w:start w:val="1"/>
      <w:numFmt w:val="bullet"/>
      <w:suff w:val="space"/>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decimal"/>
      <w:suff w:val="space"/>
      <w:lvlText w:val="%1."/>
      <w:lvlJc w:val="left"/>
      <w:pPr>
        <w:tabs>
          <w:tab w:val="num" w:pos="0"/>
        </w:tabs>
        <w:ind w:left="0" w:hanging="0"/>
      </w:pPr>
      <w:rPr>
        <w:sz w:val="24"/>
        <w:i w:val="false"/>
        <w:szCs w:val="22"/>
        <w:color w:val="auto"/>
      </w:rPr>
    </w:lvl>
    <w:lvl w:ilvl="1">
      <w:start w:val="1"/>
      <w:numFmt w:val="decimal"/>
      <w:suff w:val="space"/>
      <w:lvlText w:val="%1.%2."/>
      <w:lvlJc w:val="left"/>
      <w:pPr>
        <w:tabs>
          <w:tab w:val="num" w:pos="0"/>
        </w:tabs>
        <w:ind w:left="0" w:hanging="0"/>
      </w:pPr>
      <w:rPr>
        <w:sz w:val="24"/>
        <w:b w:val="false"/>
        <w:szCs w:val="24"/>
        <w:color w:val="auto"/>
      </w:rPr>
    </w:lvl>
    <w:lvl w:ilvl="2">
      <w:start w:val="1"/>
      <w:numFmt w:val="decimal"/>
      <w:suff w:val="space"/>
      <w:lvlText w:val="%1.%2.%3."/>
      <w:lvlJc w:val="left"/>
      <w:pPr>
        <w:tabs>
          <w:tab w:val="num" w:pos="0"/>
        </w:tabs>
        <w:ind w:left="0" w:hanging="0"/>
      </w:pPr>
      <w:rPr/>
    </w:lvl>
    <w:lvl w:ilvl="3">
      <w:start w:val="1"/>
      <w:numFmt w:val="decimal"/>
      <w:suff w:val="space"/>
      <w:lvlText w:val="%1.%2.%3.%4."/>
      <w:lvlJc w:val="left"/>
      <w:pPr>
        <w:tabs>
          <w:tab w:val="num" w:pos="0"/>
        </w:tabs>
        <w:ind w:left="0" w:hanging="0"/>
      </w:pPr>
      <w:rPr>
        <w:sz w:val="24"/>
        <w:szCs w:val="22"/>
      </w:rPr>
    </w:lvl>
    <w:lvl w:ilvl="4">
      <w:start w:val="1"/>
      <w:numFmt w:val="decimal"/>
      <w:suff w:val="space"/>
      <w:lvlText w:val="%1.%2.%3.%4.%5."/>
      <w:lvlJc w:val="left"/>
      <w:pPr>
        <w:tabs>
          <w:tab w:val="num" w:pos="0"/>
        </w:tabs>
        <w:ind w:left="0" w:hanging="0"/>
      </w:pPr>
      <w:rPr/>
    </w:lvl>
    <w:lvl w:ilvl="5">
      <w:start w:val="1"/>
      <w:numFmt w:val="decimal"/>
      <w:lvlText w:val="%1.%2.%3.%4.%5.%6."/>
      <w:lvlJc w:val="left"/>
      <w:pPr>
        <w:tabs>
          <w:tab w:val="num" w:pos="0"/>
        </w:tabs>
        <w:ind w:left="1440" w:hanging="144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800" w:hanging="1800"/>
      </w:pPr>
      <w:rPr/>
    </w:lvl>
    <w:lvl w:ilvl="8">
      <w:start w:val="1"/>
      <w:numFmt w:val="decimal"/>
      <w:lvlText w:val="%1.%2.%3.%4.%5.%6.%7.%8.%9."/>
      <w:lvlJc w:val="left"/>
      <w:pPr>
        <w:tabs>
          <w:tab w:val="num" w:pos="0"/>
        </w:tabs>
        <w:ind w:left="2160" w:hanging="2160"/>
      </w:pPr>
      <w:rPr/>
    </w:lvl>
  </w:abstractNum>
  <w:abstractNum w:abstractNumId="5">
    <w:lvl w:ilvl="0">
      <w:start w:val="1"/>
      <w:numFmt w:val="bullet"/>
      <w:lvlText w:val=""/>
      <w:lvlJc w:val="left"/>
      <w:pPr>
        <w:tabs>
          <w:tab w:val="num" w:pos="0"/>
        </w:tabs>
        <w:ind w:left="360" w:hanging="360"/>
      </w:pPr>
      <w:rPr>
        <w:rFonts w:ascii="Symbol" w:hAnsi="Symbol" w:cs="Symbol" w:hint="default"/>
        <w:sz w:val="22"/>
        <w:szCs w:val="18"/>
        <w:color w:val="7A488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lvl w:ilvl="0">
      <w:numFmt w:val="bullet"/>
      <w:lvlText w:val="-"/>
      <w:lvlJc w:val="left"/>
      <w:pPr>
        <w:tabs>
          <w:tab w:val="num" w:pos="0"/>
        </w:tabs>
        <w:ind w:left="720" w:hanging="360"/>
      </w:pPr>
      <w:rPr>
        <w:rFonts w:ascii="Times New Roman" w:hAnsi="Times New Roman" w:cs="Times New Roman" w:hint="default"/>
        <w:color w:val="auto"/>
      </w:rPr>
    </w:lvl>
    <w:lvl w:ilvl="1">
      <w:start w:val="1"/>
      <w:numFmt w:val="bullet"/>
      <w:suff w:val="space"/>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lvl w:ilvl="0">
      <w:start w:val="1"/>
      <w:numFmt w:val="decimal"/>
      <w:suff w:val="space"/>
      <w:lvlText w:val=""/>
      <w:lvlJc w:val="left"/>
      <w:pPr>
        <w:tabs>
          <w:tab w:val="num" w:pos="0"/>
        </w:tabs>
        <w:ind w:left="0" w:hanging="0"/>
      </w:pPr>
      <w:rPr/>
    </w:lvl>
    <w:lvl w:ilvl="1">
      <w:start w:val="1"/>
      <w:numFmt w:val="decimal"/>
      <w:suff w:val="space"/>
      <w:lvlText w:val=""/>
      <w:lvlJc w:val="left"/>
      <w:pPr>
        <w:tabs>
          <w:tab w:val="num" w:pos="0"/>
        </w:tabs>
        <w:ind w:left="0" w:hanging="0"/>
      </w:pPr>
      <w:rPr>
        <w:b w:val="false"/>
      </w:rPr>
    </w:lvl>
    <w:lvl w:ilvl="2">
      <w:start w:val="1"/>
      <w:numFmt w:val="decimal"/>
      <w:suff w:val="space"/>
      <w:lvlText w:val=""/>
      <w:lvlJc w:val="left"/>
      <w:pPr>
        <w:tabs>
          <w:tab w:val="num" w:pos="0"/>
        </w:tabs>
        <w:ind w:left="0" w:hanging="0"/>
      </w:pPr>
      <w:rPr>
        <w:b w:val="false"/>
        <w:bCs w:val="false"/>
        <w:color w:val="auto"/>
      </w:rPr>
    </w:lvl>
    <w:lvl w:ilvl="3">
      <w:start w:val="1"/>
      <w:numFmt w:val="decimal"/>
      <w:suff w:val="space"/>
      <w:lvlText w:val=""/>
      <w:lvlJc w:val="left"/>
      <w:pPr>
        <w:tabs>
          <w:tab w:val="num" w:pos="0"/>
        </w:tabs>
        <w:ind w:left="0" w:hanging="0"/>
      </w:pPr>
      <w:rPr/>
    </w:lvl>
    <w:lvl w:ilvl="4">
      <w:start w:val="1"/>
      <w:numFmt w:val="decimal"/>
      <w:suff w:val="space"/>
      <w:lvlText w:val=""/>
      <w:lvlJc w:val="left"/>
      <w:pPr>
        <w:tabs>
          <w:tab w:val="num" w:pos="0"/>
        </w:tabs>
        <w:ind w:left="0" w:hanging="0"/>
      </w:pPr>
      <w:rPr>
        <w:sz w:val="22"/>
        <w:szCs w:val="20"/>
      </w:rPr>
    </w:lvl>
    <w:lvl w:ilvl="5">
      <w:start w:val="1"/>
      <w:numFmt w:val="decimal"/>
      <w:suff w:val="space"/>
      <w:lvlText w:val="%1.%2.%3.%4.%5.%6."/>
      <w:lvlJc w:val="left"/>
      <w:pPr>
        <w:tabs>
          <w:tab w:val="num" w:pos="0"/>
        </w:tabs>
        <w:ind w:left="0" w:hanging="0"/>
      </w:pPr>
      <w:rPr>
        <w:sz w:val="22"/>
        <w:szCs w:val="20"/>
      </w:rPr>
    </w:lvl>
    <w:lvl w:ilvl="6">
      <w:start w:val="1"/>
      <w:numFmt w:val="decimal"/>
      <w:suff w:val="space"/>
      <w:lvlText w:val="%1.%2.%3.%4.%5.%6.%7."/>
      <w:lvlJc w:val="left"/>
      <w:pPr>
        <w:tabs>
          <w:tab w:val="num" w:pos="0"/>
        </w:tabs>
        <w:ind w:left="0" w:hanging="0"/>
      </w:pPr>
      <w:rPr>
        <w:sz w:val="22"/>
        <w:szCs w:val="20"/>
      </w:rPr>
    </w:lvl>
    <w:lvl w:ilvl="7">
      <w:start w:val="1"/>
      <w:numFmt w:val="decimal"/>
      <w:lvlText w:val="%1.%2.%3.%4.%5.%6.%7.%8."/>
      <w:lvlJc w:val="left"/>
      <w:pPr>
        <w:tabs>
          <w:tab w:val="num" w:pos="0"/>
        </w:tabs>
        <w:ind w:left="0" w:hanging="0"/>
      </w:pPr>
      <w:rPr/>
    </w:lvl>
    <w:lvl w:ilvl="8">
      <w:start w:val="1"/>
      <w:numFmt w:val="decimal"/>
      <w:lvlText w:val="%1.%2.%3.%4.%5.%6.%7.%8.%9."/>
      <w:lvlJc w:val="left"/>
      <w:pPr>
        <w:tabs>
          <w:tab w:val="num" w:pos="0"/>
        </w:tabs>
        <w:ind w:left="0" w:hanging="0"/>
      </w:pPr>
      <w:rPr/>
    </w:lvl>
  </w:abstractNum>
  <w:abstractNum w:abstractNumId="8">
    <w:lvl w:ilvl="0">
      <w:start w:val="1"/>
      <w:numFmt w:val="decimal"/>
      <w:suff w:val="space"/>
      <w:lvlText w:val="%1."/>
      <w:lvlJc w:val="left"/>
      <w:pPr>
        <w:tabs>
          <w:tab w:val="num" w:pos="0"/>
        </w:tabs>
        <w:ind w:left="0" w:hanging="0"/>
      </w:pPr>
      <w:rPr/>
    </w:lvl>
    <w:lvl w:ilvl="1">
      <w:start w:val="1"/>
      <w:numFmt w:val="decimal"/>
      <w:suff w:val="space"/>
      <w:lvlText w:val="%1.%2."/>
      <w:lvlJc w:val="left"/>
      <w:pPr>
        <w:tabs>
          <w:tab w:val="num" w:pos="0"/>
        </w:tabs>
        <w:ind w:left="0" w:hanging="0"/>
      </w:pPr>
      <w:rPr>
        <w:b w:val="false"/>
      </w:rPr>
    </w:lvl>
    <w:lvl w:ilvl="2">
      <w:start w:val="1"/>
      <w:numFmt w:val="decimal"/>
      <w:suff w:val="space"/>
      <w:lvlText w:val="%1.%2.%3."/>
      <w:lvlJc w:val="left"/>
      <w:pPr>
        <w:tabs>
          <w:tab w:val="num" w:pos="0"/>
        </w:tabs>
        <w:ind w:left="0" w:hanging="0"/>
      </w:pPr>
      <w:rPr>
        <w:b w:val="false"/>
        <w:bCs w:val="false"/>
        <w:color w:val="auto"/>
      </w:rPr>
    </w:lvl>
    <w:lvl w:ilvl="3">
      <w:start w:val="1"/>
      <w:numFmt w:val="decimal"/>
      <w:suff w:val="space"/>
      <w:lvlText w:val="%1.%2.%3.%4."/>
      <w:lvlJc w:val="left"/>
      <w:pPr>
        <w:tabs>
          <w:tab w:val="num" w:pos="0"/>
        </w:tabs>
        <w:ind w:left="0" w:hanging="0"/>
      </w:pPr>
      <w:rPr/>
    </w:lvl>
    <w:lvl w:ilvl="4">
      <w:start w:val="1"/>
      <w:numFmt w:val="decimal"/>
      <w:suff w:val="space"/>
      <w:lvlText w:val="%1.%2.%3.%4.%5."/>
      <w:lvlJc w:val="left"/>
      <w:pPr>
        <w:tabs>
          <w:tab w:val="num" w:pos="0"/>
        </w:tabs>
        <w:ind w:left="0" w:hanging="0"/>
      </w:pPr>
      <w:rPr>
        <w:sz w:val="22"/>
        <w:szCs w:val="20"/>
      </w:rPr>
    </w:lvl>
    <w:lvl w:ilvl="5">
      <w:start w:val="1"/>
      <w:numFmt w:val="decimal"/>
      <w:lvlText w:val="%1.%2.%3.%4.%5.%6."/>
      <w:lvlJc w:val="left"/>
      <w:pPr>
        <w:tabs>
          <w:tab w:val="num" w:pos="0"/>
        </w:tabs>
        <w:ind w:left="0" w:hanging="0"/>
      </w:pPr>
      <w:rPr>
        <w:sz w:val="22"/>
        <w:szCs w:val="20"/>
      </w:rPr>
    </w:lvl>
    <w:lvl w:ilvl="6">
      <w:start w:val="1"/>
      <w:numFmt w:val="decimal"/>
      <w:lvlText w:val="%1.%2.%3.%4.%5.%6.%7."/>
      <w:lvlJc w:val="left"/>
      <w:pPr>
        <w:tabs>
          <w:tab w:val="num" w:pos="0"/>
        </w:tabs>
        <w:ind w:left="0" w:hanging="0"/>
      </w:pPr>
      <w:rPr>
        <w:sz w:val="22"/>
        <w:szCs w:val="20"/>
      </w:rPr>
    </w:lvl>
    <w:lvl w:ilvl="7">
      <w:start w:val="1"/>
      <w:numFmt w:val="decimal"/>
      <w:lvlText w:val="%1.%2.%3.%4.%5.%6.%7.%8."/>
      <w:lvlJc w:val="left"/>
      <w:pPr>
        <w:tabs>
          <w:tab w:val="num" w:pos="0"/>
        </w:tabs>
        <w:ind w:left="0" w:hanging="0"/>
      </w:pPr>
      <w:rPr/>
    </w:lvl>
    <w:lvl w:ilvl="8">
      <w:start w:val="1"/>
      <w:numFmt w:val="decimal"/>
      <w:lvlText w:val="%1.%2.%3.%4.%5.%6.%7.%8.%9."/>
      <w:lvlJc w:val="left"/>
      <w:pPr>
        <w:tabs>
          <w:tab w:val="num" w:pos="0"/>
        </w:tabs>
        <w:ind w:left="0" w:hanging="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2"/>
    <w:lvlOverride w:ilvl="0">
      <w:lvl w:ilvl="0">
        <w:start w:val="1"/>
        <w:numFmt w:val="decimal"/>
        <w:suff w:val="space"/>
        <w:lvlText w:val=""/>
        <w:lvlJc w:val="left"/>
        <w:pPr>
          <w:tabs>
            <w:tab w:val="num" w:pos="0"/>
          </w:tabs>
          <w:ind w:left="0" w:hanging="0"/>
        </w:pPr>
        <w:rPr/>
      </w:lvl>
    </w:lvlOverride>
    <w:lvlOverride w:ilvl="0">
      <w:startOverride w:val="1"/>
    </w:lvlOverride>
    <w:lvlOverride w:ilvl="1">
      <w:lvl w:ilvl="1">
        <w:start w:val="1"/>
        <w:numFmt w:val="decimal"/>
        <w:suff w:val="space"/>
        <w:lvlText w:val=""/>
        <w:lvlJc w:val="left"/>
        <w:pPr>
          <w:tabs>
            <w:tab w:val="num" w:pos="0"/>
          </w:tabs>
          <w:ind w:left="0" w:hanging="0"/>
        </w:pPr>
        <w:rPr>
          <w:b w:val="false"/>
        </w:rPr>
      </w:lvl>
    </w:lvlOverride>
    <w:lvlOverride w:ilvl="1">
      <w:startOverride w:val="1"/>
    </w:lvlOverride>
    <w:lvlOverride w:ilvl="2">
      <w:lvl w:ilvl="2">
        <w:start w:val="1"/>
        <w:numFmt w:val="decimal"/>
        <w:suff w:val="space"/>
        <w:lvlText w:val=""/>
        <w:lvlJc w:val="left"/>
        <w:pPr>
          <w:tabs>
            <w:tab w:val="num" w:pos="0"/>
          </w:tabs>
          <w:ind w:left="0" w:hanging="0"/>
        </w:pPr>
        <w:rPr>
          <w:b w:val="false"/>
          <w:bCs w:val="false"/>
          <w:color w:val="auto"/>
        </w:rPr>
      </w:lvl>
      <w:startOverride w:val="1"/>
    </w:lvlOverride>
    <w:lvlOverride w:ilvl="2">
      <w:startOverride w:val="1"/>
    </w:lvlOverride>
    <w:lvlOverride w:ilvl="3">
      <w:lvl w:ilvl="3">
        <w:start w:val="1"/>
        <w:numFmt w:val="decimal"/>
        <w:suff w:val="space"/>
        <w:lvlText w:val=""/>
        <w:lvlJc w:val="left"/>
        <w:pPr>
          <w:tabs>
            <w:tab w:val="num" w:pos="0"/>
          </w:tabs>
          <w:ind w:left="0" w:hanging="0"/>
        </w:pPr>
        <w:rPr/>
      </w:lvl>
    </w:lvlOverride>
    <w:lvlOverride w:ilvl="3">
      <w:startOverride w:val="1"/>
    </w:lvlOverride>
    <w:lvlOverride w:ilvl="4">
      <w:lvl w:ilvl="4">
        <w:start w:val="1"/>
        <w:numFmt w:val="decimal"/>
        <w:suff w:val="space"/>
        <w:lvlText w:val=""/>
        <w:lvlJc w:val="left"/>
        <w:pPr>
          <w:tabs>
            <w:tab w:val="num" w:pos="0"/>
          </w:tabs>
          <w:ind w:left="0" w:hanging="0"/>
        </w:pPr>
        <w:rPr>
          <w:sz w:val="22"/>
          <w:szCs w:val="20"/>
        </w:rPr>
      </w:lvl>
    </w:lvlOverride>
    <w:lvlOverride w:ilvl="4">
      <w:startOverride w:val="1"/>
    </w:lvlOverride>
    <w:lvlOverride w:ilvl="5">
      <w:lvl w:ilvl="5">
        <w:start w:val="1"/>
        <w:numFmt w:val="decimal"/>
        <w:suff w:val="space"/>
        <w:lvlText w:val="%1.%2.%3.%4.%5.%6."/>
        <w:lvlJc w:val="left"/>
        <w:pPr>
          <w:tabs>
            <w:tab w:val="num" w:pos="0"/>
          </w:tabs>
          <w:ind w:left="0" w:hanging="0"/>
        </w:pPr>
        <w:rPr>
          <w:sz w:val="22"/>
          <w:szCs w:val="20"/>
        </w:rPr>
      </w:lvl>
    </w:lvlOverride>
    <w:lvlOverride w:ilvl="5">
      <w:startOverride w:val="1"/>
    </w:lvlOverride>
    <w:lvlOverride w:ilvl="6">
      <w:lvl w:ilvl="6">
        <w:start w:val="1"/>
        <w:numFmt w:val="decimal"/>
        <w:suff w:val="space"/>
        <w:lvlText w:val="%1.%2.%3.%4.%5.%6.%7."/>
        <w:lvlJc w:val="left"/>
        <w:pPr>
          <w:tabs>
            <w:tab w:val="num" w:pos="0"/>
          </w:tabs>
          <w:ind w:left="0" w:hanging="0"/>
        </w:pPr>
        <w:rPr>
          <w:sz w:val="22"/>
          <w:szCs w:val="20"/>
        </w:rPr>
      </w:lvl>
    </w:lvlOverride>
  </w:num>
  <w:num w:numId="10">
    <w:abstractNumId w:val="2"/>
  </w:num>
</w:numbering>
</file>

<file path=word/settings.xml><?xml version="1.0" encoding="utf-8"?>
<w:settings xmlns:w="http://schemas.openxmlformats.org/wordprocessingml/2006/main">
  <w:zoom w:percent="110"/>
  <w:trackRevisions/>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lt-LT" w:eastAsia="en-US" w:bidi="ar-SA"/>
    </w:rPr>
  </w:style>
  <w:style w:type="paragraph" w:styleId="Heading1">
    <w:name w:val="Heading 1"/>
    <w:basedOn w:val="Normal"/>
    <w:next w:val="Heading2"/>
    <w:link w:val="Heading1Char"/>
    <w:uiPriority w:val="9"/>
    <w:qFormat/>
    <w:rsid w:val="00576cdc"/>
    <w:pPr>
      <w:keepNext w:val="true"/>
      <w:numPr>
        <w:ilvl w:val="0"/>
        <w:numId w:val="1"/>
      </w:numPr>
      <w:spacing w:lineRule="auto" w:line="276" w:before="240" w:after="240"/>
      <w:jc w:val="both"/>
      <w:outlineLvl w:val="0"/>
    </w:pPr>
    <w:rPr>
      <w:rFonts w:ascii="Times New Roman" w:hAnsi="Times New Roman" w:eastAsia="Calibri" w:cs="Times New Roman"/>
      <w:b/>
      <w:bCs/>
      <w:caps/>
      <w:kern w:val="2"/>
      <w:sz w:val="28"/>
      <w:szCs w:val="28"/>
      <w:lang w:eastAsia="lt-LT"/>
    </w:rPr>
  </w:style>
  <w:style w:type="paragraph" w:styleId="Heading2">
    <w:name w:val="Heading 2"/>
    <w:basedOn w:val="Normal"/>
    <w:next w:val="Normal"/>
    <w:link w:val="Heading2Char"/>
    <w:uiPriority w:val="9"/>
    <w:unhideWhenUsed/>
    <w:qFormat/>
    <w:rsid w:val="00576cdc"/>
    <w:pPr>
      <w:keepNext w:val="true"/>
      <w:keepLines/>
      <w:numPr>
        <w:ilvl w:val="1"/>
        <w:numId w:val="1"/>
      </w:numPr>
      <w:tabs>
        <w:tab w:val="clear" w:pos="720"/>
        <w:tab w:val="left" w:pos="709" w:leader="none"/>
      </w:tabs>
      <w:spacing w:lineRule="auto" w:line="276" w:before="240" w:after="240"/>
      <w:outlineLvl w:val="1"/>
    </w:pPr>
    <w:rPr>
      <w:rFonts w:ascii="Times New Roman" w:hAnsi="Times New Roman" w:eastAsia="Calibri" w:cs="Times New Roman"/>
      <w:b/>
      <w:bCs/>
      <w:iCs/>
      <w:sz w:val="28"/>
      <w:szCs w:val="32"/>
      <w:lang w:eastAsia="lt-LT"/>
    </w:rPr>
  </w:style>
  <w:style w:type="paragraph" w:styleId="Heading3">
    <w:name w:val="Heading 3"/>
    <w:basedOn w:val="Normal"/>
    <w:next w:val="Normal"/>
    <w:link w:val="Heading3Char"/>
    <w:uiPriority w:val="9"/>
    <w:unhideWhenUsed/>
    <w:qFormat/>
    <w:rsid w:val="000e3e31"/>
    <w:pPr>
      <w:keepNext w:val="true"/>
      <w:keepLines/>
      <w:spacing w:before="40" w:after="0"/>
      <w:outlineLvl w:val="2"/>
    </w:pPr>
    <w:rPr>
      <w:rFonts w:ascii="Times New Roman" w:hAnsi="Times New Roman" w:eastAsia="" w:cs="Times New Roman" w:eastAsiaTheme="majorEastAsia"/>
      <w:b/>
      <w:sz w:val="24"/>
      <w:szCs w:val="24"/>
    </w:rPr>
  </w:style>
  <w:style w:type="paragraph" w:styleId="Heading4">
    <w:name w:val="Heading 4"/>
    <w:basedOn w:val="Normal"/>
    <w:next w:val="Normal"/>
    <w:link w:val="Heading4Char"/>
    <w:uiPriority w:val="9"/>
    <w:semiHidden/>
    <w:unhideWhenUsed/>
    <w:qFormat/>
    <w:rsid w:val="00b40e87"/>
    <w:pPr>
      <w:keepNext w:val="true"/>
      <w:keepLines/>
      <w:spacing w:before="40" w:after="0"/>
      <w:outlineLvl w:val="3"/>
    </w:pPr>
    <w:rPr>
      <w:rFonts w:ascii="Calibri Light" w:hAnsi="Calibri Light" w:eastAsia="" w:cs="" w:asciiTheme="majorHAnsi" w:cstheme="majorBidi" w:eastAsiaTheme="majorEastAsia" w:hAnsiTheme="majorHAnsi"/>
      <w:i/>
      <w:iCs/>
      <w:color w:themeColor="accent1" w:themeShade="bf" w:val="2F5496"/>
    </w:rPr>
  </w:style>
  <w:style w:type="paragraph" w:styleId="Heading5">
    <w:name w:val="Heading 5"/>
    <w:basedOn w:val="Normal"/>
    <w:next w:val="Normal"/>
    <w:link w:val="Heading5Char"/>
    <w:uiPriority w:val="9"/>
    <w:semiHidden/>
    <w:unhideWhenUsed/>
    <w:qFormat/>
    <w:rsid w:val="00cb282b"/>
    <w:pPr>
      <w:keepNext w:val="true"/>
      <w:keepLines/>
      <w:spacing w:before="40" w:after="0"/>
      <w:outlineLvl w:val="4"/>
    </w:pPr>
    <w:rPr>
      <w:rFonts w:ascii="Calibri Light" w:hAnsi="Calibri Light" w:eastAsia="" w:cs="" w:asciiTheme="majorHAnsi" w:cstheme="majorBidi" w:eastAsiaTheme="majorEastAsia" w:hAnsiTheme="majorHAnsi"/>
      <w:color w:themeColor="accent1" w:themeShade="bf" w:val="2F5496"/>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cd5fbe"/>
    <w:rPr/>
  </w:style>
  <w:style w:type="character" w:styleId="FooterChar" w:customStyle="1">
    <w:name w:val="Footer Char"/>
    <w:basedOn w:val="DefaultParagraphFont"/>
    <w:link w:val="Footer"/>
    <w:uiPriority w:val="99"/>
    <w:qFormat/>
    <w:rsid w:val="00cd5fbe"/>
    <w:rPr/>
  </w:style>
  <w:style w:type="character" w:styleId="HeaderarialChar" w:customStyle="1">
    <w:name w:val="Header_arial Char"/>
    <w:basedOn w:val="DefaultParagraphFont"/>
    <w:link w:val="Headerarial"/>
    <w:qFormat/>
    <w:rsid w:val="00cd5fbe"/>
    <w:rPr>
      <w:rFonts w:ascii="Arial" w:hAnsi="Arial" w:eastAsia="Times New Roman" w:cs="Arial"/>
      <w:color w:val="103C5E"/>
      <w:sz w:val="18"/>
      <w:lang w:val="lt-LT"/>
    </w:rPr>
  </w:style>
  <w:style w:type="character" w:styleId="Heading1Char" w:customStyle="1">
    <w:name w:val="Heading 1 Char"/>
    <w:basedOn w:val="DefaultParagraphFont"/>
    <w:link w:val="Heading1"/>
    <w:uiPriority w:val="9"/>
    <w:qFormat/>
    <w:rsid w:val="00576cdc"/>
    <w:rPr>
      <w:rFonts w:ascii="Times New Roman" w:hAnsi="Times New Roman" w:eastAsia="Calibri" w:cs="Times New Roman"/>
      <w:b/>
      <w:bCs/>
      <w:caps/>
      <w:kern w:val="2"/>
      <w:sz w:val="28"/>
      <w:szCs w:val="28"/>
      <w:lang w:eastAsia="lt-LT"/>
    </w:rPr>
  </w:style>
  <w:style w:type="character" w:styleId="Heading2Char" w:customStyle="1">
    <w:name w:val="Heading 2 Char"/>
    <w:basedOn w:val="DefaultParagraphFont"/>
    <w:link w:val="Heading2"/>
    <w:uiPriority w:val="9"/>
    <w:qFormat/>
    <w:rsid w:val="00576cdc"/>
    <w:rPr>
      <w:rFonts w:ascii="Times New Roman" w:hAnsi="Times New Roman" w:eastAsia="Calibri" w:cs="Times New Roman"/>
      <w:b/>
      <w:bCs/>
      <w:iCs/>
      <w:sz w:val="28"/>
      <w:szCs w:val="32"/>
      <w:lang w:val="lt-LT" w:eastAsia="lt-LT"/>
    </w:rPr>
  </w:style>
  <w:style w:type="character" w:styleId="LentelsturinysChar" w:customStyle="1">
    <w:name w:val="Lentelės turinys Char"/>
    <w:basedOn w:val="DefaultParagraphFont"/>
    <w:link w:val="Lentelsturinys"/>
    <w:qFormat/>
    <w:rsid w:val="008e6504"/>
    <w:rPr>
      <w:rFonts w:ascii="Times New Roman" w:hAnsi="Times New Roman" w:eastAsia="Calibri" w:cs="Times New Roman"/>
      <w:lang w:val="lt-LT"/>
    </w:rPr>
  </w:style>
  <w:style w:type="character" w:styleId="Hyperlink">
    <w:name w:val="Hyperlink"/>
    <w:basedOn w:val="DefaultParagraphFont"/>
    <w:uiPriority w:val="99"/>
    <w:unhideWhenUsed/>
    <w:rsid w:val="00576cdc"/>
    <w:rPr>
      <w:color w:themeColor="hyperlink" w:val="0563C1"/>
      <w:u w:val="single"/>
    </w:rPr>
  </w:style>
  <w:style w:type="character" w:styleId="Heading3Char" w:customStyle="1">
    <w:name w:val="Heading 3 Char"/>
    <w:basedOn w:val="DefaultParagraphFont"/>
    <w:link w:val="Heading3"/>
    <w:uiPriority w:val="9"/>
    <w:qFormat/>
    <w:rsid w:val="000e3e31"/>
    <w:rPr>
      <w:rFonts w:ascii="Times New Roman" w:hAnsi="Times New Roman" w:eastAsia="" w:cs="Times New Roman" w:eastAsiaTheme="majorEastAsia"/>
      <w:b/>
      <w:sz w:val="24"/>
      <w:szCs w:val="24"/>
      <w:lang w:val="lt-LT"/>
    </w:rPr>
  </w:style>
  <w:style w:type="character" w:styleId="LenpavadarialChar" w:customStyle="1">
    <w:name w:val="Len_pavad_arial Char"/>
    <w:basedOn w:val="DefaultParagraphFont"/>
    <w:link w:val="Lenpavadarial"/>
    <w:qFormat/>
    <w:rsid w:val="005f000d"/>
    <w:rPr>
      <w:rFonts w:ascii="Times New Roman" w:hAnsi="Times New Roman" w:eastAsia="Times New Roman" w:cs="Times New Roman"/>
      <w:szCs w:val="20"/>
      <w:lang w:val="lt-LT" w:eastAsia="lt-LT"/>
    </w:rPr>
  </w:style>
  <w:style w:type="character" w:styleId="LentekstasarialChar" w:customStyle="1">
    <w:name w:val="Len_tekstas_arial Char"/>
    <w:basedOn w:val="DefaultParagraphFont"/>
    <w:link w:val="Lentekstasarial"/>
    <w:qFormat/>
    <w:rsid w:val="005f000d"/>
    <w:rPr>
      <w:rFonts w:ascii="Arial" w:hAnsi="Arial" w:eastAsia="Calibri" w:cs="Arial"/>
      <w:color w:val="103C5E"/>
      <w:sz w:val="18"/>
      <w:szCs w:val="18"/>
    </w:rPr>
  </w:style>
  <w:style w:type="character" w:styleId="LENBUL1arialChar" w:customStyle="1">
    <w:name w:val="LEN_BUL1_arial Char"/>
    <w:basedOn w:val="LentekstasarialChar"/>
    <w:link w:val="LENBUL1arial"/>
    <w:qFormat/>
    <w:rsid w:val="00c30c65"/>
    <w:rPr>
      <w:rFonts w:ascii="Times New Roman" w:hAnsi="Times New Roman" w:eastAsia="Calibri" w:cs="Times New Roman"/>
      <w:color w:val="103C5E"/>
      <w:sz w:val="24"/>
      <w:szCs w:val="24"/>
      <w:lang w:val="lt-LT"/>
    </w:rPr>
  </w:style>
  <w:style w:type="character" w:styleId="LenheadarialChar" w:customStyle="1">
    <w:name w:val="Len_head_arial Char"/>
    <w:basedOn w:val="DefaultParagraphFont"/>
    <w:link w:val="Lenheadarial"/>
    <w:qFormat/>
    <w:rsid w:val="005f000d"/>
    <w:rPr>
      <w:rFonts w:ascii="Arial" w:hAnsi="Arial" w:eastAsia="Calibri" w:cs="Arial"/>
      <w:color w:themeColor="background1" w:val="FFFFFF"/>
      <w:sz w:val="18"/>
      <w:szCs w:val="20"/>
    </w:rPr>
  </w:style>
  <w:style w:type="character" w:styleId="Heading4Char" w:customStyle="1">
    <w:name w:val="Heading 4 Char"/>
    <w:basedOn w:val="DefaultParagraphFont"/>
    <w:link w:val="Heading4"/>
    <w:uiPriority w:val="9"/>
    <w:semiHidden/>
    <w:qFormat/>
    <w:rsid w:val="00b40e87"/>
    <w:rPr>
      <w:rFonts w:ascii="Calibri Light" w:hAnsi="Calibri Light" w:eastAsia="" w:cs="" w:asciiTheme="majorHAnsi" w:cstheme="majorBidi" w:eastAsiaTheme="majorEastAsia" w:hAnsiTheme="majorHAnsi"/>
      <w:i/>
      <w:iCs/>
      <w:color w:themeColor="accent1" w:themeShade="bf" w:val="2F5496"/>
    </w:rPr>
  </w:style>
  <w:style w:type="character" w:styleId="BalloonTextChar" w:customStyle="1">
    <w:name w:val="Balloon Text Char"/>
    <w:basedOn w:val="DefaultParagraphFont"/>
    <w:link w:val="BalloonText"/>
    <w:uiPriority w:val="99"/>
    <w:semiHidden/>
    <w:qFormat/>
    <w:rsid w:val="00005fa1"/>
    <w:rPr>
      <w:rFonts w:ascii="Segoe UI" w:hAnsi="Segoe UI" w:cs="Segoe UI"/>
      <w:sz w:val="18"/>
      <w:szCs w:val="18"/>
    </w:rPr>
  </w:style>
  <w:style w:type="character" w:styleId="PavpavadarialChar" w:customStyle="1">
    <w:name w:val="Pav_pavad_arial Char"/>
    <w:basedOn w:val="DefaultParagraphFont"/>
    <w:link w:val="Pavpavadarial"/>
    <w:qFormat/>
    <w:rsid w:val="008f0840"/>
    <w:rPr>
      <w:rFonts w:ascii="Times New Roman" w:hAnsi="Times New Roman" w:eastAsia="Times New Roman" w:cs="Times New Roman"/>
      <w:szCs w:val="20"/>
      <w:lang w:val="lt-LT" w:eastAsia="lt-LT"/>
    </w:rPr>
  </w:style>
  <w:style w:type="character" w:styleId="Heading5Char" w:customStyle="1">
    <w:name w:val="Heading 5 Char"/>
    <w:basedOn w:val="DefaultParagraphFont"/>
    <w:link w:val="Heading5"/>
    <w:uiPriority w:val="9"/>
    <w:semiHidden/>
    <w:qFormat/>
    <w:rsid w:val="00cb282b"/>
    <w:rPr>
      <w:rFonts w:ascii="Calibri Light" w:hAnsi="Calibri Light" w:eastAsia="" w:cs="" w:asciiTheme="majorHAnsi" w:cstheme="majorBidi" w:eastAsiaTheme="majorEastAsia" w:hAnsiTheme="majorHAnsi"/>
      <w:color w:themeColor="accent1" w:themeShade="bf" w:val="2F5496"/>
    </w:rPr>
  </w:style>
  <w:style w:type="character" w:styleId="ALTextNormalChar" w:customStyle="1">
    <w:name w:val="AL Text Normal Char"/>
    <w:basedOn w:val="BodyTextChar"/>
    <w:link w:val="ALTextNormal"/>
    <w:qFormat/>
    <w:rsid w:val="00a64270"/>
    <w:rPr>
      <w:rFonts w:eastAsia="" w:eastAsiaTheme="minorEastAsia"/>
      <w:sz w:val="24"/>
      <w:lang w:val="lt-LT" w:eastAsia="zh-CN"/>
    </w:rPr>
  </w:style>
  <w:style w:type="character" w:styleId="BodyTextChar" w:customStyle="1">
    <w:name w:val="Body Text Char"/>
    <w:basedOn w:val="DefaultParagraphFont"/>
    <w:uiPriority w:val="99"/>
    <w:semiHidden/>
    <w:qFormat/>
    <w:rsid w:val="00a64270"/>
    <w:rPr/>
  </w:style>
  <w:style w:type="character" w:styleId="InLenttekstasChar" w:customStyle="1">
    <w:name w:val="In Lent tekstas Char"/>
    <w:basedOn w:val="DefaultParagraphFont"/>
    <w:link w:val="InLenttekstas"/>
    <w:qFormat/>
    <w:rsid w:val="0001151d"/>
    <w:rPr>
      <w:rFonts w:ascii="Arial" w:hAnsi="Arial" w:cs="Arial"/>
      <w:lang w:val="lt-LT"/>
    </w:rPr>
  </w:style>
  <w:style w:type="character" w:styleId="InpaveiksloChar" w:customStyle="1">
    <w:name w:val="In paveikslo Char"/>
    <w:basedOn w:val="DefaultParagraphFont"/>
    <w:link w:val="Inpaveikslo"/>
    <w:qFormat/>
    <w:rsid w:val="001c22fb"/>
    <w:rPr>
      <w:rFonts w:ascii="Arial" w:hAnsi="Arial" w:eastAsia="Times New Roman" w:cs="Arial"/>
      <w:sz w:val="20"/>
      <w:szCs w:val="20"/>
      <w:lang w:val="lt-LT" w:eastAsia="lt-LT"/>
    </w:rPr>
  </w:style>
  <w:style w:type="character" w:styleId="InlentpavChar" w:customStyle="1">
    <w:name w:val="In lent pav Char"/>
    <w:basedOn w:val="DefaultParagraphFont"/>
    <w:link w:val="Inlentpav"/>
    <w:qFormat/>
    <w:rsid w:val="001c22fb"/>
    <w:rPr>
      <w:rFonts w:ascii="Arial" w:hAnsi="Arial" w:eastAsia="Times New Roman" w:cs="Arial"/>
      <w:szCs w:val="20"/>
      <w:lang w:val="lt-LT" w:eastAsia="lt-LT"/>
    </w:rPr>
  </w:style>
  <w:style w:type="character" w:styleId="Annotationreference">
    <w:name w:val="annotation reference"/>
    <w:basedOn w:val="DefaultParagraphFont"/>
    <w:uiPriority w:val="99"/>
    <w:semiHidden/>
    <w:unhideWhenUsed/>
    <w:qFormat/>
    <w:rsid w:val="003a7930"/>
    <w:rPr>
      <w:sz w:val="16"/>
      <w:szCs w:val="16"/>
    </w:rPr>
  </w:style>
  <w:style w:type="character" w:styleId="CommentTextChar" w:customStyle="1">
    <w:name w:val="Comment Text Char"/>
    <w:basedOn w:val="DefaultParagraphFont"/>
    <w:link w:val="Annotationtext"/>
    <w:uiPriority w:val="99"/>
    <w:qFormat/>
    <w:rsid w:val="003a7930"/>
    <w:rPr>
      <w:sz w:val="20"/>
      <w:szCs w:val="20"/>
    </w:rPr>
  </w:style>
  <w:style w:type="character" w:styleId="CommentSubjectChar" w:customStyle="1">
    <w:name w:val="Comment Subject Char"/>
    <w:basedOn w:val="CommentTextChar"/>
    <w:link w:val="Annotationsubject"/>
    <w:uiPriority w:val="99"/>
    <w:semiHidden/>
    <w:qFormat/>
    <w:rsid w:val="003a7930"/>
    <w:rPr>
      <w:b/>
      <w:bCs/>
      <w:sz w:val="20"/>
      <w:szCs w:val="20"/>
    </w:rPr>
  </w:style>
  <w:style w:type="character" w:styleId="PlainTextChar" w:customStyle="1">
    <w:name w:val="Plain Text Char"/>
    <w:basedOn w:val="DefaultParagraphFont"/>
    <w:link w:val="PlainText"/>
    <w:uiPriority w:val="99"/>
    <w:semiHidden/>
    <w:qFormat/>
    <w:rsid w:val="00f90fa9"/>
    <w:rPr>
      <w:rFonts w:ascii="Calibri" w:hAnsi="Calibri"/>
      <w:szCs w:val="21"/>
      <w:lang w:val="lt-LT"/>
    </w:rPr>
  </w:style>
  <w:style w:type="character" w:styleId="Style1Char" w:customStyle="1">
    <w:name w:val="Style1 Char"/>
    <w:link w:val="Style11"/>
    <w:qFormat/>
    <w:rsid w:val="0036341c"/>
    <w:rPr>
      <w:rFonts w:ascii="Times New Roman" w:hAnsi="Times New Roman" w:eastAsia="Times New Roman" w:cs="Times New Roman"/>
      <w:sz w:val="24"/>
      <w:szCs w:val="24"/>
      <w:lang w:val="lt-LT"/>
    </w:rPr>
  </w:style>
  <w:style w:type="character" w:styleId="FORITTablenameChar" w:customStyle="1">
    <w:name w:val="FORIT Table name Char"/>
    <w:basedOn w:val="DefaultParagraphFont"/>
    <w:link w:val="FORITTablename"/>
    <w:qFormat/>
    <w:rsid w:val="005537a4"/>
    <w:rPr>
      <w:rFonts w:ascii="Arial" w:hAnsi="Arial" w:eastAsia="Times New Roman" w:cs="Arial"/>
      <w:i/>
      <w:color w:themeColor="background2" w:themeShade="1a" w:val="171717"/>
      <w:szCs w:val="24"/>
      <w:lang w:val="lt-LT" w:eastAsia="lt-LT"/>
    </w:rPr>
  </w:style>
  <w:style w:type="character" w:styleId="FORITtekstasChar" w:customStyle="1">
    <w:name w:val="FORIT tekstas Char"/>
    <w:basedOn w:val="DefaultParagraphFont"/>
    <w:link w:val="FORITtekstas"/>
    <w:qFormat/>
    <w:rsid w:val="005537a4"/>
    <w:rPr>
      <w:rFonts w:ascii="Arial" w:hAnsi="Arial" w:eastAsia="Times New Roman" w:cs="Arial"/>
      <w:color w:themeColor="background2" w:themeShade="1a" w:val="171717"/>
      <w:sz w:val="24"/>
      <w:lang w:val="lt-LT" w:eastAsia="lt-LT"/>
    </w:rPr>
  </w:style>
  <w:style w:type="character" w:styleId="FORITbullets1Char" w:customStyle="1">
    <w:name w:val="FORIT bullets 1 Char"/>
    <w:basedOn w:val="DefaultParagraphFont"/>
    <w:link w:val="FORITbullets1"/>
    <w:qFormat/>
    <w:rsid w:val="005537a4"/>
    <w:rPr>
      <w:rFonts w:ascii="Arial" w:hAnsi="Arial" w:eastAsia="Times New Roman" w:cs="Arial"/>
      <w:color w:themeColor="background2" w:themeShade="1a" w:val="171717"/>
      <w:szCs w:val="20"/>
      <w:lang w:val="lt-LT" w:eastAsia="lt-LT"/>
    </w:rPr>
  </w:style>
  <w:style w:type="character" w:styleId="ListParagraphChar" w:customStyle="1">
    <w:name w:val="List Paragraph Char"/>
    <w:link w:val="ListParagraph"/>
    <w:uiPriority w:val="34"/>
    <w:qFormat/>
    <w:locked/>
    <w:rsid w:val="006a5e79"/>
    <w:rPr>
      <w:rFonts w:ascii="Times New Roman" w:hAnsi="Times New Roman" w:eastAsia="Calibri" w:cs="Times New Roman"/>
      <w:sz w:val="24"/>
      <w:lang w:val="lt-LT"/>
    </w:rPr>
  </w:style>
  <w:style w:type="character" w:styleId="Strong">
    <w:name w:val="Strong"/>
    <w:basedOn w:val="DefaultParagraphFont"/>
    <w:uiPriority w:val="22"/>
    <w:qFormat/>
    <w:rsid w:val="007b3129"/>
    <w:rPr>
      <w:b/>
      <w:bCs/>
    </w:rPr>
  </w:style>
  <w:style w:type="character" w:styleId="IndexLink" w:customStyle="1">
    <w:name w:val="Index Link"/>
    <w:qFormat/>
    <w:rPr/>
  </w:style>
  <w:style w:type="character" w:styleId="Linenumber1">
    <w:name w:val="line number1"/>
    <w:qFormat/>
    <w:rPr/>
  </w:style>
  <w:style w:type="character" w:styleId="LineNumber">
    <w:name w:val="Line Number"/>
    <w:rPr/>
  </w:style>
  <w:style w:type="paragraph" w:styleId="Heading" w:customStyle="1">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link w:val="BodyTextChar"/>
    <w:uiPriority w:val="99"/>
    <w:semiHidden/>
    <w:unhideWhenUsed/>
    <w:rsid w:val="00a64270"/>
    <w:pPr>
      <w:spacing w:before="0" w:after="12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customStyle="1">
    <w:name w:val="Index"/>
    <w:basedOn w:val="Normal"/>
    <w:qFormat/>
    <w:pPr>
      <w:suppressLineNumbers/>
    </w:pPr>
    <w:rPr>
      <w:rFonts w:cs="Arial"/>
    </w:rPr>
  </w:style>
  <w:style w:type="paragraph" w:styleId="Caption1">
    <w:name w:val="caption1"/>
    <w:basedOn w:val="Normal"/>
    <w:qFormat/>
    <w:pPr>
      <w:suppressLineNumbers/>
      <w:spacing w:before="120" w:after="120"/>
    </w:pPr>
    <w:rPr>
      <w:rFonts w:cs="Arial"/>
      <w:i/>
      <w:iCs/>
      <w:sz w:val="24"/>
      <w:szCs w:val="24"/>
    </w:rPr>
  </w:style>
  <w:style w:type="paragraph" w:styleId="Caption11" w:customStyle="1">
    <w:name w:val="caption11"/>
    <w:basedOn w:val="Normal"/>
    <w:qFormat/>
    <w:pPr>
      <w:suppressLineNumbers/>
      <w:spacing w:before="120" w:after="120"/>
    </w:pPr>
    <w:rPr>
      <w:rFonts w:cs="Arial"/>
      <w:i/>
      <w:iCs/>
      <w:sz w:val="24"/>
      <w:szCs w:val="24"/>
    </w:rPr>
  </w:style>
  <w:style w:type="paragraph" w:styleId="HeaderandFooter" w:customStyle="1">
    <w:name w:val="Header and Footer"/>
    <w:basedOn w:val="Normal"/>
    <w:qFormat/>
    <w:pPr/>
    <w:rPr/>
  </w:style>
  <w:style w:type="paragraph" w:styleId="Header">
    <w:name w:val="Header"/>
    <w:basedOn w:val="Normal"/>
    <w:link w:val="HeaderChar"/>
    <w:uiPriority w:val="99"/>
    <w:unhideWhenUsed/>
    <w:rsid w:val="00cd5fbe"/>
    <w:pPr>
      <w:tabs>
        <w:tab w:val="clear" w:pos="720"/>
        <w:tab w:val="center" w:pos="4819" w:leader="none"/>
        <w:tab w:val="right" w:pos="9638" w:leader="none"/>
      </w:tabs>
      <w:spacing w:lineRule="auto" w:line="240" w:before="0" w:after="0"/>
    </w:pPr>
    <w:rPr/>
  </w:style>
  <w:style w:type="paragraph" w:styleId="Footer">
    <w:name w:val="Footer"/>
    <w:basedOn w:val="Normal"/>
    <w:link w:val="FooterChar"/>
    <w:uiPriority w:val="99"/>
    <w:unhideWhenUsed/>
    <w:rsid w:val="00cd5fbe"/>
    <w:pPr>
      <w:tabs>
        <w:tab w:val="clear" w:pos="720"/>
        <w:tab w:val="center" w:pos="4819" w:leader="none"/>
        <w:tab w:val="right" w:pos="9638" w:leader="none"/>
      </w:tabs>
      <w:spacing w:lineRule="auto" w:line="240" w:before="0" w:after="0"/>
    </w:pPr>
    <w:rPr/>
  </w:style>
  <w:style w:type="paragraph" w:styleId="Headerarial" w:customStyle="1">
    <w:name w:val="Header_arial"/>
    <w:basedOn w:val="Normal"/>
    <w:link w:val="HeaderarialChar"/>
    <w:qFormat/>
    <w:rsid w:val="00cd5fbe"/>
    <w:pPr>
      <w:spacing w:lineRule="auto" w:line="240" w:before="0" w:after="60"/>
    </w:pPr>
    <w:rPr>
      <w:rFonts w:ascii="Arial" w:hAnsi="Arial" w:eastAsia="Times New Roman" w:cs="Arial"/>
      <w:color w:val="103C5E"/>
      <w:sz w:val="18"/>
    </w:rPr>
  </w:style>
  <w:style w:type="paragraph" w:styleId="ListParagraph">
    <w:name w:val="List Paragraph"/>
    <w:basedOn w:val="Normal"/>
    <w:link w:val="ListParagraphChar"/>
    <w:uiPriority w:val="34"/>
    <w:qFormat/>
    <w:rsid w:val="00e143c1"/>
    <w:pPr>
      <w:spacing w:lineRule="auto" w:line="276" w:before="0" w:after="200"/>
      <w:ind w:left="720"/>
      <w:textAlignment w:val="baseline"/>
    </w:pPr>
    <w:rPr>
      <w:rFonts w:ascii="Times New Roman" w:hAnsi="Times New Roman" w:eastAsia="Calibri" w:cs="Times New Roman"/>
      <w:sz w:val="24"/>
    </w:rPr>
  </w:style>
  <w:style w:type="paragraph" w:styleId="Lentelsvirsus" w:customStyle="1">
    <w:name w:val="Lentelės virsus"/>
    <w:basedOn w:val="Normal"/>
    <w:qFormat/>
    <w:rsid w:val="008e6504"/>
    <w:pPr>
      <w:spacing w:lineRule="auto" w:line="240" w:before="0" w:after="0"/>
      <w:jc w:val="center"/>
    </w:pPr>
    <w:rPr>
      <w:rFonts w:ascii="Times New Roman" w:hAnsi="Times New Roman" w:eastAsia="Calibri" w:cs="Times New Roman"/>
      <w:b/>
      <w:color w:themeColor="background1" w:val="FFFFFF"/>
    </w:rPr>
  </w:style>
  <w:style w:type="paragraph" w:styleId="Lentelsturinys" w:customStyle="1">
    <w:name w:val="Lentelės turinys"/>
    <w:basedOn w:val="Normal"/>
    <w:link w:val="LentelsturinysChar"/>
    <w:qFormat/>
    <w:rsid w:val="008e6504"/>
    <w:pPr>
      <w:spacing w:lineRule="auto" w:line="240" w:before="0" w:after="0"/>
    </w:pPr>
    <w:rPr>
      <w:rFonts w:ascii="Times New Roman" w:hAnsi="Times New Roman" w:eastAsia="Calibri" w:cs="Times New Roman"/>
    </w:rPr>
  </w:style>
  <w:style w:type="paragraph" w:styleId="TOC1">
    <w:name w:val="TOC 1"/>
    <w:basedOn w:val="Normal"/>
    <w:next w:val="Normal"/>
    <w:autoRedefine/>
    <w:uiPriority w:val="39"/>
    <w:unhideWhenUsed/>
    <w:rsid w:val="00576cdc"/>
    <w:pPr>
      <w:spacing w:before="0" w:after="100"/>
    </w:pPr>
    <w:rPr>
      <w:rFonts w:ascii="Times New Roman" w:hAnsi="Times New Roman"/>
      <w:sz w:val="24"/>
    </w:rPr>
  </w:style>
  <w:style w:type="paragraph" w:styleId="TOC2">
    <w:name w:val="TOC 2"/>
    <w:basedOn w:val="Normal"/>
    <w:next w:val="Normal"/>
    <w:autoRedefine/>
    <w:uiPriority w:val="39"/>
    <w:unhideWhenUsed/>
    <w:rsid w:val="00576cdc"/>
    <w:pPr>
      <w:spacing w:before="0" w:after="100"/>
      <w:ind w:left="220"/>
    </w:pPr>
    <w:rPr>
      <w:rFonts w:ascii="Times New Roman" w:hAnsi="Times New Roman"/>
      <w:sz w:val="24"/>
    </w:rPr>
  </w:style>
  <w:style w:type="paragraph" w:styleId="TOC3">
    <w:name w:val="TOC 3"/>
    <w:basedOn w:val="Normal"/>
    <w:next w:val="Normal"/>
    <w:autoRedefine/>
    <w:uiPriority w:val="39"/>
    <w:unhideWhenUsed/>
    <w:rsid w:val="00576cdc"/>
    <w:pPr>
      <w:spacing w:before="0" w:after="100"/>
      <w:ind w:left="440"/>
    </w:pPr>
    <w:rPr>
      <w:rFonts w:ascii="Times New Roman" w:hAnsi="Times New Roman"/>
      <w:sz w:val="24"/>
    </w:rPr>
  </w:style>
  <w:style w:type="paragraph" w:styleId="TOC4">
    <w:name w:val="TOC 4"/>
    <w:basedOn w:val="Normal"/>
    <w:next w:val="Normal"/>
    <w:autoRedefine/>
    <w:uiPriority w:val="39"/>
    <w:semiHidden/>
    <w:unhideWhenUsed/>
    <w:rsid w:val="00576cdc"/>
    <w:pPr>
      <w:spacing w:before="0" w:after="100"/>
      <w:ind w:left="660"/>
    </w:pPr>
    <w:rPr>
      <w:rFonts w:ascii="Times New Roman" w:hAnsi="Times New Roman"/>
      <w:sz w:val="24"/>
    </w:rPr>
  </w:style>
  <w:style w:type="paragraph" w:styleId="Lenpavadarial" w:customStyle="1">
    <w:name w:val="Len_pavad_arial"/>
    <w:basedOn w:val="Normal"/>
    <w:link w:val="LenpavadarialChar"/>
    <w:qFormat/>
    <w:rsid w:val="005f000d"/>
    <w:pPr>
      <w:keepNext w:val="true"/>
      <w:spacing w:lineRule="auto" w:line="276" w:before="0" w:after="0"/>
    </w:pPr>
    <w:rPr>
      <w:rFonts w:ascii="Times New Roman" w:hAnsi="Times New Roman" w:eastAsia="Times New Roman" w:cs="Times New Roman"/>
      <w:szCs w:val="20"/>
      <w:lang w:eastAsia="lt-LT"/>
    </w:rPr>
  </w:style>
  <w:style w:type="paragraph" w:styleId="Lentekstasarial" w:customStyle="1">
    <w:name w:val="Len_tekstas_arial"/>
    <w:basedOn w:val="Normal"/>
    <w:link w:val="LentekstasarialChar"/>
    <w:qFormat/>
    <w:rsid w:val="005f000d"/>
    <w:pPr>
      <w:spacing w:lineRule="auto" w:line="276" w:before="120" w:after="120"/>
      <w:jc w:val="both"/>
    </w:pPr>
    <w:rPr>
      <w:rFonts w:ascii="Arial" w:hAnsi="Arial" w:eastAsia="Calibri" w:cs="Arial"/>
      <w:color w:val="103C5E"/>
      <w:sz w:val="18"/>
      <w:szCs w:val="18"/>
    </w:rPr>
  </w:style>
  <w:style w:type="paragraph" w:styleId="LENBUL1arial" w:customStyle="1">
    <w:name w:val="LEN_BUL1_arial"/>
    <w:basedOn w:val="Lentekstasarial"/>
    <w:link w:val="LENBUL1arialChar"/>
    <w:qFormat/>
    <w:rsid w:val="00c30c65"/>
    <w:pPr>
      <w:numPr>
        <w:ilvl w:val="0"/>
        <w:numId w:val="3"/>
      </w:numPr>
      <w:tabs>
        <w:tab w:val="clear" w:pos="720"/>
        <w:tab w:val="left" w:pos="503" w:leader="none"/>
      </w:tabs>
      <w:spacing w:before="120" w:after="120"/>
      <w:contextualSpacing/>
    </w:pPr>
    <w:rPr>
      <w:rFonts w:ascii="Times New Roman" w:hAnsi="Times New Roman" w:cs="Times New Roman"/>
      <w:color w:val="auto"/>
      <w:sz w:val="24"/>
      <w:szCs w:val="24"/>
    </w:rPr>
  </w:style>
  <w:style w:type="paragraph" w:styleId="Lenheadarial" w:customStyle="1">
    <w:name w:val="Len_head_arial"/>
    <w:basedOn w:val="Normal"/>
    <w:link w:val="LenheadarialChar"/>
    <w:qFormat/>
    <w:rsid w:val="005f000d"/>
    <w:pPr>
      <w:spacing w:lineRule="auto" w:line="276" w:before="120" w:after="120"/>
    </w:pPr>
    <w:rPr>
      <w:rFonts w:ascii="Arial" w:hAnsi="Arial" w:eastAsia="Calibri" w:cs="Arial"/>
      <w:color w:themeColor="background1" w:val="FFFFFF"/>
      <w:sz w:val="18"/>
      <w:szCs w:val="20"/>
    </w:rPr>
  </w:style>
  <w:style w:type="paragraph" w:styleId="BalloonText">
    <w:name w:val="Balloon Text"/>
    <w:basedOn w:val="Normal"/>
    <w:link w:val="BalloonTextChar"/>
    <w:uiPriority w:val="99"/>
    <w:semiHidden/>
    <w:unhideWhenUsed/>
    <w:qFormat/>
    <w:rsid w:val="00005fa1"/>
    <w:pPr>
      <w:spacing w:lineRule="auto" w:line="240" w:before="0" w:after="0"/>
    </w:pPr>
    <w:rPr>
      <w:rFonts w:ascii="Segoe UI" w:hAnsi="Segoe UI" w:cs="Segoe UI"/>
      <w:sz w:val="18"/>
      <w:szCs w:val="18"/>
    </w:rPr>
  </w:style>
  <w:style w:type="paragraph" w:styleId="Pavpavadarial" w:customStyle="1">
    <w:name w:val="Pav_pavad_arial"/>
    <w:basedOn w:val="Normal"/>
    <w:next w:val="Normal"/>
    <w:link w:val="PavpavadarialChar"/>
    <w:qFormat/>
    <w:rsid w:val="008f0840"/>
    <w:pPr>
      <w:spacing w:lineRule="auto" w:line="240" w:before="0" w:after="240"/>
      <w:jc w:val="center"/>
    </w:pPr>
    <w:rPr>
      <w:rFonts w:ascii="Times New Roman" w:hAnsi="Times New Roman" w:eastAsia="Times New Roman" w:cs="Times New Roman"/>
      <w:szCs w:val="20"/>
      <w:lang w:eastAsia="lt-LT"/>
    </w:rPr>
  </w:style>
  <w:style w:type="paragraph" w:styleId="ALTextNormal" w:customStyle="1">
    <w:name w:val="AL Text Normal"/>
    <w:basedOn w:val="BodyText"/>
    <w:link w:val="ALTextNormalChar"/>
    <w:qFormat/>
    <w:rsid w:val="00a64270"/>
    <w:pPr>
      <w:spacing w:lineRule="auto" w:line="264"/>
      <w:jc w:val="both"/>
    </w:pPr>
    <w:rPr>
      <w:rFonts w:eastAsia="" w:eastAsiaTheme="minorEastAsia"/>
      <w:sz w:val="24"/>
      <w:lang w:eastAsia="zh-CN"/>
    </w:rPr>
  </w:style>
  <w:style w:type="paragraph" w:styleId="InLenttekstas" w:customStyle="1">
    <w:name w:val="In Lent tekstas"/>
    <w:basedOn w:val="Normal"/>
    <w:link w:val="InLenttekstasChar"/>
    <w:qFormat/>
    <w:rsid w:val="0001151d"/>
    <w:pPr>
      <w:spacing w:lineRule="auto" w:line="240" w:before="60" w:after="60"/>
      <w:jc w:val="both"/>
    </w:pPr>
    <w:rPr>
      <w:rFonts w:ascii="Arial" w:hAnsi="Arial" w:cs="Arial"/>
    </w:rPr>
  </w:style>
  <w:style w:type="paragraph" w:styleId="Inpaveikslo" w:customStyle="1">
    <w:name w:val="In paveikslo"/>
    <w:basedOn w:val="Normal"/>
    <w:next w:val="Normal"/>
    <w:link w:val="InpaveiksloChar"/>
    <w:qFormat/>
    <w:rsid w:val="001c22fb"/>
    <w:pPr>
      <w:spacing w:lineRule="auto" w:line="240" w:before="120" w:after="240"/>
      <w:jc w:val="center"/>
    </w:pPr>
    <w:rPr>
      <w:rFonts w:ascii="Arial" w:hAnsi="Arial" w:eastAsia="Times New Roman" w:cs="Arial"/>
      <w:sz w:val="20"/>
      <w:szCs w:val="20"/>
      <w:lang w:eastAsia="lt-LT"/>
    </w:rPr>
  </w:style>
  <w:style w:type="paragraph" w:styleId="Inlentpav" w:customStyle="1">
    <w:name w:val="In lent pav"/>
    <w:basedOn w:val="Normal"/>
    <w:link w:val="InlentpavChar"/>
    <w:qFormat/>
    <w:rsid w:val="001c22fb"/>
    <w:pPr>
      <w:keepNext w:val="true"/>
      <w:spacing w:lineRule="auto" w:line="276" w:before="0" w:after="0"/>
    </w:pPr>
    <w:rPr>
      <w:rFonts w:ascii="Arial" w:hAnsi="Arial" w:eastAsia="Times New Roman" w:cs="Arial"/>
      <w:szCs w:val="20"/>
      <w:lang w:eastAsia="lt-LT"/>
    </w:rPr>
  </w:style>
  <w:style w:type="paragraph" w:styleId="NoSpacing">
    <w:name w:val="No Spacing"/>
    <w:uiPriority w:val="1"/>
    <w:qFormat/>
    <w:rsid w:val="007f5ecc"/>
    <w:pPr>
      <w:widowControl/>
      <w:suppressAutoHyphens w:val="true"/>
      <w:bidi w:val="0"/>
      <w:spacing w:before="0" w:after="0"/>
      <w:ind w:firstLine="720"/>
      <w:jc w:val="both"/>
    </w:pPr>
    <w:rPr>
      <w:rFonts w:ascii="Times New Roman" w:hAnsi="Times New Roman" w:eastAsia="Calibri" w:cs="" w:cstheme="minorBidi" w:eastAsiaTheme="minorHAnsi"/>
      <w:color w:val="auto"/>
      <w:kern w:val="0"/>
      <w:sz w:val="24"/>
      <w:szCs w:val="22"/>
      <w:lang w:val="lt-LT" w:eastAsia="en-US" w:bidi="ar-SA"/>
    </w:rPr>
  </w:style>
  <w:style w:type="paragraph" w:styleId="Annotationtext">
    <w:name w:val="annotation text"/>
    <w:basedOn w:val="Normal"/>
    <w:link w:val="CommentTextChar"/>
    <w:uiPriority w:val="99"/>
    <w:unhideWhenUsed/>
    <w:qFormat/>
    <w:rsid w:val="003a7930"/>
    <w:pPr>
      <w:spacing w:lineRule="auto" w:line="240"/>
    </w:pPr>
    <w:rPr>
      <w:sz w:val="20"/>
      <w:szCs w:val="20"/>
    </w:rPr>
  </w:style>
  <w:style w:type="paragraph" w:styleId="Annotationsubject">
    <w:name w:val="annotation subject"/>
    <w:basedOn w:val="Annotationtext"/>
    <w:next w:val="Annotationtext"/>
    <w:link w:val="CommentSubjectChar"/>
    <w:uiPriority w:val="99"/>
    <w:semiHidden/>
    <w:unhideWhenUsed/>
    <w:qFormat/>
    <w:rsid w:val="003a7930"/>
    <w:pPr/>
    <w:rPr>
      <w:b/>
      <w:bCs/>
    </w:rPr>
  </w:style>
  <w:style w:type="paragraph" w:styleId="Revision">
    <w:name w:val="Revision"/>
    <w:uiPriority w:val="99"/>
    <w:semiHidden/>
    <w:qFormat/>
    <w:rsid w:val="003e53dd"/>
    <w:pPr>
      <w:widowControl/>
      <w:suppressAutoHyphens w:val="true"/>
      <w:bidi w:val="0"/>
      <w:spacing w:before="0" w:after="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paragraph" w:styleId="NormalWeb">
    <w:name w:val="Normal (Web)"/>
    <w:basedOn w:val="Normal"/>
    <w:uiPriority w:val="99"/>
    <w:semiHidden/>
    <w:unhideWhenUsed/>
    <w:qFormat/>
    <w:rsid w:val="00ec7b35"/>
    <w:pPr>
      <w:spacing w:lineRule="auto" w:line="240" w:beforeAutospacing="1" w:afterAutospacing="1"/>
    </w:pPr>
    <w:rPr>
      <w:rFonts w:ascii="Times New Roman" w:hAnsi="Times New Roman" w:eastAsia="Times New Roman" w:cs="Times New Roman"/>
      <w:sz w:val="24"/>
      <w:szCs w:val="24"/>
    </w:rPr>
  </w:style>
  <w:style w:type="paragraph" w:styleId="PlainText">
    <w:name w:val="Plain Text"/>
    <w:basedOn w:val="Normal"/>
    <w:link w:val="PlainTextChar"/>
    <w:uiPriority w:val="99"/>
    <w:semiHidden/>
    <w:unhideWhenUsed/>
    <w:qFormat/>
    <w:rsid w:val="00f90fa9"/>
    <w:pPr>
      <w:spacing w:lineRule="auto" w:line="240" w:before="0" w:after="0"/>
    </w:pPr>
    <w:rPr>
      <w:rFonts w:ascii="Calibri" w:hAnsi="Calibri"/>
      <w:szCs w:val="21"/>
    </w:rPr>
  </w:style>
  <w:style w:type="paragraph" w:styleId="Style11" w:customStyle="1">
    <w:name w:val="Style1"/>
    <w:basedOn w:val="Normal"/>
    <w:link w:val="Style1Char"/>
    <w:autoRedefine/>
    <w:qFormat/>
    <w:rsid w:val="0036341c"/>
    <w:pPr>
      <w:numPr>
        <w:ilvl w:val="1"/>
        <w:numId w:val="4"/>
      </w:numPr>
      <w:tabs>
        <w:tab w:val="clear" w:pos="720"/>
        <w:tab w:val="left" w:pos="1276" w:leader="none"/>
      </w:tabs>
      <w:spacing w:lineRule="auto" w:line="276" w:before="0" w:after="0"/>
      <w:jc w:val="both"/>
    </w:pPr>
    <w:rPr>
      <w:rFonts w:ascii="Times New Roman" w:hAnsi="Times New Roman" w:eastAsia="Times New Roman" w:cs="Times New Roman"/>
      <w:sz w:val="24"/>
      <w:szCs w:val="24"/>
    </w:rPr>
  </w:style>
  <w:style w:type="paragraph" w:styleId="Caption111" w:customStyle="1">
    <w:name w:val="caption111"/>
    <w:basedOn w:val="Normal"/>
    <w:next w:val="Normal"/>
    <w:uiPriority w:val="35"/>
    <w:unhideWhenUsed/>
    <w:qFormat/>
    <w:rsid w:val="009d16fe"/>
    <w:pPr>
      <w:spacing w:lineRule="auto" w:line="240" w:before="0" w:after="200"/>
    </w:pPr>
    <w:rPr>
      <w:i/>
      <w:iCs/>
      <w:color w:themeColor="text2" w:val="44546A"/>
      <w:sz w:val="18"/>
      <w:szCs w:val="18"/>
    </w:rPr>
  </w:style>
  <w:style w:type="paragraph" w:styleId="FORITTablename" w:customStyle="1">
    <w:name w:val="FORIT Table name"/>
    <w:basedOn w:val="Normal"/>
    <w:link w:val="FORITTablenameChar"/>
    <w:qFormat/>
    <w:rsid w:val="005537a4"/>
    <w:pPr>
      <w:keepNext w:val="true"/>
      <w:spacing w:lineRule="auto" w:line="276" w:before="0" w:after="0"/>
    </w:pPr>
    <w:rPr>
      <w:rFonts w:ascii="Arial" w:hAnsi="Arial" w:eastAsia="Times New Roman" w:cs="Arial"/>
      <w:i/>
      <w:color w:themeColor="background2" w:themeShade="1a" w:val="171717"/>
      <w:szCs w:val="24"/>
      <w:lang w:eastAsia="lt-LT"/>
    </w:rPr>
  </w:style>
  <w:style w:type="paragraph" w:styleId="FORITtekstas" w:customStyle="1">
    <w:name w:val="FORIT tekstas"/>
    <w:basedOn w:val="Normal"/>
    <w:link w:val="FORITtekstasChar"/>
    <w:qFormat/>
    <w:rsid w:val="005537a4"/>
    <w:pPr>
      <w:spacing w:lineRule="auto" w:line="276" w:before="120" w:after="120"/>
      <w:jc w:val="both"/>
    </w:pPr>
    <w:rPr>
      <w:rFonts w:ascii="Arial" w:hAnsi="Arial" w:eastAsia="Times New Roman" w:cs="Arial"/>
      <w:color w:themeColor="background2" w:themeShade="1a" w:val="171717"/>
      <w:sz w:val="24"/>
      <w:lang w:eastAsia="lt-LT"/>
    </w:rPr>
  </w:style>
  <w:style w:type="paragraph" w:styleId="FORITbullets1" w:customStyle="1">
    <w:name w:val="FORIT bullets 1"/>
    <w:basedOn w:val="Normal"/>
    <w:link w:val="FORITbullets1Char"/>
    <w:qFormat/>
    <w:rsid w:val="005537a4"/>
    <w:pPr>
      <w:numPr>
        <w:ilvl w:val="0"/>
        <w:numId w:val="5"/>
      </w:numPr>
      <w:spacing w:lineRule="auto" w:line="276" w:before="0" w:after="0"/>
      <w:contextualSpacing/>
      <w:jc w:val="both"/>
    </w:pPr>
    <w:rPr>
      <w:rFonts w:ascii="Arial" w:hAnsi="Arial" w:eastAsia="Times New Roman" w:cs="Arial"/>
      <w:color w:themeColor="background2" w:themeShade="1a" w:val="171717"/>
      <w:szCs w:val="20"/>
      <w:lang w:eastAsia="lt-LT"/>
    </w:rPr>
  </w:style>
  <w:style w:type="paragraph" w:styleId="TOC5">
    <w:name w:val="TOC 5"/>
    <w:basedOn w:val="Index"/>
    <w:pPr/>
    <w:rPr/>
  </w:style>
  <w:style w:type="paragraph" w:styleId="TOC6">
    <w:name w:val="TOC 6"/>
    <w:basedOn w:val="Index"/>
    <w:pPr/>
    <w:rPr/>
  </w:style>
  <w:style w:type="paragraph" w:styleId="TOC7">
    <w:name w:val="TOC 7"/>
    <w:basedOn w:val="Index"/>
    <w:pPr/>
    <w:rPr/>
  </w:style>
  <w:style w:type="paragraph" w:styleId="TOC8">
    <w:name w:val="TOC 8"/>
    <w:basedOn w:val="Index"/>
    <w:pPr/>
    <w:rPr/>
  </w:style>
  <w:style w:type="paragraph" w:styleId="TOC9">
    <w:name w:val="TOC 9"/>
    <w:basedOn w:val="Index"/>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8e6504"/>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NCTable1">
    <w:name w:val="NC Table1"/>
    <w:basedOn w:val="TableGrid"/>
    <w:rsid w:val="00ec4ba2"/>
    <w:pPr>
      <w:spacing w:before="60" w:after="60"/>
    </w:pPr>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blStylePr w:type="firstRow">
      <w:rPr>
        <w:b/>
      </w:rPr>
      <w:tblPr/>
      <w:tcPr>
        <w:tc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l2br w:val="nil"/>
          <w:tr2bl w:val="nil"/>
        </w:tcBorders>
        <w:shd w:val="clear" w:color="auto" w:fill="E0E0E0"/>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header" Target="header4.xml"/><Relationship Id="rId10" Type="http://schemas.openxmlformats.org/officeDocument/2006/relationships/header" Target="header5.xml"/><Relationship Id="rId11" Type="http://schemas.openxmlformats.org/officeDocument/2006/relationships/footer" Target="footer4.xml"/><Relationship Id="rId12" Type="http://schemas.openxmlformats.org/officeDocument/2006/relationships/footer" Target="footer5.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Relationship Id="rId17" Type="http://schemas.openxmlformats.org/officeDocument/2006/relationships/customXml" Target="../customXml/item1.xml"/><Relationship Id="rId18" Type="http://schemas.openxmlformats.org/officeDocument/2006/relationships/customXml" Target="../customXml/item2.xml"/><Relationship Id="rId19" Type="http://schemas.openxmlformats.org/officeDocument/2006/relationships/customXml" Target="../customXml/item3.xml"/><Relationship Id="rId20" Type="http://schemas.openxmlformats.org/officeDocument/2006/relationships/customXml" Target="../customXml/item4.xml"/><Relationship Id="rId21" Type="http://schemas.openxmlformats.org/officeDocument/2006/relationships/customXml" Target="../customXml/item5.xml"/><Relationship Id="rId22" Type="http://schemas.openxmlformats.org/officeDocument/2006/relationships/customXml" Target="../customXml/item6.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_rels/item5.xml.rels><?xml version="1.0" encoding="UTF-8"?>
<Relationships xmlns="http://schemas.openxmlformats.org/package/2006/relationships"><Relationship Id="rId1" Type="http://schemas.openxmlformats.org/officeDocument/2006/relationships/customXmlProps" Target="itemProps5.xml"/>
</Relationships>
</file>

<file path=customXml/_rels/item6.xml.rels><?xml version="1.0" encoding="UTF-8"?>
<Relationships xmlns="http://schemas.openxmlformats.org/package/2006/relationships"><Relationship Id="rId1" Type="http://schemas.openxmlformats.org/officeDocument/2006/relationships/customXmlProps" Target="itemProps6.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e94f363-d6aa-4582-9b41-5f0076f75b6c">
      <Terms xmlns="http://schemas.microsoft.com/office/infopath/2007/PartnerControls"/>
    </lcf76f155ced4ddcb4097134ff3c332f>
    <TaxCatchAll xmlns="b8d336a4-912e-416d-a3d9-4088160d054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Document" ma:contentTypeID="0x010100B31925F423DEA841AE970255190EBE08" ma:contentTypeVersion="12" ma:contentTypeDescription="Create a new document." ma:contentTypeScope="" ma:versionID="d9e3e398c363e101097a89ea9501d296">
  <xsd:schema xmlns:xsd="http://www.w3.org/2001/XMLSchema" xmlns:xs="http://www.w3.org/2001/XMLSchema" xmlns:p="http://schemas.microsoft.com/office/2006/metadata/properties" xmlns:ns2="9e94f363-d6aa-4582-9b41-5f0076f75b6c" xmlns:ns3="b8d336a4-912e-416d-a3d9-4088160d0540" targetNamespace="http://schemas.microsoft.com/office/2006/metadata/properties" ma:root="true" ma:fieldsID="ac34f98d5c650a994582eea63eb823c8" ns2:_="" ns3:_="">
    <xsd:import namespace="9e94f363-d6aa-4582-9b41-5f0076f75b6c"/>
    <xsd:import namespace="b8d336a4-912e-416d-a3d9-4088160d054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94f363-d6aa-4582-9b41-5f0076f75b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f2ecc8c-dc35-4303-b109-72ec286161d8"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d336a4-912e-416d-a3d9-4088160d054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09612c0-43ff-4792-bc77-adec614a40f6}" ma:internalName="TaxCatchAll" ma:showField="CatchAllData" ma:web="b8d336a4-912e-416d-a3d9-4088160d05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E994CD-5961-447F-B0CA-160CF4776E52}">
  <ds:schemaRefs>
    <ds:schemaRef ds:uri="http://schemas.microsoft.com/office/2006/metadata/properties"/>
    <ds:schemaRef ds:uri="http://schemas.microsoft.com/office/infopath/2007/PartnerControls"/>
    <ds:schemaRef ds:uri="9e94f363-d6aa-4582-9b41-5f0076f75b6c"/>
    <ds:schemaRef ds:uri="b8d336a4-912e-416d-a3d9-4088160d0540"/>
  </ds:schemaRefs>
</ds:datastoreItem>
</file>

<file path=customXml/itemProps2.xml><?xml version="1.0" encoding="utf-8"?>
<ds:datastoreItem xmlns:ds="http://schemas.openxmlformats.org/officeDocument/2006/customXml" ds:itemID="{EA669CDF-0A4B-40EC-BAB4-01B62F2C5CC6}">
  <ds:schemaRefs>
    <ds:schemaRef ds:uri="http://schemas.microsoft.com/sharepoint/v3/contenttype/forms"/>
  </ds:schemaRefs>
</ds:datastoreItem>
</file>

<file path=customXml/itemProps3.xml><?xml version="1.0" encoding="utf-8"?>
<ds:datastoreItem xmlns:ds="http://schemas.openxmlformats.org/officeDocument/2006/customXml" ds:itemID="{E0D990A5-09E4-4426-BD66-F030BDB484DF}">
  <ds:schemaRefs>
    <ds:schemaRef ds:uri="http://schemas.openxmlformats.org/officeDocument/2006/bibliography"/>
  </ds:schemaRefs>
</ds:datastoreItem>
</file>

<file path=customXml/itemProps4.xml><?xml version="1.0" encoding="utf-8"?>
<ds:datastoreItem xmlns:ds="http://schemas.openxmlformats.org/officeDocument/2006/customXml" ds:itemID="{93C0EC82-6887-4FE8-85A0-BE1AE637E40E}">
  <ds:schemaRefs>
    <ds:schemaRef ds:uri="http://schemas.openxmlformats.org/officeDocument/2006/bibliography"/>
  </ds:schemaRefs>
</ds:datastoreItem>
</file>

<file path=customXml/itemProps5.xml><?xml version="1.0" encoding="utf-8"?>
<ds:datastoreItem xmlns:ds="http://schemas.openxmlformats.org/officeDocument/2006/customXml" ds:itemID="{686589F3-AAEB-47E7-B71B-179F9BA3ECC0}">
  <ds:schemaRefs>
    <ds:schemaRef ds:uri="http://schemas.openxmlformats.org/officeDocument/2006/bibliography"/>
  </ds:schemaRefs>
</ds:datastoreItem>
</file>

<file path=customXml/itemProps6.xml><?xml version="1.0" encoding="utf-8"?>
<ds:datastoreItem xmlns:ds="http://schemas.openxmlformats.org/officeDocument/2006/customXml" ds:itemID="{C3159532-D61F-4E00-A945-B020E77929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94f363-d6aa-4582-9b41-5f0076f75b6c"/>
    <ds:schemaRef ds:uri="b8d336a4-912e-416d-a3d9-4088160d05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TotalTime>
  <Application>LibreOffice/7.6.4.1$Windows_X86_64 LibreOffice_project/e19e193f88cd6c0525a17fb7a176ed8e6a3e2aa1</Application>
  <AppVersion>15.0000</AppVersion>
  <Pages>23</Pages>
  <Words>6879</Words>
  <Characters>49887</Characters>
  <CharactersWithSpaces>56059</CharactersWithSpaces>
  <Paragraphs>482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2025-02-16T18:31:00Z</dcterms:created>
  <dc:creator>Gintarė Veitė</dc:creator>
  <dc:description/>
  <dc:language>en-US</dc:language>
  <cp:lastModifiedBy/>
  <dcterms:modified xsi:type="dcterms:W3CDTF">2025-06-19T12:10:08Z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0x010100B31925F423DEA841AE970255190EBE08</vt:lpwstr>
  </property>
  <property fmtid="{D5CDD505-2E9C-101B-9397-08002B2CF9AE}" pid="3" name="MediaServiceImageTags">
    <vt:lpwstr/>
  </property>
</Properties>
</file>