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3B9ECC44" w:rsidR="00A6552C" w:rsidRPr="004F7708" w:rsidRDefault="000814B3"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3605059A" w:rsidR="00A6552C" w:rsidRPr="004F7708" w:rsidRDefault="000814B3"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68B22BF5"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0814B3">
              <w:rPr>
                <w:rFonts w:ascii="Calibri Light" w:hAnsi="Calibri Light" w:cs="Calibri Light"/>
                <w:iCs/>
                <w:color w:val="000000" w:themeColor="text1"/>
                <w:sz w:val="24"/>
                <w:szCs w:val="24"/>
              </w:rPr>
              <w:t>5-06-</w:t>
            </w:r>
            <w:r w:rsidR="00907CC7">
              <w:rPr>
                <w:rFonts w:ascii="Calibri Light" w:hAnsi="Calibri Light" w:cs="Calibri Light"/>
                <w:iCs/>
                <w:color w:val="000000" w:themeColor="text1"/>
                <w:sz w:val="24"/>
                <w:szCs w:val="24"/>
              </w:rPr>
              <w:t>19</w:t>
            </w:r>
            <w:r w:rsidR="000814B3">
              <w:rPr>
                <w:rFonts w:ascii="Calibri Light" w:hAnsi="Calibri Light" w:cs="Calibri Light"/>
                <w:iCs/>
                <w:color w:val="000000" w:themeColor="text1"/>
                <w:sz w:val="24"/>
                <w:szCs w:val="24"/>
              </w:rPr>
              <w:t xml:space="preserve"> </w:t>
            </w:r>
            <w:r w:rsidR="00046FAF">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907CC7">
              <w:rPr>
                <w:rFonts w:ascii="Calibri Light" w:hAnsi="Calibri Light" w:cs="Calibri Light"/>
                <w:iCs/>
                <w:color w:val="000000" w:themeColor="text1"/>
                <w:sz w:val="24"/>
                <w:szCs w:val="24"/>
              </w:rPr>
              <w:t>25-35</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6DDB2810" w:rsidR="007F7C44" w:rsidRPr="00554686" w:rsidRDefault="00554686" w:rsidP="00A50901">
      <w:pPr>
        <w:jc w:val="center"/>
        <w:rPr>
          <w:rFonts w:ascii="Calibri Light" w:hAnsi="Calibri Light" w:cs="Calibri Light"/>
          <w:b/>
          <w:bCs/>
          <w:color w:val="000000"/>
          <w:sz w:val="24"/>
          <w:szCs w:val="24"/>
        </w:rPr>
      </w:pPr>
      <w:r w:rsidRPr="00554686">
        <w:rPr>
          <w:rFonts w:ascii="Calibri Light" w:hAnsi="Calibri Light" w:cs="Calibri Light"/>
          <w:b/>
          <w:bCs/>
          <w:sz w:val="24"/>
          <w:szCs w:val="24"/>
        </w:rPr>
        <w:t>LANGŲ IR BALKONO DURŲ KEITIMO DARBŲ PLASTIKO BLOKAIS</w:t>
      </w:r>
      <w:r w:rsidRPr="00554686">
        <w:rPr>
          <w:rFonts w:ascii="Calibri Light" w:hAnsi="Calibri Light" w:cs="Calibri Light"/>
          <w:b/>
          <w:bCs/>
          <w:color w:val="000000"/>
          <w:sz w:val="24"/>
          <w:szCs w:val="24"/>
        </w:rPr>
        <w:t xml:space="preserve"> PIRKIMO </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15389EFF" w:rsidR="00D8333A" w:rsidRPr="004F7708"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taisyklėmis, patvirtintomis 2023 m. sausio 12 d. įsakymu Nr. 1.23-23/4,</w:t>
      </w:r>
      <w:r w:rsidR="00D8333A" w:rsidRPr="004F7708">
        <w:rPr>
          <w:rFonts w:ascii="Calibri Light" w:hAnsi="Calibri Light" w:cs="Calibri Light"/>
          <w:sz w:val="24"/>
          <w:szCs w:val="24"/>
        </w:rPr>
        <w:t xml:space="preserve"> Lietuvos Respublikos civiliniu kodeksu ir kitais viešuosius pirkimus</w:t>
      </w:r>
      <w:r w:rsidR="00D8333A" w:rsidRPr="004F7708">
        <w:rPr>
          <w:rFonts w:ascii="Calibri Light" w:hAnsi="Calibri Light" w:cs="Calibri Light"/>
          <w:sz w:val="24"/>
          <w:szCs w:val="24"/>
          <w:lang w:eastAsia="lt-LT"/>
        </w:rPr>
        <w:t xml:space="preserve"> reglamentuojančiais teisės aktais bei šiomis skelbiamos apklausos sąlygomis (toliau – </w:t>
      </w:r>
      <w:r w:rsidR="006E2964" w:rsidRPr="004F7708">
        <w:rPr>
          <w:rFonts w:ascii="Calibri Light" w:hAnsi="Calibri Light" w:cs="Calibri Light"/>
          <w:sz w:val="24"/>
          <w:szCs w:val="24"/>
          <w:lang w:eastAsia="lt-LT"/>
        </w:rPr>
        <w:t>A</w:t>
      </w:r>
      <w:r w:rsidR="00D8333A" w:rsidRPr="004F7708">
        <w:rPr>
          <w:rFonts w:ascii="Calibri Light" w:hAnsi="Calibri Light" w:cs="Calibri Light"/>
          <w:sz w:val="24"/>
          <w:szCs w:val="24"/>
          <w:lang w:eastAsia="lt-LT"/>
        </w:rPr>
        <w:t>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534A5415"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Skelbimas apie pirkimą yra paskelbtas Centrinėje viešųjų pirkimų informacinėje sistemoje (toliau – CVP IS)</w:t>
      </w:r>
      <w:hyperlink r:id="rId8" w:history="1">
        <w:r w:rsidR="000814B3" w:rsidRPr="009873F2">
          <w:rPr>
            <w:rStyle w:val="Hyperlink"/>
            <w:rFonts w:ascii="Calibri Light" w:hAnsi="Calibri Light" w:cs="Calibri Light"/>
            <w:lang w:eastAsia="lt-LT"/>
          </w:rPr>
          <w:t>https://viesiejipirkimai.lt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1B4AAC29"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046FAF" w:rsidRPr="00046FAF">
        <w:rPr>
          <w:rFonts w:ascii="Calibri Light" w:hAnsi="Calibri Light" w:cs="Calibri Light"/>
          <w:b/>
          <w:i/>
          <w:color w:val="000000"/>
          <w:sz w:val="24"/>
          <w:szCs w:val="24"/>
        </w:rPr>
        <w:t>Techninių dokumentų koordinatorė</w:t>
      </w:r>
      <w:r w:rsidR="00046FAF">
        <w:rPr>
          <w:rFonts w:ascii="Calibri Light" w:hAnsi="Calibri Light" w:cs="Calibri Light"/>
          <w:b/>
          <w:i/>
          <w:color w:val="000000"/>
          <w:sz w:val="24"/>
          <w:szCs w:val="24"/>
        </w:rPr>
        <w:t xml:space="preserve"> Banga Armalytė, tel.: </w:t>
      </w:r>
      <w:r w:rsidR="00046FAF" w:rsidRPr="00046FAF">
        <w:rPr>
          <w:rFonts w:ascii="Calibri Light" w:hAnsi="Calibri Light" w:cs="Calibri Light"/>
          <w:b/>
          <w:i/>
          <w:color w:val="000000"/>
          <w:sz w:val="24"/>
          <w:szCs w:val="24"/>
        </w:rPr>
        <w:t>(+370) 608 43798</w:t>
      </w:r>
      <w:r w:rsidRPr="004F7708">
        <w:rPr>
          <w:rFonts w:ascii="Calibri Light" w:hAnsi="Calibri Light" w:cs="Calibri Light"/>
          <w:b/>
          <w:i/>
          <w:color w:val="000000"/>
          <w:sz w:val="24"/>
          <w:szCs w:val="24"/>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046FAF">
        <w:rPr>
          <w:rFonts w:ascii="Calibri Light" w:hAnsi="Calibri Light" w:cs="Calibri Light"/>
          <w:b/>
          <w:i/>
          <w:color w:val="000000"/>
          <w:sz w:val="24"/>
          <w:szCs w:val="24"/>
        </w:rPr>
        <w:t>ko</w:t>
      </w:r>
      <w:r w:rsidR="00EE4FBB">
        <w:rPr>
          <w:rFonts w:ascii="Calibri Light" w:hAnsi="Calibri Light" w:cs="Calibri Light"/>
          <w:b/>
          <w:i/>
          <w:color w:val="000000"/>
          <w:sz w:val="24"/>
          <w:szCs w:val="24"/>
        </w:rPr>
        <w:t>mandos lyderė Sigutė Gaidytė-Budreikienė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046FAF" w:rsidRPr="00046FAF">
        <w:rPr>
          <w:rFonts w:ascii="Calibri Light" w:hAnsi="Calibri Light" w:cs="Calibri Light"/>
          <w:b/>
          <w:i/>
          <w:color w:val="000000"/>
          <w:sz w:val="24"/>
          <w:szCs w:val="24"/>
        </w:rPr>
        <w:t>(+370) 6</w:t>
      </w:r>
      <w:r w:rsidR="00EE4FBB">
        <w:rPr>
          <w:rFonts w:ascii="Calibri Light" w:hAnsi="Calibri Light" w:cs="Calibri Light"/>
          <w:b/>
          <w:i/>
          <w:color w:val="000000"/>
          <w:sz w:val="24"/>
          <w:szCs w:val="24"/>
        </w:rPr>
        <w:t>16 39985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0FDF8634" w:rsidR="007C32AC" w:rsidRPr="00611960" w:rsidRDefault="008758DC" w:rsidP="00A10E4D">
      <w:pPr>
        <w:pStyle w:val="Header"/>
        <w:numPr>
          <w:ilvl w:val="0"/>
          <w:numId w:val="9"/>
        </w:numPr>
        <w:ind w:left="709" w:hanging="709"/>
        <w:jc w:val="both"/>
        <w:rPr>
          <w:rFonts w:ascii="Calibri Light" w:hAnsi="Calibri Light" w:cs="Calibri Light"/>
          <w:color w:val="000000"/>
        </w:rPr>
      </w:pPr>
      <w:r w:rsidRPr="00611960">
        <w:rPr>
          <w:rFonts w:ascii="Calibri Light" w:hAnsi="Calibri Light" w:cs="Calibri Light"/>
          <w:color w:val="000000"/>
        </w:rPr>
        <w:t>Perkančioji organizacija numato pirkti</w:t>
      </w:r>
      <w:r w:rsidR="00DC4340" w:rsidRPr="00611960">
        <w:rPr>
          <w:rFonts w:ascii="Calibri Light" w:hAnsi="Calibri Light" w:cs="Calibri Light"/>
          <w:color w:val="000000"/>
        </w:rPr>
        <w:t xml:space="preserve"> </w:t>
      </w:r>
      <w:r w:rsidR="00554686">
        <w:rPr>
          <w:rFonts w:ascii="Calibri Light" w:hAnsi="Calibri Light" w:cs="Calibri Light"/>
        </w:rPr>
        <w:t>l</w:t>
      </w:r>
      <w:r w:rsidR="00554686" w:rsidRPr="00AB7C0C">
        <w:rPr>
          <w:rFonts w:ascii="Calibri Light" w:hAnsi="Calibri Light" w:cs="Calibri Light"/>
        </w:rPr>
        <w:t>angų ir balkono durų keitim</w:t>
      </w:r>
      <w:r w:rsidR="00554686">
        <w:rPr>
          <w:rFonts w:ascii="Calibri Light" w:hAnsi="Calibri Light" w:cs="Calibri Light"/>
        </w:rPr>
        <w:t>o darbus</w:t>
      </w:r>
      <w:r w:rsidR="00611960" w:rsidRPr="00611960">
        <w:rPr>
          <w:rFonts w:ascii="Calibri Light" w:hAnsi="Calibri Light" w:cs="Calibri Light"/>
          <w:color w:val="000000"/>
          <w:shd w:val="clear" w:color="auto" w:fill="FFFFFF"/>
        </w:rPr>
        <w:t>.</w:t>
      </w:r>
      <w:r w:rsidR="007C32AC" w:rsidRPr="00611960">
        <w:rPr>
          <w:rFonts w:ascii="Calibri Light" w:hAnsi="Calibri Light" w:cs="Calibri Light"/>
          <w:color w:val="000000"/>
        </w:rPr>
        <w:t xml:space="preserve"> </w:t>
      </w:r>
      <w:r w:rsidR="00C05FE1" w:rsidRPr="00DA5540">
        <w:rPr>
          <w:rFonts w:ascii="Calibri Light" w:hAnsi="Calibri Light" w:cs="Calibri Light"/>
          <w:b/>
          <w:bCs/>
        </w:rPr>
        <w:t xml:space="preserve">Perkančiajai organizacijai nepriimtina pasiūlymo kaina </w:t>
      </w:r>
      <w:r w:rsidR="000814B3">
        <w:rPr>
          <w:rFonts w:ascii="Calibri Light" w:hAnsi="Calibri Light" w:cs="Calibri Light"/>
          <w:b/>
          <w:bCs/>
        </w:rPr>
        <w:t xml:space="preserve">(pasiūlymų palyginimui) </w:t>
      </w:r>
      <w:r w:rsidR="00C05FE1" w:rsidRPr="00DA5540">
        <w:rPr>
          <w:rFonts w:ascii="Calibri Light" w:hAnsi="Calibri Light" w:cs="Calibri Light"/>
          <w:b/>
          <w:bCs/>
        </w:rPr>
        <w:t>bus, jei ji viršys –  </w:t>
      </w:r>
      <w:r w:rsidR="000814B3">
        <w:rPr>
          <w:rFonts w:ascii="Calibri Light" w:hAnsi="Calibri Light" w:cs="Calibri Light"/>
          <w:b/>
          <w:bCs/>
        </w:rPr>
        <w:t>8</w:t>
      </w:r>
      <w:r w:rsidR="00554686">
        <w:rPr>
          <w:rFonts w:ascii="Calibri Light" w:hAnsi="Calibri Light" w:cs="Calibri Light"/>
          <w:b/>
          <w:bCs/>
        </w:rPr>
        <w:t> 000</w:t>
      </w:r>
      <w:r w:rsidR="00C05FE1" w:rsidRPr="00DA5540">
        <w:rPr>
          <w:rFonts w:ascii="Calibri Light" w:hAnsi="Calibri Light" w:cs="Calibri Light"/>
          <w:b/>
          <w:bCs/>
        </w:rPr>
        <w:t>,00</w:t>
      </w:r>
      <w:r w:rsidR="00C05FE1" w:rsidRPr="00DA5540">
        <w:rPr>
          <w:rFonts w:ascii="Calibri Light" w:hAnsi="Calibri Light" w:cs="Calibri Light"/>
          <w:b/>
          <w:bCs/>
          <w:iCs/>
        </w:rPr>
        <w:t xml:space="preserve"> </w:t>
      </w:r>
      <w:r w:rsidR="00C05FE1" w:rsidRPr="00DA5540">
        <w:rPr>
          <w:rFonts w:ascii="Calibri Light" w:hAnsi="Calibri Light" w:cs="Calibri Light"/>
          <w:b/>
          <w:bCs/>
        </w:rPr>
        <w:t>Eur su PVM</w:t>
      </w:r>
      <w:r w:rsidR="00C05FE1">
        <w:rPr>
          <w:rFonts w:ascii="Calibri Light" w:hAnsi="Calibri Light" w:cs="Calibri Light"/>
        </w:rPr>
        <w:t xml:space="preserve"> (</w:t>
      </w:r>
      <w:r w:rsidR="0021306B">
        <w:rPr>
          <w:rFonts w:ascii="Calibri Light" w:hAnsi="Calibri Light" w:cs="Calibri Light"/>
        </w:rPr>
        <w:t>aštuoni</w:t>
      </w:r>
      <w:r w:rsidR="00554686">
        <w:rPr>
          <w:rFonts w:ascii="Calibri Light" w:hAnsi="Calibri Light" w:cs="Calibri Light"/>
        </w:rPr>
        <w:t xml:space="preserve"> tūkstančiai</w:t>
      </w:r>
      <w:r w:rsidR="00C05FE1">
        <w:rPr>
          <w:rFonts w:ascii="Calibri Light" w:hAnsi="Calibri Light" w:cs="Calibri Light"/>
        </w:rPr>
        <w:t xml:space="preserve"> eurų ir nulis centų).</w:t>
      </w:r>
    </w:p>
    <w:p w14:paraId="6515E46E" w14:textId="17E6DAB3" w:rsidR="00077872" w:rsidRPr="004F7708" w:rsidRDefault="008758DC" w:rsidP="00830C82">
      <w:pPr>
        <w:pStyle w:val="ListParagraph"/>
        <w:numPr>
          <w:ilvl w:val="1"/>
          <w:numId w:val="10"/>
        </w:numPr>
        <w:ind w:left="709" w:hanging="709"/>
        <w:jc w:val="both"/>
        <w:rPr>
          <w:rFonts w:ascii="Calibri Light" w:hAnsi="Calibri Light" w:cs="Calibri Light"/>
          <w:sz w:val="24"/>
          <w:szCs w:val="24"/>
        </w:rPr>
      </w:pPr>
      <w:r w:rsidRPr="004F7708">
        <w:rPr>
          <w:rFonts w:ascii="Calibri Light" w:hAnsi="Calibri Light" w:cs="Calibri Light"/>
          <w:sz w:val="24"/>
          <w:szCs w:val="24"/>
        </w:rPr>
        <w:t>Darbų kiekis (apimtis) ir savybės nurodytos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Pr="004F7708">
        <w:rPr>
          <w:rFonts w:ascii="Calibri Light" w:hAnsi="Calibri Light" w:cs="Calibri Light"/>
          <w:sz w:val="24"/>
          <w:szCs w:val="24"/>
        </w:rPr>
        <w:t>e (1</w:t>
      </w:r>
      <w:r w:rsidR="00FD5969" w:rsidRPr="004F7708">
        <w:rPr>
          <w:rFonts w:ascii="Calibri Light" w:hAnsi="Calibri Light" w:cs="Calibri Light"/>
          <w:sz w:val="24"/>
          <w:szCs w:val="24"/>
        </w:rPr>
        <w:t xml:space="preserve"> </w:t>
      </w:r>
      <w:r w:rsidR="0019726C" w:rsidRPr="004F7708">
        <w:rPr>
          <w:rFonts w:ascii="Calibri Light" w:hAnsi="Calibri Light" w:cs="Calibri Light"/>
          <w:sz w:val="24"/>
          <w:szCs w:val="24"/>
        </w:rPr>
        <w:t>priede</w:t>
      </w:r>
      <w:r w:rsidRPr="004F7708">
        <w:rPr>
          <w:rFonts w:ascii="Calibri Light" w:hAnsi="Calibri Light" w:cs="Calibri Light"/>
          <w:sz w:val="24"/>
          <w:szCs w:val="24"/>
        </w:rPr>
        <w:t xml:space="preserve">). Darbų atlikimo terminai nurodyti </w:t>
      </w:r>
      <w:r w:rsidR="007C217B" w:rsidRPr="004F7708">
        <w:rPr>
          <w:rFonts w:ascii="Calibri Light" w:hAnsi="Calibri Light" w:cs="Calibri Light"/>
          <w:sz w:val="24"/>
          <w:szCs w:val="24"/>
        </w:rPr>
        <w:t>sutarties projekte</w:t>
      </w:r>
      <w:r w:rsidRPr="004F7708">
        <w:rPr>
          <w:rFonts w:ascii="Calibri Light" w:hAnsi="Calibri Light" w:cs="Calibri Light"/>
          <w:sz w:val="24"/>
          <w:szCs w:val="24"/>
        </w:rPr>
        <w:t xml:space="preserve"> </w:t>
      </w:r>
      <w:r w:rsidR="007C217B" w:rsidRPr="004F7708">
        <w:rPr>
          <w:rFonts w:ascii="Calibri Light" w:hAnsi="Calibri Light" w:cs="Calibri Light"/>
          <w:sz w:val="24"/>
          <w:szCs w:val="24"/>
        </w:rPr>
        <w:t>(2 priede)</w:t>
      </w:r>
      <w:r w:rsidRPr="004F7708">
        <w:rPr>
          <w:rFonts w:ascii="Calibri Light" w:hAnsi="Calibri Light" w:cs="Calibri Light"/>
          <w:sz w:val="24"/>
          <w:szCs w:val="24"/>
        </w:rPr>
        <w:t xml:space="preserve">. </w:t>
      </w:r>
      <w:r w:rsidR="0004203D" w:rsidRPr="004F7708">
        <w:rPr>
          <w:rFonts w:ascii="Calibri Light" w:hAnsi="Calibri Light" w:cs="Calibri Light"/>
          <w:sz w:val="24"/>
          <w:szCs w:val="24"/>
        </w:rPr>
        <w:t>Pagrindinis</w:t>
      </w:r>
      <w:r w:rsidR="00B00009" w:rsidRPr="004F7708">
        <w:rPr>
          <w:rFonts w:ascii="Calibri Light" w:hAnsi="Calibri Light" w:cs="Calibri Light"/>
          <w:sz w:val="24"/>
          <w:szCs w:val="24"/>
        </w:rPr>
        <w:t xml:space="preserve"> BVPŽ kodas </w:t>
      </w:r>
      <w:r w:rsidR="0019726C" w:rsidRPr="004F7708">
        <w:rPr>
          <w:rFonts w:ascii="Calibri Light" w:hAnsi="Calibri Light" w:cs="Calibri Light"/>
          <w:sz w:val="24"/>
          <w:szCs w:val="24"/>
        </w:rPr>
        <w:t>-</w:t>
      </w:r>
      <w:r w:rsidR="00B00009" w:rsidRPr="004F7708">
        <w:rPr>
          <w:rFonts w:ascii="Calibri Light" w:hAnsi="Calibri Light" w:cs="Calibri Light"/>
          <w:sz w:val="24"/>
          <w:szCs w:val="24"/>
        </w:rPr>
        <w:t xml:space="preserve"> </w:t>
      </w:r>
      <w:r w:rsidR="00554686" w:rsidRPr="00B243D1">
        <w:rPr>
          <w:rFonts w:ascii="Calibri Light" w:hAnsi="Calibri Light" w:cs="Calibri Light"/>
          <w:color w:val="000000"/>
          <w:sz w:val="24"/>
          <w:szCs w:val="24"/>
        </w:rPr>
        <w:t xml:space="preserve">45421100-5 – </w:t>
      </w:r>
      <w:r w:rsidR="00554686">
        <w:rPr>
          <w:rFonts w:ascii="Calibri Light" w:hAnsi="Calibri Light" w:cs="Calibri Light"/>
          <w:color w:val="000000"/>
          <w:sz w:val="24"/>
          <w:szCs w:val="24"/>
        </w:rPr>
        <w:t>d</w:t>
      </w:r>
      <w:r w:rsidR="00554686" w:rsidRPr="00B243D1">
        <w:rPr>
          <w:rFonts w:ascii="Calibri Light" w:hAnsi="Calibri Light" w:cs="Calibri Light"/>
          <w:color w:val="000000"/>
          <w:sz w:val="24"/>
          <w:szCs w:val="24"/>
        </w:rPr>
        <w:t>urų ir langų bei susijusių elementų montavimas</w:t>
      </w:r>
      <w:r w:rsidR="0004203D" w:rsidRPr="004F7708">
        <w:rPr>
          <w:rFonts w:ascii="Calibri Light" w:hAnsi="Calibri Light" w:cs="Calibri Light"/>
          <w:sz w:val="24"/>
          <w:szCs w:val="24"/>
        </w:rPr>
        <w:t>.</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6F0E3697" w14:textId="18125B82" w:rsidR="00B11C82" w:rsidRPr="00046FAF" w:rsidRDefault="00E94FDD" w:rsidP="00B11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4F7708">
        <w:rPr>
          <w:rFonts w:ascii="Calibri Light" w:hAnsi="Calibri Light" w:cs="Calibri Light"/>
          <w:bCs/>
          <w:color w:val="000000" w:themeColor="text1"/>
          <w:sz w:val="24"/>
          <w:szCs w:val="24"/>
          <w:lang w:eastAsia="lt-LT"/>
        </w:rPr>
        <w:t xml:space="preserve">Perkančioji organizacija nenustato tiekėjo pašalinimo pagrindų. </w:t>
      </w:r>
    </w:p>
    <w:p w14:paraId="09BAD658" w14:textId="77777777" w:rsidR="00D67996" w:rsidRPr="00046FAF" w:rsidRDefault="00D67996" w:rsidP="00D67996">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 xml:space="preserve">Kvalifikacijai įvertinti perkančioji organizacija vietoje patvirtinančių dokumentų prašo pateikti </w:t>
      </w:r>
      <w:r>
        <w:rPr>
          <w:rFonts w:ascii="Calibri Light" w:hAnsi="Calibri Light" w:cs="Calibri Light"/>
          <w:bCs/>
          <w:sz w:val="24"/>
          <w:szCs w:val="24"/>
          <w:lang w:eastAsia="lt-LT"/>
        </w:rPr>
        <w:t>k</w:t>
      </w:r>
      <w:r w:rsidRPr="004F7708">
        <w:rPr>
          <w:rFonts w:ascii="Calibri Light" w:hAnsi="Calibri Light" w:cs="Calibri Light"/>
          <w:bCs/>
          <w:sz w:val="24"/>
          <w:szCs w:val="24"/>
          <w:lang w:eastAsia="lt-LT"/>
        </w:rPr>
        <w:t xml:space="preserve">valifikacinių reikalavimų atitikties deklaraciją (4 priedą), </w:t>
      </w:r>
      <w:r w:rsidRPr="004F7708">
        <w:rPr>
          <w:rFonts w:ascii="Calibri Light" w:hAnsi="Calibri Light" w:cs="Calibri Light"/>
          <w:sz w:val="24"/>
          <w:szCs w:val="24"/>
        </w:rPr>
        <w:t xml:space="preserve">kuria būtų patvirtinama, kad dalyvis atitinka Apklausos sąlygose nustatytus kvalifikacinius </w:t>
      </w:r>
      <w:r w:rsidRPr="00E011E6">
        <w:rPr>
          <w:rFonts w:ascii="Calibri Light" w:hAnsi="Calibri Light" w:cs="Calibri Light"/>
          <w:sz w:val="24"/>
          <w:szCs w:val="24"/>
        </w:rPr>
        <w:t>reikalavimus (3.4 p.)</w:t>
      </w:r>
      <w:r w:rsidRPr="00E011E6">
        <w:rPr>
          <w:rFonts w:ascii="Calibri Light" w:hAnsi="Calibri Light" w:cs="Calibri Light"/>
          <w:bCs/>
          <w:sz w:val="24"/>
          <w:szCs w:val="24"/>
          <w:lang w:eastAsia="lt-LT"/>
        </w:rPr>
        <w:t>.</w:t>
      </w:r>
      <w:r w:rsidRPr="004F7708">
        <w:rPr>
          <w:rFonts w:ascii="Calibri Light" w:hAnsi="Calibri Light" w:cs="Calibri Light"/>
          <w:bCs/>
          <w:sz w:val="24"/>
          <w:szCs w:val="24"/>
          <w:lang w:eastAsia="lt-LT"/>
        </w:rPr>
        <w:t xml:space="preserve"> Perkančioji organizacija atitiktį kvalifikaciniams  reikalavimams patvirtinančių dokumentų reikalaus tik iš to dalyvio, kurio pasiūlymas pagal vertinimo rezultatus galės būti pripažintas laimėjusiu (iki pasiūlymų eilės nustatymo). </w:t>
      </w:r>
      <w:r w:rsidRPr="004F7708">
        <w:rPr>
          <w:rFonts w:ascii="Calibri Light" w:hAnsi="Calibri Light" w:cs="Calibri Light"/>
          <w:sz w:val="24"/>
          <w:szCs w:val="24"/>
        </w:rPr>
        <w:t xml:space="preserve">Šie dokumentai turės būti pateikti </w:t>
      </w:r>
      <w:r w:rsidRPr="004F7708">
        <w:rPr>
          <w:rFonts w:ascii="Calibri Light" w:hAnsi="Calibri Light" w:cs="Calibri Light"/>
          <w:b/>
          <w:sz w:val="24"/>
          <w:szCs w:val="24"/>
        </w:rPr>
        <w:t>per 3 (tris) darbo dienas</w:t>
      </w:r>
      <w:r w:rsidRPr="004F7708">
        <w:rPr>
          <w:rFonts w:ascii="Calibri Light" w:hAnsi="Calibri Light" w:cs="Calibri Light"/>
          <w:sz w:val="24"/>
          <w:szCs w:val="24"/>
        </w:rPr>
        <w:t xml:space="preserve"> nuo perkančiosios organizacijos atskiro pranešimo, pateikto CVP IS susirašinėjimo priemonėmis, išsiuntimo dienos (tiekėjas CVP IS susirašinėjimo priemonėmis </w:t>
      </w:r>
      <w:r w:rsidRPr="004F7708">
        <w:rPr>
          <w:rFonts w:ascii="Calibri Light" w:hAnsi="Calibri Light" w:cs="Calibri Light"/>
          <w:iCs/>
          <w:sz w:val="24"/>
          <w:szCs w:val="24"/>
        </w:rPr>
        <w:t>turės pateikti prašomų dokumentų skaitmenines kopijas elektroninėje formoje.</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Perkančioji organizacija pasilieka teisę paprašyti pateiktų skaitmeninių dokumentų kopijų originalų). </w:t>
      </w:r>
      <w:r w:rsidRPr="004F7708">
        <w:rPr>
          <w:rFonts w:ascii="Calibri Light" w:hAnsi="Calibri Light" w:cs="Calibri Light"/>
          <w:b/>
          <w:bCs/>
          <w:sz w:val="24"/>
          <w:szCs w:val="24"/>
        </w:rPr>
        <w:t xml:space="preserve">Kiekvienas subjektas, kurio </w:t>
      </w:r>
      <w:r w:rsidRPr="00046FAF">
        <w:rPr>
          <w:rFonts w:ascii="Calibri Light" w:hAnsi="Calibri Light" w:cs="Calibri Light"/>
          <w:b/>
          <w:bCs/>
          <w:sz w:val="24"/>
          <w:szCs w:val="24"/>
        </w:rPr>
        <w:t xml:space="preserve">pajėgumais tiekėjas remiasi, užpildo ir pasirašo atskirą Kvalifikacinių reikalavimų atitikties deklaraciją. </w:t>
      </w:r>
      <w:r w:rsidRPr="00046FAF">
        <w:rPr>
          <w:rFonts w:ascii="Calibri Light" w:hAnsi="Calibri Light" w:cs="Calibri Light"/>
          <w:sz w:val="24"/>
          <w:szCs w:val="24"/>
          <w:lang w:eastAsia="lt-LT"/>
        </w:rPr>
        <w:t>P</w:t>
      </w:r>
      <w:r w:rsidRPr="00046FAF">
        <w:rPr>
          <w:rFonts w:ascii="Calibri Light" w:hAnsi="Calibri Light" w:cs="Calibri Light"/>
          <w:sz w:val="24"/>
          <w:szCs w:val="24"/>
        </w:rPr>
        <w:t>ageidautina, kad ant kiekvieno dokumento būtų nurodyta, kokį kvalifikacinį punktą jis atitinka (šis reikalavimas tiekėjų pasiūlymų vertinimui įtakos neturi, jis skirtas perkančiajai organizacijai nustatyti, kokiam kvalifikaciniam reikalavimui patvirtinti pateiktas dokumentas).</w:t>
      </w:r>
    </w:p>
    <w:p w14:paraId="7BE89B16" w14:textId="52F6A47A"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Tiekėjų kvalifikacija turi būti įgyta iki pasiūlymo pateikimo termino</w:t>
      </w:r>
      <w:r w:rsidR="00554686">
        <w:rPr>
          <w:rFonts w:ascii="Calibri Light" w:hAnsi="Calibri Light" w:cs="Calibri Light"/>
          <w:sz w:val="24"/>
          <w:szCs w:val="24"/>
        </w:rPr>
        <w:t xml:space="preserve"> (jei reikalaujama)</w:t>
      </w:r>
      <w:r w:rsidRPr="004F7708">
        <w:rPr>
          <w:rFonts w:ascii="Calibri Light" w:hAnsi="Calibri Light" w:cs="Calibri Light"/>
          <w:sz w:val="24"/>
          <w:szCs w:val="24"/>
        </w:rPr>
        <w:t xml:space="preserve">.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986"/>
        <w:gridCol w:w="3437"/>
        <w:gridCol w:w="2504"/>
      </w:tblGrid>
      <w:tr w:rsidR="009F5C32" w:rsidRPr="004F7708" w14:paraId="5649C908" w14:textId="2AEA099D" w:rsidTr="009F5C32">
        <w:tc>
          <w:tcPr>
            <w:tcW w:w="701" w:type="dxa"/>
            <w:vAlign w:val="center"/>
          </w:tcPr>
          <w:p w14:paraId="54EE4CF0" w14:textId="3549D26E" w:rsidR="009F5C32" w:rsidRPr="004F7708" w:rsidRDefault="009F5C32"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 Nr.</w:t>
            </w:r>
          </w:p>
        </w:tc>
        <w:tc>
          <w:tcPr>
            <w:tcW w:w="2986" w:type="dxa"/>
            <w:vAlign w:val="center"/>
          </w:tcPr>
          <w:p w14:paraId="550A762B" w14:textId="2CAFE487" w:rsidR="009F5C32" w:rsidRPr="004F7708" w:rsidRDefault="009F5C32"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3437" w:type="dxa"/>
            <w:vAlign w:val="center"/>
          </w:tcPr>
          <w:p w14:paraId="0D642771" w14:textId="77777777" w:rsidR="009F5C32" w:rsidRPr="004F7708" w:rsidRDefault="009F5C32"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c>
          <w:tcPr>
            <w:tcW w:w="2504" w:type="dxa"/>
          </w:tcPr>
          <w:p w14:paraId="6F7F9084" w14:textId="2069AB22" w:rsidR="009F5C32" w:rsidRPr="004F7708" w:rsidRDefault="009F5C32" w:rsidP="002A4DD1">
            <w:pPr>
              <w:jc w:val="center"/>
              <w:rPr>
                <w:rFonts w:ascii="Calibri Light" w:hAnsi="Calibri Light" w:cs="Calibri Light"/>
                <w:b/>
                <w:bCs/>
                <w:sz w:val="24"/>
                <w:szCs w:val="24"/>
              </w:rPr>
            </w:pPr>
            <w:r w:rsidRPr="00347893">
              <w:rPr>
                <w:rFonts w:ascii="Calibri Light" w:hAnsi="Calibri Light" w:cs="Calibri Light"/>
                <w:b/>
                <w:sz w:val="24"/>
                <w:szCs w:val="24"/>
              </w:rPr>
              <w:t>Subjektas, kuris turi atitikti reikalavimą</w:t>
            </w:r>
          </w:p>
        </w:tc>
      </w:tr>
      <w:tr w:rsidR="009F5C32" w:rsidRPr="004F7708" w14:paraId="6861BE35" w14:textId="0BD818E9" w:rsidTr="00C61486">
        <w:tc>
          <w:tcPr>
            <w:tcW w:w="9628" w:type="dxa"/>
            <w:gridSpan w:val="4"/>
          </w:tcPr>
          <w:p w14:paraId="7C4046FB" w14:textId="021241BF" w:rsidR="009F5C32" w:rsidRPr="004F7708" w:rsidRDefault="009F5C32" w:rsidP="002A4DD1">
            <w:pPr>
              <w:suppressAutoHyphens/>
              <w:jc w:val="center"/>
              <w:rPr>
                <w:rFonts w:ascii="Calibri Light" w:hAnsi="Calibri Light" w:cs="Calibri Light"/>
                <w:b/>
                <w:bCs/>
                <w:sz w:val="24"/>
                <w:szCs w:val="24"/>
              </w:rPr>
            </w:pPr>
            <w:r w:rsidRPr="004F7708">
              <w:rPr>
                <w:rFonts w:ascii="Calibri Light" w:hAnsi="Calibri Light" w:cs="Calibri Light"/>
                <w:b/>
                <w:bCs/>
                <w:sz w:val="24"/>
                <w:szCs w:val="24"/>
              </w:rPr>
              <w:t>Techninis pajėgumas</w:t>
            </w:r>
          </w:p>
        </w:tc>
      </w:tr>
      <w:tr w:rsidR="009F5C32" w:rsidRPr="004F7708" w14:paraId="16A8643B" w14:textId="48F00F0F" w:rsidTr="009F5C32">
        <w:tc>
          <w:tcPr>
            <w:tcW w:w="701" w:type="dxa"/>
          </w:tcPr>
          <w:p w14:paraId="08CAF8E2" w14:textId="6FB714CD" w:rsidR="009F5C32" w:rsidRPr="004F7708" w:rsidRDefault="009F5C32" w:rsidP="0019726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3.4.1</w:t>
            </w:r>
          </w:p>
        </w:tc>
        <w:tc>
          <w:tcPr>
            <w:tcW w:w="2986" w:type="dxa"/>
            <w:shd w:val="clear" w:color="auto" w:fill="auto"/>
          </w:tcPr>
          <w:p w14:paraId="6DBAB2B7" w14:textId="32CC18F2" w:rsidR="009F5C32" w:rsidRPr="004F7708" w:rsidRDefault="009F5C32" w:rsidP="0019726C">
            <w:pPr>
              <w:suppressAutoHyphens/>
              <w:jc w:val="both"/>
              <w:rPr>
                <w:rFonts w:ascii="Calibri Light" w:hAnsi="Calibri Light" w:cs="Calibri Light"/>
                <w:sz w:val="24"/>
                <w:szCs w:val="24"/>
              </w:rPr>
            </w:pPr>
            <w:r w:rsidRPr="004F7708">
              <w:rPr>
                <w:rFonts w:ascii="Calibri Light" w:hAnsi="Calibri Light" w:cs="Calibri Light"/>
                <w:sz w:val="24"/>
                <w:szCs w:val="24"/>
              </w:rPr>
              <w:t xml:space="preserve">Tiekėjas, </w:t>
            </w:r>
            <w:r w:rsidRPr="00B243D1">
              <w:rPr>
                <w:rFonts w:ascii="Calibri Light" w:hAnsi="Calibri Light" w:cs="Calibri Light"/>
                <w:iCs/>
                <w:color w:val="000000" w:themeColor="text1"/>
                <w:spacing w:val="2"/>
                <w:sz w:val="24"/>
                <w:szCs w:val="24"/>
              </w:rPr>
              <w:t xml:space="preserve">5 metus arba per laiką nuo tiekėjo įregistravimo dienos (jei tiekėjas vykdo veiklą mažiau </w:t>
            </w:r>
            <w:r w:rsidRPr="00B243D1">
              <w:rPr>
                <w:rFonts w:ascii="Calibri Light" w:hAnsi="Calibri Light" w:cs="Calibri Light"/>
                <w:iCs/>
                <w:color w:val="000000" w:themeColor="text1"/>
                <w:spacing w:val="2"/>
                <w:sz w:val="24"/>
                <w:szCs w:val="24"/>
              </w:rPr>
              <w:lastRenderedPageBreak/>
              <w:t>nei 5 metus) turi būti įvykdęs arba vykdo bent vieną ar daugiau </w:t>
            </w:r>
            <w:r w:rsidRPr="00B243D1">
              <w:rPr>
                <w:rFonts w:ascii="Calibri Light" w:hAnsi="Calibri Light" w:cs="Calibri Light"/>
                <w:color w:val="000000" w:themeColor="text1"/>
                <w:sz w:val="24"/>
                <w:szCs w:val="24"/>
              </w:rPr>
              <w:t>langų ir/</w:t>
            </w:r>
            <w:r>
              <w:rPr>
                <w:rFonts w:ascii="Calibri Light" w:hAnsi="Calibri Light" w:cs="Calibri Light"/>
                <w:color w:val="000000" w:themeColor="text1"/>
                <w:sz w:val="24"/>
                <w:szCs w:val="24"/>
              </w:rPr>
              <w:t xml:space="preserve"> </w:t>
            </w:r>
            <w:r w:rsidRPr="00B243D1">
              <w:rPr>
                <w:rFonts w:ascii="Calibri Light" w:hAnsi="Calibri Light" w:cs="Calibri Light"/>
                <w:color w:val="000000" w:themeColor="text1"/>
                <w:sz w:val="24"/>
                <w:szCs w:val="24"/>
              </w:rPr>
              <w:t xml:space="preserve">ar balkono durų keitimo rangos sutartį </w:t>
            </w:r>
            <w:r w:rsidRPr="00B243D1">
              <w:rPr>
                <w:rFonts w:ascii="Calibri Light" w:hAnsi="Calibri Light" w:cs="Calibri Light"/>
                <w:iCs/>
                <w:color w:val="000000" w:themeColor="text1"/>
                <w:spacing w:val="2"/>
                <w:sz w:val="24"/>
                <w:szCs w:val="24"/>
              </w:rPr>
              <w:t xml:space="preserve">(-is), kurių bendra vertė ne mažesnė kaip </w:t>
            </w:r>
            <w:r>
              <w:rPr>
                <w:rFonts w:ascii="Calibri Light" w:hAnsi="Calibri Light" w:cs="Calibri Light"/>
                <w:iCs/>
                <w:color w:val="000000" w:themeColor="text1"/>
                <w:spacing w:val="2"/>
                <w:sz w:val="24"/>
                <w:szCs w:val="24"/>
              </w:rPr>
              <w:t xml:space="preserve">40 </w:t>
            </w:r>
            <w:r w:rsidRPr="00B243D1">
              <w:rPr>
                <w:rFonts w:ascii="Calibri Light" w:hAnsi="Calibri Light" w:cs="Calibri Light"/>
                <w:iCs/>
                <w:color w:val="000000" w:themeColor="text1"/>
                <w:spacing w:val="2"/>
                <w:sz w:val="24"/>
                <w:szCs w:val="24"/>
              </w:rPr>
              <w:t xml:space="preserve">000,00 Eur be PVM. Jei tiekėjas teikia informaciją apie vykdomą (-as) sutartį (-is), laikoma, kad jo patirtis atitinka keliamą reikalavimą, jei vykdomos (-ų) sutarties (-ių) įvykdyta dalis per pastaruosius 5 metus arba per laiką nuo tiekėjo įregistravimo dienos (jei tiekėjas vykdo veiklą mažiau nei 5 metus) yra ne mažesnė nei </w:t>
            </w:r>
            <w:r>
              <w:rPr>
                <w:rFonts w:ascii="Calibri Light" w:hAnsi="Calibri Light" w:cs="Calibri Light"/>
                <w:iCs/>
                <w:color w:val="000000" w:themeColor="text1"/>
                <w:spacing w:val="2"/>
                <w:sz w:val="24"/>
                <w:szCs w:val="24"/>
              </w:rPr>
              <w:t xml:space="preserve">40 </w:t>
            </w:r>
            <w:r w:rsidRPr="00B243D1">
              <w:rPr>
                <w:rFonts w:ascii="Calibri Light" w:hAnsi="Calibri Light" w:cs="Calibri Light"/>
                <w:iCs/>
                <w:color w:val="000000" w:themeColor="text1"/>
                <w:spacing w:val="2"/>
                <w:sz w:val="24"/>
                <w:szCs w:val="24"/>
              </w:rPr>
              <w:t>000,00 Eur be PVM</w:t>
            </w:r>
            <w:r w:rsidRPr="004F7708">
              <w:rPr>
                <w:rFonts w:ascii="Calibri Light" w:hAnsi="Calibri Light" w:cs="Calibri Light"/>
                <w:sz w:val="24"/>
                <w:szCs w:val="24"/>
                <w:lang w:eastAsia="lt-LT"/>
              </w:rPr>
              <w:t>.</w:t>
            </w:r>
            <w:r w:rsidRPr="004F7708">
              <w:rPr>
                <w:rFonts w:ascii="Calibri Light" w:hAnsi="Calibri Light" w:cs="Calibri Light"/>
                <w:i/>
                <w:sz w:val="24"/>
                <w:szCs w:val="24"/>
                <w:highlight w:val="yellow"/>
                <w:lang w:eastAsia="lt-LT"/>
              </w:rPr>
              <w:t xml:space="preserve"> </w:t>
            </w:r>
          </w:p>
        </w:tc>
        <w:tc>
          <w:tcPr>
            <w:tcW w:w="3437" w:type="dxa"/>
            <w:shd w:val="clear" w:color="auto" w:fill="auto"/>
          </w:tcPr>
          <w:p w14:paraId="5A949F7B" w14:textId="0A65FA6C" w:rsidR="009F5C32" w:rsidRPr="004F7708" w:rsidRDefault="009F5C32" w:rsidP="0019726C">
            <w:pPr>
              <w:jc w:val="both"/>
              <w:rPr>
                <w:rFonts w:ascii="Calibri Light" w:hAnsi="Calibri Light" w:cs="Calibri Light"/>
                <w:sz w:val="24"/>
                <w:szCs w:val="24"/>
              </w:rPr>
            </w:pPr>
            <w:r w:rsidRPr="004F7708">
              <w:rPr>
                <w:rFonts w:ascii="Calibri Light" w:hAnsi="Calibri Light" w:cs="Calibri Light"/>
                <w:sz w:val="24"/>
                <w:szCs w:val="24"/>
                <w:lang w:eastAsia="lt-LT"/>
              </w:rPr>
              <w:lastRenderedPageBreak/>
              <w:t>Pateikiami dokumentai:</w:t>
            </w:r>
          </w:p>
          <w:p w14:paraId="43906CBD" w14:textId="392CADBF" w:rsidR="009F5C32" w:rsidRPr="004F7708" w:rsidRDefault="009F5C32"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per paskutinius 5 metus atliktų</w:t>
            </w:r>
            <w:r>
              <w:rPr>
                <w:rFonts w:ascii="Calibri Light" w:hAnsi="Calibri Light" w:cs="Calibri Light"/>
                <w:sz w:val="24"/>
                <w:szCs w:val="24"/>
                <w:lang w:eastAsia="lt-LT"/>
              </w:rPr>
              <w:t xml:space="preserve"> (ar vykdomų)</w:t>
            </w:r>
            <w:r w:rsidRPr="004F7708">
              <w:rPr>
                <w:rFonts w:ascii="Calibri Light" w:hAnsi="Calibri Light" w:cs="Calibri Light"/>
                <w:sz w:val="24"/>
                <w:szCs w:val="24"/>
                <w:lang w:eastAsia="lt-LT"/>
              </w:rPr>
              <w:t xml:space="preserve"> darbų sąrašas </w:t>
            </w:r>
            <w:r w:rsidRPr="004F7708">
              <w:rPr>
                <w:rFonts w:ascii="Calibri Light" w:hAnsi="Calibri Light" w:cs="Calibri Light"/>
                <w:sz w:val="24"/>
                <w:szCs w:val="24"/>
              </w:rPr>
              <w:t xml:space="preserve">(5 priedas) </w:t>
            </w:r>
            <w:r w:rsidRPr="004F7708">
              <w:rPr>
                <w:rFonts w:ascii="Calibri Light" w:hAnsi="Calibri Light" w:cs="Calibri Light"/>
                <w:sz w:val="24"/>
                <w:szCs w:val="24"/>
                <w:lang w:eastAsia="lt-LT"/>
              </w:rPr>
              <w:t xml:space="preserve">kartu su užsakovų (tiek </w:t>
            </w:r>
            <w:r w:rsidRPr="004F7708">
              <w:rPr>
                <w:rFonts w:ascii="Calibri Light" w:hAnsi="Calibri Light" w:cs="Calibri Light"/>
                <w:sz w:val="24"/>
                <w:szCs w:val="24"/>
                <w:lang w:eastAsia="lt-LT"/>
              </w:rPr>
              <w:lastRenderedPageBreak/>
              <w:t>viešųjų, tiek privačiųjų) pažymomis arba/</w:t>
            </w:r>
            <w:r w:rsidR="00B11C82">
              <w:rPr>
                <w:rFonts w:ascii="Calibri Light" w:hAnsi="Calibri Light" w:cs="Calibri Light"/>
                <w:sz w:val="24"/>
                <w:szCs w:val="24"/>
                <w:lang w:eastAsia="lt-LT"/>
              </w:rPr>
              <w:t xml:space="preserve"> </w:t>
            </w:r>
            <w:r w:rsidRPr="004F7708">
              <w:rPr>
                <w:rFonts w:ascii="Calibri Light" w:hAnsi="Calibri Light" w:cs="Calibri Light"/>
                <w:sz w:val="24"/>
                <w:szCs w:val="24"/>
              </w:rPr>
              <w:t xml:space="preserve">ir, </w:t>
            </w:r>
            <w:r w:rsidRPr="004F7708">
              <w:rPr>
                <w:rFonts w:ascii="Calibri Light" w:eastAsia="Calibri" w:hAnsi="Calibri Light" w:cs="Calibri Light"/>
                <w:sz w:val="24"/>
                <w:szCs w:val="24"/>
              </w:rPr>
              <w:t xml:space="preserve">jei turi, </w:t>
            </w:r>
            <w:r w:rsidRPr="004F7708">
              <w:rPr>
                <w:rFonts w:ascii="Calibri Light" w:hAnsi="Calibri Light" w:cs="Calibri Light"/>
                <w:sz w:val="24"/>
                <w:szCs w:val="24"/>
              </w:rPr>
              <w:t xml:space="preserve">antspaudu patvirtinti darbų priėmimo-perdavimo aktai, jei juose yra visa reikalaujama pateikti informacija </w:t>
            </w:r>
            <w:r w:rsidRPr="004F7708">
              <w:rPr>
                <w:rFonts w:ascii="Calibri Light" w:hAnsi="Calibri Light" w:cs="Calibri Light"/>
                <w:sz w:val="24"/>
                <w:szCs w:val="24"/>
                <w:lang w:eastAsia="lt-LT"/>
              </w:rPr>
              <w:t xml:space="preserve">apie tai, kad svarbiausių darbų atlikimas ir galutiniai rezultatai buvo tinkami. Pažymose arba darbų priėmimo – perdavimo aktuose turi būti nurodyta darbų atlikimo vertė </w:t>
            </w:r>
            <w:r w:rsidRPr="004F7708">
              <w:rPr>
                <w:rFonts w:ascii="Calibri Light" w:hAnsi="Calibri Light" w:cs="Calibri Light"/>
                <w:sz w:val="24"/>
                <w:szCs w:val="24"/>
              </w:rPr>
              <w:t>be PVM (ir/ ar su PVM)</w:t>
            </w:r>
            <w:r w:rsidRPr="004F7708">
              <w:rPr>
                <w:rFonts w:ascii="Calibri Light" w:hAnsi="Calibri Light" w:cs="Calibri Light"/>
                <w:sz w:val="24"/>
                <w:szCs w:val="24"/>
                <w:lang w:eastAsia="lt-LT"/>
              </w:rPr>
              <w:t>, data ir vieta, ar darbai buvo atlikti ir užbaigti pagal darbų atlikimą reglamentuojančių teisės aktų bei pirkimo sutarties reikalavimus.</w:t>
            </w:r>
          </w:p>
        </w:tc>
        <w:tc>
          <w:tcPr>
            <w:tcW w:w="2504" w:type="dxa"/>
          </w:tcPr>
          <w:p w14:paraId="3C7E804D" w14:textId="1DA92E65" w:rsidR="009F5C32" w:rsidRPr="004F7708" w:rsidRDefault="009F5C32" w:rsidP="0019726C">
            <w:pPr>
              <w:jc w:val="both"/>
              <w:rPr>
                <w:rFonts w:ascii="Calibri Light" w:hAnsi="Calibri Light" w:cs="Calibri Light"/>
                <w:sz w:val="24"/>
                <w:szCs w:val="24"/>
                <w:lang w:eastAsia="lt-LT"/>
              </w:rPr>
            </w:pPr>
            <w:r w:rsidRPr="00347893">
              <w:rPr>
                <w:rFonts w:ascii="Calibri Light" w:hAnsi="Calibri Light" w:cs="Calibri Light"/>
                <w:bCs/>
                <w:iCs/>
                <w:color w:val="000000" w:themeColor="text1"/>
                <w:sz w:val="24"/>
                <w:szCs w:val="24"/>
                <w:lang w:eastAsia="lt-LT"/>
              </w:rPr>
              <w:lastRenderedPageBreak/>
              <w:t xml:space="preserve">Tiekėjas ir (arba) tiekėjų grupės partneriai kartu (kiekvienas partneris toje srityje, kurioje </w:t>
            </w:r>
            <w:r w:rsidRPr="00347893">
              <w:rPr>
                <w:rFonts w:ascii="Calibri Light" w:hAnsi="Calibri Light" w:cs="Calibri Light"/>
                <w:bCs/>
                <w:iCs/>
                <w:color w:val="000000" w:themeColor="text1"/>
                <w:sz w:val="24"/>
                <w:szCs w:val="24"/>
                <w:lang w:eastAsia="lt-LT"/>
              </w:rPr>
              <w:lastRenderedPageBreak/>
              <w:t>vykdys veiklą) ar kiti ūkio subjektai, kurių pajėgumais remiasi tiekėjas (kiekvienas toje srityje, kurioje vykdys veiklą).</w:t>
            </w:r>
          </w:p>
        </w:tc>
      </w:tr>
    </w:tbl>
    <w:bookmarkEnd w:id="3"/>
    <w:p w14:paraId="28272AFB" w14:textId="77777777"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lastRenderedPageBreak/>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xml:space="preserve">. spalio 30 d. nutarimu Nr. 1079 „Dėl dokumentų legalizavimo ir tvirtinimo pažyma (Apostille) tvarkos aprašo patvirtinimo“ ir </w:t>
      </w:r>
      <w:smartTag w:uri="schemas-tilde-lv/tildestengine" w:element="metric">
        <w:smartTagPr>
          <w:attr w:name="metric_value" w:val="1961"/>
          <w:attr w:name="metric_text" w:val="m"/>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768ACF06"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lastRenderedPageBreak/>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48CE35A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1B2EA0" w:rsidRPr="004F7708">
        <w:rPr>
          <w:rFonts w:ascii="Calibri Light" w:hAnsi="Calibri Light" w:cs="Calibri Light"/>
          <w:color w:val="000000"/>
          <w:lang w:eastAsia="lt-LT"/>
        </w:rPr>
        <w:t>1</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5C6C32" w:rsidRPr="004F7708">
        <w:rPr>
          <w:rFonts w:ascii="Calibri Light" w:hAnsi="Calibri Light" w:cs="Calibri Light"/>
          <w:color w:val="000000"/>
          <w:lang w:eastAsia="lt-LT"/>
        </w:rPr>
        <w:t>2</w:t>
      </w:r>
      <w:r w:rsidR="00D15EAC"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4F7708">
        <w:rPr>
          <w:rFonts w:ascii="Calibri Light" w:hAnsi="Calibri Light" w:cs="Calibri Light"/>
          <w:color w:val="000000"/>
        </w:rPr>
        <w:t>.</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77777777"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lastRenderedPageBreak/>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4F7708" w:rsidRPr="004F7708">
        <w:rPr>
          <w:rFonts w:ascii="Calibri Light" w:hAnsi="Calibri Light" w:cs="Calibri Light"/>
          <w:color w:val="000000"/>
        </w:rPr>
        <w:t>3.4.1</w:t>
      </w:r>
      <w:r w:rsidR="005D00B1" w:rsidRPr="004F7708">
        <w:rPr>
          <w:rFonts w:ascii="Calibri Light" w:hAnsi="Calibri Light" w:cs="Calibri Light"/>
          <w:color w:val="000000"/>
        </w:rPr>
        <w:t xml:space="preserve"> </w:t>
      </w:r>
      <w:r w:rsidR="00C17A51" w:rsidRPr="004F7708">
        <w:rPr>
          <w:rFonts w:ascii="Calibri Light" w:hAnsi="Calibri Light" w:cs="Calibri Light"/>
          <w:color w:val="000000"/>
        </w:rPr>
        <w:t>p</w:t>
      </w:r>
      <w:r w:rsidR="004F7708" w:rsidRPr="004F7708">
        <w:rPr>
          <w:rFonts w:ascii="Calibri Light" w:hAnsi="Calibri Light" w:cs="Calibri Light"/>
          <w:color w:val="000000"/>
        </w:rPr>
        <w:t>.</w:t>
      </w:r>
      <w:r w:rsidRPr="004F7708">
        <w:rPr>
          <w:rFonts w:ascii="Calibri Light" w:hAnsi="Calibri Light" w:cs="Calibri Light"/>
          <w:color w:val="000000"/>
        </w:rPr>
        <w:t xml:space="preserve">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04F8E373"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9B0398" w:rsidRPr="004F7708">
        <w:rPr>
          <w:rStyle w:val="fontstyle01"/>
          <w:rFonts w:ascii="Calibri Light" w:hAnsi="Calibri Light" w:cs="Calibri Light"/>
          <w:sz w:val="24"/>
          <w:szCs w:val="24"/>
        </w:rPr>
        <w:t>6</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lastRenderedPageBreak/>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1086029A"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00A96E10" w:rsidRPr="009873F2">
          <w:rPr>
            <w:rStyle w:val="Hyperlink"/>
            <w:rFonts w:ascii="Calibri Light" w:hAnsi="Calibri Light" w:cs="Calibri Light"/>
            <w:iCs/>
            <w:sz w:val="24"/>
            <w:szCs w:val="24"/>
          </w:rPr>
          <w:t>https://viesiejipirkimai.lt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062EBB2B"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A96E10" w:rsidRPr="009873F2">
          <w:rPr>
            <w:rStyle w:val="Hyperlink"/>
            <w:rFonts w:ascii="Calibri Light" w:hAnsi="Calibri Light" w:cs="Calibri Light"/>
            <w:iCs/>
            <w:sz w:val="24"/>
            <w:szCs w:val="24"/>
          </w:rPr>
          <w:t>https://viesiejipirkimai.lt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0359D" w:rsidRDefault="00C731EA"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3</w:t>
      </w:r>
      <w:r w:rsidR="004A4F5D"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004A4F5D"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lastRenderedPageBreak/>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lastRenderedPageBreak/>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 xml:space="preserve">iki pasiūlymų pateikimo termino pabaigos naudodamasis CVP IS priemonėmis pateikti užšifruotą pasiūlymą (užšifruojamas visas pasiūlymas arba pasiūlymo dokumentas, kuriame </w:t>
      </w:r>
      <w:r w:rsidRPr="006B74AD">
        <w:rPr>
          <w:rFonts w:ascii="Calibri Light" w:hAnsi="Calibri Light" w:cs="Calibri Light"/>
          <w:sz w:val="24"/>
          <w:szCs w:val="24"/>
        </w:rPr>
        <w:lastRenderedPageBreak/>
        <w:t>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696959DD"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F63F41" w:rsidRPr="009873F2">
          <w:rPr>
            <w:rStyle w:val="Hyperlink"/>
            <w:rFonts w:ascii="Calibri Light" w:hAnsi="Calibri Light" w:cs="Calibri Light"/>
            <w:sz w:val="24"/>
            <w:szCs w:val="24"/>
          </w:rPr>
          <w:t>sigute.budreikiene@vmb.lt</w:t>
        </w:r>
      </w:hyperlink>
      <w:r w:rsidR="00A8642D">
        <w:rPr>
          <w:rFonts w:ascii="Calibri Light" w:hAnsi="Calibri Light" w:cs="Calibri Light"/>
          <w:sz w:val="24"/>
          <w:szCs w:val="24"/>
        </w:rPr>
        <w:t>)</w:t>
      </w:r>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5EB75EF7"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F63F41" w:rsidRPr="009873F2">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lastRenderedPageBreak/>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03E24C94" w14:textId="090156CE" w:rsidR="00D10440" w:rsidRDefault="00D10440" w:rsidP="00D10440">
      <w:pPr>
        <w:pStyle w:val="ListParagraph"/>
      </w:pPr>
    </w:p>
    <w:p w14:paraId="2A7F5484" w14:textId="77777777" w:rsidR="00D10440" w:rsidRPr="00D10440" w:rsidRDefault="00D10440" w:rsidP="00D10440">
      <w:pPr>
        <w:pStyle w:val="ListParagraph"/>
      </w:pP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w:t>
      </w:r>
      <w:r w:rsidRPr="00D10440">
        <w:rPr>
          <w:rFonts w:ascii="Calibri Light" w:hAnsi="Calibri Light" w:cs="Calibri Light"/>
          <w:lang w:val="lt-LT"/>
        </w:rPr>
        <w:lastRenderedPageBreak/>
        <w:t xml:space="preserve">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 xml:space="preserve">vertina ar nebuvo pasiūlytos per didelės perkančiajai organizacijai nepriimtinos kainos. Laikoma, kad pasiūlyta kaina yra per didelė ir nepriimtina, jeigu ji viršija perkančiosios organizacijos pirkimui skirtas lėšas, nustatytas ir užfiksuotas perkančiosios </w:t>
      </w:r>
      <w:r w:rsidR="004A4F5D" w:rsidRPr="0095276A">
        <w:rPr>
          <w:rFonts w:ascii="Calibri Light" w:hAnsi="Calibri Light" w:cs="Calibri Light"/>
          <w:lang w:val="lt-LT"/>
        </w:rPr>
        <w:lastRenderedPageBreak/>
        <w:t>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lastRenderedPageBreak/>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lastRenderedPageBreak/>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24035D93" w14:textId="77777777" w:rsidR="00A96E10" w:rsidRDefault="00A96E10" w:rsidP="00A96E10">
      <w:pPr>
        <w:pStyle w:val="Betarp1"/>
        <w:jc w:val="both"/>
        <w:rPr>
          <w:rFonts w:ascii="Calibri Light" w:hAnsi="Calibri Light" w:cs="Calibri Light"/>
          <w:b/>
          <w:lang w:val="lt-LT"/>
        </w:rPr>
      </w:pPr>
      <w:r>
        <w:rPr>
          <w:rFonts w:ascii="Calibri Light" w:hAnsi="Calibri Light" w:cs="Calibri Light"/>
          <w:b/>
          <w:lang w:val="lt-LT"/>
        </w:rPr>
        <w:t xml:space="preserve">XIII. BAIGIAMOSIOS NUOSTATOS </w:t>
      </w:r>
    </w:p>
    <w:p w14:paraId="6CB9144E" w14:textId="33C4E7F4" w:rsidR="00A96E10" w:rsidRPr="004F7708" w:rsidRDefault="00A96E10" w:rsidP="00A96E10">
      <w:pPr>
        <w:pStyle w:val="Betarp1"/>
        <w:jc w:val="both"/>
        <w:rPr>
          <w:rFonts w:ascii="Calibri Light" w:hAnsi="Calibri Light" w:cs="Calibri Light"/>
          <w:b/>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7"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 xml:space="preserve"> .</w:t>
      </w:r>
    </w:p>
    <w:p w14:paraId="5987776F" w14:textId="77777777" w:rsidR="00A96E10" w:rsidRPr="00830C82" w:rsidRDefault="00A96E10" w:rsidP="00A96E10">
      <w:pPr>
        <w:pStyle w:val="Betarp1"/>
        <w:ind w:left="709"/>
        <w:jc w:val="both"/>
        <w:rPr>
          <w:rFonts w:ascii="Calibri Light" w:hAnsi="Calibri Light" w:cs="Calibri Light"/>
          <w:b/>
          <w:lang w:val="lt-LT"/>
        </w:rPr>
      </w:pP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0FE3278E" w14:textId="53D20DB6"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Kvalifikacinių reikalavimų atitikties deklaracija;</w:t>
      </w:r>
    </w:p>
    <w:p w14:paraId="535A8A6B" w14:textId="51C94619" w:rsidR="00F6024D" w:rsidRPr="00653EE6" w:rsidRDefault="00733C4C" w:rsidP="00653EE6">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Į</w:t>
      </w:r>
      <w:r w:rsidR="00F76DAC" w:rsidRPr="004F7708">
        <w:rPr>
          <w:rFonts w:ascii="Calibri Light" w:hAnsi="Calibri Light" w:cs="Calibri Light"/>
          <w:sz w:val="24"/>
          <w:szCs w:val="24"/>
        </w:rPr>
        <w:t>vykdytų sutarčių sąrašas</w:t>
      </w:r>
      <w:r w:rsidR="002A4DD1" w:rsidRPr="004F7708">
        <w:rPr>
          <w:rFonts w:ascii="Calibri Light" w:hAnsi="Calibri Light" w:cs="Calibri Light"/>
          <w:sz w:val="24"/>
          <w:szCs w:val="24"/>
        </w:rPr>
        <w:t>;</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6"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29"/>
  </w:num>
  <w:num w:numId="4" w16cid:durableId="2078284732">
    <w:abstractNumId w:val="21"/>
  </w:num>
  <w:num w:numId="5" w16cid:durableId="714038186">
    <w:abstractNumId w:val="7"/>
  </w:num>
  <w:num w:numId="6" w16cid:durableId="775293370">
    <w:abstractNumId w:val="0"/>
  </w:num>
  <w:num w:numId="7" w16cid:durableId="1220552297">
    <w:abstractNumId w:val="20"/>
  </w:num>
  <w:num w:numId="8" w16cid:durableId="198126202">
    <w:abstractNumId w:val="23"/>
  </w:num>
  <w:num w:numId="9" w16cid:durableId="143157533">
    <w:abstractNumId w:val="22"/>
  </w:num>
  <w:num w:numId="10" w16cid:durableId="930742273">
    <w:abstractNumId w:val="16"/>
  </w:num>
  <w:num w:numId="11" w16cid:durableId="1632830433">
    <w:abstractNumId w:val="1"/>
  </w:num>
  <w:num w:numId="12" w16cid:durableId="335304945">
    <w:abstractNumId w:val="15"/>
  </w:num>
  <w:num w:numId="13" w16cid:durableId="975598343">
    <w:abstractNumId w:val="5"/>
  </w:num>
  <w:num w:numId="14" w16cid:durableId="230698051">
    <w:abstractNumId w:val="10"/>
  </w:num>
  <w:num w:numId="15" w16cid:durableId="965693809">
    <w:abstractNumId w:val="12"/>
  </w:num>
  <w:num w:numId="16" w16cid:durableId="1677340796">
    <w:abstractNumId w:val="17"/>
  </w:num>
  <w:num w:numId="17" w16cid:durableId="661009880">
    <w:abstractNumId w:val="24"/>
  </w:num>
  <w:num w:numId="18" w16cid:durableId="707069671">
    <w:abstractNumId w:val="2"/>
  </w:num>
  <w:num w:numId="19" w16cid:durableId="487720298">
    <w:abstractNumId w:val="27"/>
  </w:num>
  <w:num w:numId="20" w16cid:durableId="1826900081">
    <w:abstractNumId w:val="26"/>
  </w:num>
  <w:num w:numId="21" w16cid:durableId="1334185048">
    <w:abstractNumId w:val="14"/>
  </w:num>
  <w:num w:numId="22" w16cid:durableId="945389530">
    <w:abstractNumId w:val="6"/>
  </w:num>
  <w:num w:numId="23" w16cid:durableId="1967004135">
    <w:abstractNumId w:val="28"/>
  </w:num>
  <w:num w:numId="24" w16cid:durableId="1560750630">
    <w:abstractNumId w:val="13"/>
  </w:num>
  <w:num w:numId="25" w16cid:durableId="1329553080">
    <w:abstractNumId w:val="19"/>
  </w:num>
  <w:num w:numId="26" w16cid:durableId="1855462066">
    <w:abstractNumId w:val="3"/>
  </w:num>
  <w:num w:numId="27" w16cid:durableId="882405049">
    <w:abstractNumId w:val="30"/>
  </w:num>
  <w:num w:numId="28" w16cid:durableId="83427433">
    <w:abstractNumId w:val="25"/>
  </w:num>
  <w:num w:numId="29" w16cid:durableId="894001350">
    <w:abstractNumId w:val="4"/>
  </w:num>
  <w:num w:numId="30" w16cid:durableId="1867258092">
    <w:abstractNumId w:val="18"/>
  </w:num>
  <w:num w:numId="31" w16cid:durableId="182219384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AF"/>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14B3"/>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7AB"/>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06B"/>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17F"/>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168"/>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686"/>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2EB6"/>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1342"/>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07CC7"/>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0E5"/>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42D"/>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6E10"/>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42F5"/>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76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996"/>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AC"/>
    <w:rsid w:val="00EE35DE"/>
    <w:rsid w:val="00EE4291"/>
    <w:rsid w:val="00EE4FBB"/>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3F41"/>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0A3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sigute.budreikien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5966</Words>
  <Characters>43864</Characters>
  <Application>Microsoft Office Word</Application>
  <DocSecurity>0</DocSecurity>
  <Lines>365</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30</cp:revision>
  <cp:lastPrinted>2020-02-17T13:38:00Z</cp:lastPrinted>
  <dcterms:created xsi:type="dcterms:W3CDTF">2023-01-24T18:30:00Z</dcterms:created>
  <dcterms:modified xsi:type="dcterms:W3CDTF">2025-06-19T10:09:00Z</dcterms:modified>
</cp:coreProperties>
</file>