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54E01" w:rsidR="00611AA5" w:rsidP="6B5B9199" w:rsidRDefault="00611AA5" w14:noSpellErr="1" w14:paraId="5D278DAF" w14:textId="51DF6474">
      <w:pPr>
        <w:jc w:val="center"/>
        <w:rPr>
          <w:b w:val="1"/>
          <w:bCs w:val="1"/>
          <w:lang w:val="lt-LT"/>
        </w:rPr>
      </w:pPr>
      <w:r w:rsidRPr="6B5B9199" w:rsidR="592E7EE1">
        <w:rPr>
          <w:b w:val="1"/>
          <w:bCs w:val="1"/>
          <w:lang w:val="lt-LT"/>
        </w:rPr>
        <w:t>TECHNINĖ SPECIFIKACIJA</w:t>
      </w:r>
    </w:p>
    <w:p w:rsidRPr="00254E01" w:rsidR="00611AA5" w:rsidP="6B5B9199" w:rsidRDefault="00611AA5" w14:noSpellErr="1" w14:paraId="0EEC2C73" w14:textId="78B54B61">
      <w:pPr>
        <w:jc w:val="both"/>
        <w:rPr>
          <w:lang w:val="lt-LT"/>
        </w:rPr>
      </w:pPr>
      <w:r w:rsidRPr="6B5B9199" w:rsidR="592E7EE1">
        <w:rPr>
          <w:lang w:val="lt-LT"/>
        </w:rPr>
        <w:t>Pirkimas apima serverio įrangos įsigijimą, skirtą intensyviam duomenų apdorojimui ir virtualizacijos užduotims vykdyti. Įranga su visais komplektacijos priedais turi užtikrinti, kad įrenginiui nereikalingi jokie papildomi priedai norint jį eksploatuoti pilna apimtimi.</w:t>
      </w:r>
    </w:p>
    <w:tbl>
      <w:tblPr>
        <w:tblW w:w="0" w:type="auto"/>
        <w:tblLook w:val="04A0" w:firstRow="1" w:lastRow="0" w:firstColumn="1" w:lastColumn="0" w:noHBand="0" w:noVBand="1"/>
      </w:tblPr>
      <w:tblGrid>
        <w:gridCol w:w="562"/>
        <w:gridCol w:w="1922"/>
        <w:gridCol w:w="4269"/>
        <w:gridCol w:w="2597"/>
      </w:tblGrid>
      <w:tr w:rsidR="6B5B9199" w:rsidTr="1FEC0253" w14:paraId="12B74095">
        <w:trPr>
          <w:trHeight w:val="300"/>
        </w:trPr>
        <w:tc>
          <w:tcPr>
            <w:tcW w:w="562" w:type="dxa"/>
            <w:tcBorders>
              <w:top w:val="single" w:color="auto" w:sz="4"/>
              <w:left w:val="single" w:color="auto" w:sz="4"/>
              <w:bottom w:val="single" w:color="auto" w:sz="4"/>
              <w:right w:val="single" w:color="auto" w:sz="4"/>
            </w:tcBorders>
            <w:shd w:val="clear" w:color="auto" w:fill="auto"/>
            <w:tcMar/>
            <w:vAlign w:val="center"/>
          </w:tcPr>
          <w:p w:rsidR="6B5B9199" w:rsidP="6B5B9199" w:rsidRDefault="6B5B9199" w14:noSpellErr="1" w14:paraId="7FF06321">
            <w:pPr>
              <w:spacing w:after="0" w:line="240" w:lineRule="auto"/>
              <w:jc w:val="center"/>
              <w:rPr>
                <w:rFonts w:ascii="Aptos Narrow" w:hAnsi="Aptos Narrow" w:eastAsia="Times New Roman" w:cs="Times New Roman"/>
                <w:b w:val="1"/>
                <w:bCs w:val="1"/>
                <w:color w:val="000000" w:themeColor="text1" w:themeTint="FF" w:themeShade="FF"/>
                <w:sz w:val="22"/>
                <w:szCs w:val="22"/>
                <w:lang w:val="lt-LT"/>
              </w:rPr>
            </w:pPr>
            <w:r w:rsidRPr="6B5B9199" w:rsidR="6B5B9199">
              <w:rPr>
                <w:rFonts w:ascii="Aptos Narrow" w:hAnsi="Aptos Narrow" w:eastAsia="Times New Roman" w:cs="Times New Roman"/>
                <w:b w:val="1"/>
                <w:bCs w:val="1"/>
                <w:color w:val="000000" w:themeColor="text1" w:themeTint="FF" w:themeShade="FF"/>
                <w:sz w:val="22"/>
                <w:szCs w:val="22"/>
                <w:lang w:val="lt-LT"/>
              </w:rPr>
              <w:t>Eil. Nr.</w:t>
            </w:r>
          </w:p>
        </w:tc>
        <w:tc>
          <w:tcPr>
            <w:tcW w:w="1922" w:type="dxa"/>
            <w:tcBorders>
              <w:top w:val="single" w:color="auto" w:sz="4"/>
              <w:left w:val="nil"/>
              <w:bottom w:val="single" w:color="auto" w:sz="4"/>
              <w:right w:val="single" w:color="auto" w:sz="4"/>
            </w:tcBorders>
            <w:shd w:val="clear" w:color="auto" w:fill="auto"/>
            <w:tcMar/>
            <w:vAlign w:val="center"/>
          </w:tcPr>
          <w:p w:rsidR="6B5B9199" w:rsidP="6B5B9199" w:rsidRDefault="6B5B9199" w14:noSpellErr="1" w14:paraId="1E817557">
            <w:pPr>
              <w:spacing w:after="0" w:line="240" w:lineRule="auto"/>
              <w:jc w:val="center"/>
              <w:rPr>
                <w:rFonts w:ascii="Aptos Narrow" w:hAnsi="Aptos Narrow" w:eastAsia="Times New Roman" w:cs="Times New Roman"/>
                <w:b w:val="1"/>
                <w:bCs w:val="1"/>
                <w:color w:val="000000" w:themeColor="text1" w:themeTint="FF" w:themeShade="FF"/>
                <w:sz w:val="22"/>
                <w:szCs w:val="22"/>
                <w:lang w:val="lt-LT"/>
              </w:rPr>
            </w:pPr>
            <w:r w:rsidRPr="6B5B9199" w:rsidR="6B5B9199">
              <w:rPr>
                <w:rFonts w:ascii="Aptos Narrow" w:hAnsi="Aptos Narrow" w:eastAsia="Times New Roman" w:cs="Times New Roman"/>
                <w:b w:val="1"/>
                <w:bCs w:val="1"/>
                <w:color w:val="000000" w:themeColor="text1" w:themeTint="FF" w:themeShade="FF"/>
                <w:sz w:val="22"/>
                <w:szCs w:val="22"/>
                <w:lang w:val="lt-LT"/>
              </w:rPr>
              <w:t>Techninė charakteristika</w:t>
            </w:r>
          </w:p>
        </w:tc>
        <w:tc>
          <w:tcPr>
            <w:tcW w:w="4269" w:type="dxa"/>
            <w:tcBorders>
              <w:top w:val="single" w:color="auto" w:sz="4"/>
              <w:left w:val="nil"/>
              <w:bottom w:val="single" w:color="auto" w:sz="4"/>
              <w:right w:val="single" w:color="auto" w:sz="4"/>
            </w:tcBorders>
            <w:shd w:val="clear" w:color="auto" w:fill="auto"/>
            <w:tcMar/>
            <w:vAlign w:val="center"/>
          </w:tcPr>
          <w:p w:rsidR="6B5B9199" w:rsidP="6B5B9199" w:rsidRDefault="6B5B9199" w14:noSpellErr="1" w14:paraId="02301549">
            <w:pPr>
              <w:spacing w:after="0" w:line="240" w:lineRule="auto"/>
              <w:jc w:val="center"/>
              <w:rPr>
                <w:rFonts w:ascii="Aptos Narrow" w:hAnsi="Aptos Narrow" w:eastAsia="Times New Roman" w:cs="Times New Roman"/>
                <w:b w:val="1"/>
                <w:bCs w:val="1"/>
                <w:color w:val="000000" w:themeColor="text1" w:themeTint="FF" w:themeShade="FF"/>
                <w:sz w:val="22"/>
                <w:szCs w:val="22"/>
                <w:lang w:val="lt-LT"/>
              </w:rPr>
            </w:pPr>
            <w:r w:rsidRPr="6B5B9199" w:rsidR="6B5B9199">
              <w:rPr>
                <w:rFonts w:ascii="Aptos Narrow" w:hAnsi="Aptos Narrow" w:eastAsia="Times New Roman" w:cs="Times New Roman"/>
                <w:b w:val="1"/>
                <w:bCs w:val="1"/>
                <w:color w:val="000000" w:themeColor="text1" w:themeTint="FF" w:themeShade="FF"/>
                <w:sz w:val="22"/>
                <w:szCs w:val="22"/>
                <w:lang w:val="lt-LT"/>
              </w:rPr>
              <w:t>Reikalavimai</w:t>
            </w:r>
          </w:p>
        </w:tc>
        <w:tc>
          <w:tcPr>
            <w:tcW w:w="2597" w:type="dxa"/>
            <w:tcBorders>
              <w:top w:val="single" w:color="auto" w:sz="4"/>
              <w:left w:val="nil"/>
              <w:bottom w:val="single" w:color="auto" w:sz="4"/>
              <w:right w:val="single" w:color="auto" w:sz="4"/>
            </w:tcBorders>
            <w:shd w:val="clear" w:color="auto" w:fill="auto"/>
            <w:tcMar/>
            <w:vAlign w:val="bottom"/>
          </w:tcPr>
          <w:p w:rsidR="6B5B9199" w:rsidP="6B5B9199" w:rsidRDefault="6B5B9199" w14:noSpellErr="1" w14:paraId="6D4A9C8F">
            <w:pPr>
              <w:spacing w:after="0" w:line="240" w:lineRule="auto"/>
              <w:jc w:val="center"/>
              <w:rPr>
                <w:rFonts w:ascii="Aptos Narrow" w:hAnsi="Aptos Narrow" w:eastAsia="Times New Roman" w:cs="Times New Roman"/>
                <w:b w:val="1"/>
                <w:bCs w:val="1"/>
                <w:color w:val="000000" w:themeColor="text1" w:themeTint="FF" w:themeShade="FF"/>
                <w:sz w:val="22"/>
                <w:szCs w:val="22"/>
                <w:lang w:val="lt-LT"/>
              </w:rPr>
            </w:pPr>
            <w:r w:rsidRPr="6B5B9199" w:rsidR="6B5B9199">
              <w:rPr>
                <w:rFonts w:ascii="Aptos Narrow" w:hAnsi="Aptos Narrow" w:eastAsia="Times New Roman" w:cs="Times New Roman"/>
                <w:b w:val="1"/>
                <w:bCs w:val="1"/>
                <w:color w:val="000000" w:themeColor="text1" w:themeTint="FF" w:themeShade="FF"/>
                <w:sz w:val="22"/>
                <w:szCs w:val="22"/>
                <w:lang w:val="lt-LT"/>
              </w:rPr>
              <w:t>Tiekėjo siūlomos įrangos parametrai ir jų reikšmės pagal 2 ir 3 stulpelių reikalavimus</w:t>
            </w:r>
          </w:p>
        </w:tc>
      </w:tr>
      <w:tr w:rsidR="6B5B9199" w:rsidTr="1FEC0253" w14:paraId="151D29E3">
        <w:trPr>
          <w:trHeight w:val="300"/>
        </w:trPr>
        <w:tc>
          <w:tcPr>
            <w:tcW w:w="9350" w:type="dxa"/>
            <w:gridSpan w:val="4"/>
            <w:tcBorders>
              <w:top w:val="single" w:color="auto" w:sz="4"/>
              <w:left w:val="single" w:color="auto" w:sz="4"/>
              <w:bottom w:val="single" w:color="auto" w:sz="4"/>
              <w:right w:val="single" w:color="000000" w:themeColor="text1" w:sz="4"/>
            </w:tcBorders>
            <w:shd w:val="clear" w:color="auto" w:fill="auto"/>
            <w:tcMar/>
            <w:vAlign w:val="center"/>
          </w:tcPr>
          <w:p w:rsidR="6B5B9199" w:rsidP="6B5B9199" w:rsidRDefault="6B5B9199" w14:noSpellErr="1" w14:paraId="0E898477">
            <w:pPr>
              <w:spacing w:after="0" w:line="240" w:lineRule="auto"/>
              <w:jc w:val="center"/>
              <w:rPr>
                <w:rFonts w:ascii="Aptos Narrow" w:hAnsi="Aptos Narrow" w:eastAsia="Times New Roman" w:cs="Times New Roman"/>
                <w:b w:val="1"/>
                <w:bCs w:val="1"/>
                <w:color w:val="000000" w:themeColor="text1" w:themeTint="FF" w:themeShade="FF"/>
                <w:sz w:val="22"/>
                <w:szCs w:val="22"/>
                <w:lang w:val="lt-LT"/>
              </w:rPr>
            </w:pPr>
            <w:r w:rsidRPr="6B5B9199" w:rsidR="6B5B9199">
              <w:rPr>
                <w:rFonts w:ascii="Aptos Narrow" w:hAnsi="Aptos Narrow" w:eastAsia="Times New Roman" w:cs="Times New Roman"/>
                <w:b w:val="1"/>
                <w:bCs w:val="1"/>
                <w:color w:val="000000" w:themeColor="text1" w:themeTint="FF" w:themeShade="FF"/>
                <w:sz w:val="22"/>
                <w:szCs w:val="22"/>
                <w:lang w:val="lt-LT"/>
              </w:rPr>
              <w:t>Serveris</w:t>
            </w:r>
          </w:p>
        </w:tc>
      </w:tr>
      <w:tr w:rsidR="6B5B9199" w:rsidTr="1FEC0253" w14:paraId="78AAF40F">
        <w:trPr>
          <w:trHeight w:val="300"/>
        </w:trPr>
        <w:tc>
          <w:tcPr>
            <w:tcW w:w="562" w:type="dxa"/>
            <w:tcBorders>
              <w:top w:val="nil"/>
              <w:left w:val="single" w:color="auto" w:sz="4"/>
              <w:bottom w:val="single" w:color="auto" w:sz="4"/>
              <w:right w:val="single" w:color="auto" w:sz="4"/>
            </w:tcBorders>
            <w:shd w:val="clear" w:color="auto" w:fill="auto"/>
            <w:tcMar/>
            <w:vAlign w:val="center"/>
          </w:tcPr>
          <w:p w:rsidR="6B5B9199" w:rsidP="6B5B9199" w:rsidRDefault="6B5B9199" w14:noSpellErr="1" w14:paraId="69713844">
            <w:pPr>
              <w:spacing w:after="0" w:line="240" w:lineRule="auto"/>
              <w:jc w:val="center"/>
              <w:rPr>
                <w:rFonts w:ascii="Aptos Narrow" w:hAnsi="Aptos Narrow" w:eastAsia="Times New Roman" w:cs="Times New Roman"/>
                <w:color w:val="000000" w:themeColor="text1" w:themeTint="FF" w:themeShade="FF"/>
                <w:sz w:val="22"/>
                <w:szCs w:val="22"/>
                <w:lang w:val="lt-LT"/>
              </w:rPr>
            </w:pPr>
            <w:r w:rsidRPr="6B5B9199" w:rsidR="6B5B9199">
              <w:rPr>
                <w:rFonts w:ascii="Aptos Narrow" w:hAnsi="Aptos Narrow" w:eastAsia="Times New Roman" w:cs="Times New Roman"/>
                <w:color w:val="000000" w:themeColor="text1" w:themeTint="FF" w:themeShade="FF"/>
                <w:sz w:val="22"/>
                <w:szCs w:val="22"/>
                <w:lang w:val="lt-LT"/>
              </w:rPr>
              <w:t>1</w:t>
            </w:r>
          </w:p>
        </w:tc>
        <w:tc>
          <w:tcPr>
            <w:tcW w:w="1922" w:type="dxa"/>
            <w:tcBorders>
              <w:top w:val="nil"/>
              <w:left w:val="nil"/>
              <w:bottom w:val="single" w:color="auto" w:sz="4"/>
              <w:right w:val="single" w:color="auto" w:sz="4"/>
            </w:tcBorders>
            <w:shd w:val="clear" w:color="auto" w:fill="auto"/>
            <w:tcMar/>
            <w:vAlign w:val="center"/>
          </w:tcPr>
          <w:p w:rsidR="6B5B9199" w:rsidP="6B5B9199" w:rsidRDefault="6B5B9199" w14:noSpellErr="1" w14:paraId="65B3C7C9">
            <w:pPr>
              <w:spacing w:after="0" w:line="240" w:lineRule="auto"/>
              <w:jc w:val="center"/>
              <w:rPr>
                <w:rFonts w:ascii="Aptos Narrow" w:hAnsi="Aptos Narrow" w:eastAsia="Times New Roman" w:cs="Times New Roman"/>
                <w:color w:val="000000" w:themeColor="text1" w:themeTint="FF" w:themeShade="FF"/>
                <w:sz w:val="22"/>
                <w:szCs w:val="22"/>
                <w:lang w:val="lt-LT"/>
              </w:rPr>
            </w:pPr>
            <w:r w:rsidRPr="6B5B9199" w:rsidR="6B5B9199">
              <w:rPr>
                <w:rFonts w:ascii="Aptos Narrow" w:hAnsi="Aptos Narrow" w:eastAsia="Times New Roman" w:cs="Times New Roman"/>
                <w:color w:val="000000" w:themeColor="text1" w:themeTint="FF" w:themeShade="FF"/>
                <w:sz w:val="22"/>
                <w:szCs w:val="22"/>
                <w:lang w:val="lt-LT"/>
              </w:rPr>
              <w:t>Serverio tipas</w:t>
            </w:r>
          </w:p>
        </w:tc>
        <w:tc>
          <w:tcPr>
            <w:tcW w:w="4269" w:type="dxa"/>
            <w:tcBorders>
              <w:top w:val="nil"/>
              <w:left w:val="nil"/>
              <w:bottom w:val="single" w:color="auto" w:sz="4"/>
              <w:right w:val="single" w:color="auto" w:sz="4"/>
            </w:tcBorders>
            <w:shd w:val="clear" w:color="auto" w:fill="auto"/>
            <w:tcMar/>
            <w:vAlign w:val="center"/>
          </w:tcPr>
          <w:p w:rsidR="6B5B9199" w:rsidP="50F7B906" w:rsidRDefault="6B5B9199" w14:paraId="4062133A" w14:textId="56730C7C">
            <w:pPr>
              <w:pStyle w:val="Normal"/>
              <w:spacing w:after="0" w:line="240" w:lineRule="auto"/>
              <w:jc w:val="center"/>
            </w:pPr>
            <w:r w:rsidRPr="50F7B906" w:rsidR="03733602">
              <w:rPr>
                <w:rFonts w:ascii="Aptos Narrow" w:hAnsi="Aptos Narrow" w:eastAsia="Aptos Narrow" w:cs="Aptos Narrow"/>
                <w:noProof w:val="0"/>
                <w:sz w:val="22"/>
                <w:szCs w:val="22"/>
                <w:lang w:val="lt-LT"/>
              </w:rPr>
              <w:t>Montuojamas į 19 colių serverinę spintą, ne aukštesnis nei 4U, komplektuojamas su bėgiais bei valdymo prieigos moduliu (IPMI/iDRAC ar analogišku)</w:t>
            </w:r>
          </w:p>
        </w:tc>
        <w:tc>
          <w:tcPr>
            <w:tcW w:w="2597" w:type="dxa"/>
            <w:tcBorders>
              <w:top w:val="nil"/>
              <w:left w:val="nil"/>
              <w:bottom w:val="single" w:color="auto" w:sz="4"/>
              <w:right w:val="single" w:color="auto" w:sz="4"/>
            </w:tcBorders>
            <w:shd w:val="clear" w:color="auto" w:fill="auto"/>
            <w:tcMar/>
            <w:vAlign w:val="bottom"/>
          </w:tcPr>
          <w:p w:rsidR="6B5B9199" w:rsidP="6B5B9199" w:rsidRDefault="6B5B9199" w14:noSpellErr="1" w14:paraId="1F7FA488">
            <w:pPr>
              <w:spacing w:after="0" w:line="240" w:lineRule="auto"/>
              <w:jc w:val="center"/>
              <w:rPr>
                <w:rFonts w:ascii="Aptos Narrow" w:hAnsi="Aptos Narrow" w:eastAsia="Times New Roman" w:cs="Times New Roman"/>
                <w:color w:val="000000" w:themeColor="text1" w:themeTint="FF" w:themeShade="FF"/>
                <w:sz w:val="22"/>
                <w:szCs w:val="22"/>
                <w:lang w:val="lt-LT"/>
              </w:rPr>
            </w:pPr>
            <w:r w:rsidRPr="6B5B9199" w:rsidR="6B5B9199">
              <w:rPr>
                <w:rFonts w:ascii="Aptos Narrow" w:hAnsi="Aptos Narrow" w:eastAsia="Times New Roman" w:cs="Times New Roman"/>
                <w:color w:val="000000" w:themeColor="text1" w:themeTint="FF" w:themeShade="FF"/>
                <w:sz w:val="22"/>
                <w:szCs w:val="22"/>
                <w:lang w:val="lt-LT"/>
              </w:rPr>
              <w:t> </w:t>
            </w:r>
          </w:p>
        </w:tc>
      </w:tr>
      <w:tr w:rsidR="6B5B9199" w:rsidTr="1FEC0253" w14:paraId="19510187">
        <w:trPr>
          <w:trHeight w:val="300"/>
        </w:trPr>
        <w:tc>
          <w:tcPr>
            <w:tcW w:w="562" w:type="dxa"/>
            <w:tcBorders>
              <w:top w:val="nil"/>
              <w:left w:val="single" w:color="auto" w:sz="4"/>
              <w:bottom w:val="single" w:color="auto" w:sz="4"/>
              <w:right w:val="single" w:color="auto" w:sz="4"/>
            </w:tcBorders>
            <w:shd w:val="clear" w:color="auto" w:fill="auto"/>
            <w:tcMar/>
            <w:vAlign w:val="center"/>
          </w:tcPr>
          <w:p w:rsidR="6B5B9199" w:rsidP="6B5B9199" w:rsidRDefault="6B5B9199" w14:noSpellErr="1" w14:paraId="2B0E0E3A">
            <w:pPr>
              <w:spacing w:after="0" w:line="240" w:lineRule="auto"/>
              <w:jc w:val="center"/>
              <w:rPr>
                <w:rFonts w:ascii="Aptos Narrow" w:hAnsi="Aptos Narrow" w:eastAsia="Times New Roman" w:cs="Times New Roman"/>
                <w:color w:val="000000" w:themeColor="text1" w:themeTint="FF" w:themeShade="FF"/>
                <w:sz w:val="22"/>
                <w:szCs w:val="22"/>
                <w:lang w:val="lt-LT"/>
              </w:rPr>
            </w:pPr>
            <w:r w:rsidRPr="6B5B9199" w:rsidR="6B5B9199">
              <w:rPr>
                <w:rFonts w:ascii="Aptos Narrow" w:hAnsi="Aptos Narrow" w:eastAsia="Times New Roman" w:cs="Times New Roman"/>
                <w:color w:val="000000" w:themeColor="text1" w:themeTint="FF" w:themeShade="FF"/>
                <w:sz w:val="22"/>
                <w:szCs w:val="22"/>
                <w:lang w:val="lt-LT"/>
              </w:rPr>
              <w:t>2</w:t>
            </w:r>
          </w:p>
        </w:tc>
        <w:tc>
          <w:tcPr>
            <w:tcW w:w="1922" w:type="dxa"/>
            <w:tcBorders>
              <w:top w:val="nil"/>
              <w:left w:val="nil"/>
              <w:bottom w:val="single" w:color="auto" w:sz="4"/>
              <w:right w:val="single" w:color="auto" w:sz="4"/>
            </w:tcBorders>
            <w:shd w:val="clear" w:color="auto" w:fill="auto"/>
            <w:tcMar/>
            <w:vAlign w:val="center"/>
          </w:tcPr>
          <w:p w:rsidR="6B5B9199" w:rsidP="6B5B9199" w:rsidRDefault="6B5B9199" w14:noSpellErr="1" w14:paraId="5D208AB6">
            <w:pPr>
              <w:spacing w:after="0" w:line="240" w:lineRule="auto"/>
              <w:jc w:val="center"/>
              <w:rPr>
                <w:rFonts w:ascii="Aptos Narrow" w:hAnsi="Aptos Narrow" w:eastAsia="Times New Roman" w:cs="Times New Roman"/>
                <w:color w:val="000000" w:themeColor="text1" w:themeTint="FF" w:themeShade="FF"/>
                <w:sz w:val="22"/>
                <w:szCs w:val="22"/>
                <w:lang w:val="lt-LT"/>
              </w:rPr>
            </w:pPr>
            <w:r w:rsidRPr="6B5B9199" w:rsidR="6B5B9199">
              <w:rPr>
                <w:rFonts w:ascii="Aptos Narrow" w:hAnsi="Aptos Narrow" w:eastAsia="Times New Roman" w:cs="Times New Roman"/>
                <w:color w:val="000000" w:themeColor="text1" w:themeTint="FF" w:themeShade="FF"/>
                <w:sz w:val="22"/>
                <w:szCs w:val="22"/>
                <w:lang w:val="lt-LT"/>
              </w:rPr>
              <w:t>Procesorių skaičius ir našumas</w:t>
            </w:r>
          </w:p>
        </w:tc>
        <w:tc>
          <w:tcPr>
            <w:tcW w:w="4269" w:type="dxa"/>
            <w:tcBorders>
              <w:top w:val="nil"/>
              <w:left w:val="nil"/>
              <w:bottom w:val="single" w:color="auto" w:sz="4"/>
              <w:right w:val="single" w:color="auto" w:sz="4"/>
            </w:tcBorders>
            <w:shd w:val="clear" w:color="auto" w:fill="auto"/>
            <w:tcMar/>
            <w:vAlign w:val="center"/>
          </w:tcPr>
          <w:p w:rsidR="6B5B9199" w:rsidP="6B5B9199" w:rsidRDefault="6B5B9199" w14:paraId="400FF815" w14:textId="53D8A3FE">
            <w:pPr>
              <w:spacing w:after="0" w:line="240" w:lineRule="auto"/>
              <w:jc w:val="center"/>
              <w:rPr>
                <w:rFonts w:ascii="Aptos Narrow" w:hAnsi="Aptos Narrow" w:eastAsia="Times New Roman" w:cs="Times New Roman"/>
                <w:color w:val="000000" w:themeColor="text1" w:themeTint="FF" w:themeShade="FF"/>
                <w:sz w:val="22"/>
                <w:szCs w:val="22"/>
                <w:lang w:val="lt-LT"/>
              </w:rPr>
            </w:pPr>
            <w:r w:rsidRPr="1FEC0253" w:rsidR="6B5B9199">
              <w:rPr>
                <w:rFonts w:ascii="Aptos Narrow" w:hAnsi="Aptos Narrow" w:eastAsia="Times New Roman" w:cs="Times New Roman"/>
                <w:color w:val="000000" w:themeColor="text1" w:themeTint="FF" w:themeShade="FF"/>
                <w:sz w:val="22"/>
                <w:szCs w:val="22"/>
                <w:lang w:val="lt-LT"/>
              </w:rPr>
              <w:t xml:space="preserve">Ne mažiau kaip </w:t>
            </w:r>
            <w:r w:rsidRPr="1FEC0253" w:rsidR="67173B7A">
              <w:rPr>
                <w:rFonts w:ascii="Aptos Narrow" w:hAnsi="Aptos Narrow" w:eastAsia="Times New Roman" w:cs="Times New Roman"/>
                <w:color w:val="000000" w:themeColor="text1" w:themeTint="FF" w:themeShade="FF"/>
                <w:sz w:val="22"/>
                <w:szCs w:val="22"/>
                <w:lang w:val="lt-LT"/>
              </w:rPr>
              <w:t>2</w:t>
            </w:r>
            <w:r w:rsidRPr="1FEC0253" w:rsidR="6B5B9199">
              <w:rPr>
                <w:rFonts w:ascii="Aptos Narrow" w:hAnsi="Aptos Narrow" w:eastAsia="Times New Roman" w:cs="Times New Roman"/>
                <w:color w:val="000000" w:themeColor="text1" w:themeTint="FF" w:themeShade="FF"/>
                <w:sz w:val="22"/>
                <w:szCs w:val="22"/>
                <w:lang w:val="lt-LT"/>
              </w:rPr>
              <w:t xml:space="preserve"> procesori</w:t>
            </w:r>
            <w:r w:rsidRPr="1FEC0253" w:rsidR="32E073B0">
              <w:rPr>
                <w:rFonts w:ascii="Aptos Narrow" w:hAnsi="Aptos Narrow" w:eastAsia="Times New Roman" w:cs="Times New Roman"/>
                <w:color w:val="000000" w:themeColor="text1" w:themeTint="FF" w:themeShade="FF"/>
                <w:sz w:val="22"/>
                <w:szCs w:val="22"/>
                <w:lang w:val="lt-LT"/>
              </w:rPr>
              <w:t>ų</w:t>
            </w:r>
            <w:r w:rsidRPr="1FEC0253" w:rsidR="6B5B9199">
              <w:rPr>
                <w:rFonts w:ascii="Aptos Narrow" w:hAnsi="Aptos Narrow" w:eastAsia="Times New Roman" w:cs="Times New Roman"/>
                <w:color w:val="000000" w:themeColor="text1" w:themeTint="FF" w:themeShade="FF"/>
                <w:sz w:val="22"/>
                <w:szCs w:val="22"/>
                <w:lang w:val="lt-LT"/>
              </w:rPr>
              <w:t xml:space="preserve"> su ne mažiau kaip </w:t>
            </w:r>
            <w:r w:rsidRPr="1FEC0253" w:rsidR="5A053D03">
              <w:rPr>
                <w:rFonts w:ascii="Aptos Narrow" w:hAnsi="Aptos Narrow" w:eastAsia="Times New Roman" w:cs="Times New Roman"/>
                <w:color w:val="000000" w:themeColor="text1" w:themeTint="FF" w:themeShade="FF"/>
                <w:sz w:val="22"/>
                <w:szCs w:val="22"/>
                <w:lang w:val="lt-LT"/>
              </w:rPr>
              <w:t>96</w:t>
            </w:r>
            <w:r w:rsidRPr="1FEC0253" w:rsidR="6B5B9199">
              <w:rPr>
                <w:rFonts w:ascii="Aptos Narrow" w:hAnsi="Aptos Narrow" w:eastAsia="Times New Roman" w:cs="Times New Roman"/>
                <w:color w:val="000000" w:themeColor="text1" w:themeTint="FF" w:themeShade="FF"/>
                <w:sz w:val="22"/>
                <w:szCs w:val="22"/>
                <w:lang w:val="lt-LT"/>
              </w:rPr>
              <w:t xml:space="preserve"> fiziniais branduoliais</w:t>
            </w:r>
            <w:r w:rsidRPr="1FEC0253" w:rsidR="2F717C34">
              <w:rPr>
                <w:rFonts w:ascii="Aptos Narrow" w:hAnsi="Aptos Narrow" w:eastAsia="Times New Roman" w:cs="Times New Roman"/>
                <w:color w:val="000000" w:themeColor="text1" w:themeTint="FF" w:themeShade="FF"/>
                <w:sz w:val="22"/>
                <w:szCs w:val="22"/>
                <w:lang w:val="lt-LT"/>
              </w:rPr>
              <w:t xml:space="preserve"> (individualus)</w:t>
            </w:r>
            <w:r w:rsidRPr="1FEC0253" w:rsidR="6B5B9199">
              <w:rPr>
                <w:rFonts w:ascii="Aptos Narrow" w:hAnsi="Aptos Narrow" w:eastAsia="Times New Roman" w:cs="Times New Roman"/>
                <w:color w:val="000000" w:themeColor="text1" w:themeTint="FF" w:themeShade="FF"/>
                <w:sz w:val="22"/>
                <w:szCs w:val="22"/>
                <w:lang w:val="lt-LT"/>
              </w:rPr>
              <w:t>, palaikantis x86_64 architektūrą.</w:t>
            </w:r>
          </w:p>
        </w:tc>
        <w:tc>
          <w:tcPr>
            <w:tcW w:w="2597" w:type="dxa"/>
            <w:tcBorders>
              <w:top w:val="nil"/>
              <w:left w:val="nil"/>
              <w:bottom w:val="single" w:color="auto" w:sz="4"/>
              <w:right w:val="single" w:color="auto" w:sz="4"/>
            </w:tcBorders>
            <w:shd w:val="clear" w:color="auto" w:fill="auto"/>
            <w:tcMar/>
            <w:vAlign w:val="bottom"/>
          </w:tcPr>
          <w:p w:rsidR="6B5B9199" w:rsidP="6B5B9199" w:rsidRDefault="6B5B9199" w14:noSpellErr="1" w14:paraId="2867B9E2">
            <w:pPr>
              <w:spacing w:after="0" w:line="240" w:lineRule="auto"/>
              <w:jc w:val="center"/>
              <w:rPr>
                <w:rFonts w:ascii="Aptos Narrow" w:hAnsi="Aptos Narrow" w:eastAsia="Times New Roman" w:cs="Times New Roman"/>
                <w:color w:val="000000" w:themeColor="text1" w:themeTint="FF" w:themeShade="FF"/>
                <w:sz w:val="22"/>
                <w:szCs w:val="22"/>
                <w:lang w:val="lt-LT"/>
              </w:rPr>
            </w:pPr>
            <w:r w:rsidRPr="6B5B9199" w:rsidR="6B5B9199">
              <w:rPr>
                <w:rFonts w:ascii="Aptos Narrow" w:hAnsi="Aptos Narrow" w:eastAsia="Times New Roman" w:cs="Times New Roman"/>
                <w:color w:val="000000" w:themeColor="text1" w:themeTint="FF" w:themeShade="FF"/>
                <w:sz w:val="22"/>
                <w:szCs w:val="22"/>
                <w:lang w:val="lt-LT"/>
              </w:rPr>
              <w:t> </w:t>
            </w:r>
          </w:p>
        </w:tc>
      </w:tr>
      <w:tr w:rsidR="6B5B9199" w:rsidTr="1FEC0253" w14:paraId="1F37E48C">
        <w:trPr>
          <w:trHeight w:val="300"/>
        </w:trPr>
        <w:tc>
          <w:tcPr>
            <w:tcW w:w="562" w:type="dxa"/>
            <w:tcBorders>
              <w:top w:val="nil"/>
              <w:left w:val="single" w:color="auto" w:sz="4"/>
              <w:bottom w:val="single" w:color="auto" w:sz="4"/>
              <w:right w:val="single" w:color="auto" w:sz="4"/>
            </w:tcBorders>
            <w:shd w:val="clear" w:color="auto" w:fill="auto"/>
            <w:tcMar/>
            <w:vAlign w:val="center"/>
          </w:tcPr>
          <w:p w:rsidR="6B5B9199" w:rsidP="6B5B9199" w:rsidRDefault="6B5B9199" w14:noSpellErr="1" w14:paraId="6E2EC29D">
            <w:pPr>
              <w:spacing w:after="0" w:line="240" w:lineRule="auto"/>
              <w:jc w:val="center"/>
              <w:rPr>
                <w:rFonts w:ascii="Aptos Narrow" w:hAnsi="Aptos Narrow" w:eastAsia="Times New Roman" w:cs="Times New Roman"/>
                <w:color w:val="000000" w:themeColor="text1" w:themeTint="FF" w:themeShade="FF"/>
                <w:sz w:val="22"/>
                <w:szCs w:val="22"/>
                <w:lang w:val="lt-LT"/>
              </w:rPr>
            </w:pPr>
            <w:r w:rsidRPr="6B5B9199" w:rsidR="6B5B9199">
              <w:rPr>
                <w:rFonts w:ascii="Aptos Narrow" w:hAnsi="Aptos Narrow" w:eastAsia="Times New Roman" w:cs="Times New Roman"/>
                <w:color w:val="000000" w:themeColor="text1" w:themeTint="FF" w:themeShade="FF"/>
                <w:sz w:val="22"/>
                <w:szCs w:val="22"/>
                <w:lang w:val="lt-LT"/>
              </w:rPr>
              <w:t>3</w:t>
            </w:r>
          </w:p>
        </w:tc>
        <w:tc>
          <w:tcPr>
            <w:tcW w:w="1922" w:type="dxa"/>
            <w:tcBorders>
              <w:top w:val="nil"/>
              <w:left w:val="nil"/>
              <w:bottom w:val="single" w:color="auto" w:sz="4"/>
              <w:right w:val="single" w:color="auto" w:sz="4"/>
            </w:tcBorders>
            <w:shd w:val="clear" w:color="auto" w:fill="auto"/>
            <w:tcMar/>
            <w:vAlign w:val="center"/>
          </w:tcPr>
          <w:p w:rsidR="6B5B9199" w:rsidP="6B5B9199" w:rsidRDefault="6B5B9199" w14:noSpellErr="1" w14:paraId="3BF3EFED">
            <w:pPr>
              <w:spacing w:after="0" w:line="240" w:lineRule="auto"/>
              <w:jc w:val="center"/>
              <w:rPr>
                <w:rFonts w:ascii="Aptos Narrow" w:hAnsi="Aptos Narrow" w:eastAsia="Times New Roman" w:cs="Times New Roman"/>
                <w:color w:val="000000" w:themeColor="text1" w:themeTint="FF" w:themeShade="FF"/>
                <w:sz w:val="22"/>
                <w:szCs w:val="22"/>
                <w:lang w:val="lt-LT"/>
              </w:rPr>
            </w:pPr>
            <w:r w:rsidRPr="6B5B9199" w:rsidR="6B5B9199">
              <w:rPr>
                <w:rFonts w:ascii="Aptos Narrow" w:hAnsi="Aptos Narrow" w:eastAsia="Times New Roman" w:cs="Times New Roman"/>
                <w:color w:val="000000" w:themeColor="text1" w:themeTint="FF" w:themeShade="FF"/>
                <w:sz w:val="22"/>
                <w:szCs w:val="22"/>
                <w:lang w:val="lt-LT"/>
              </w:rPr>
              <w:t>Operatyvinė atmintis (RAM)</w:t>
            </w:r>
          </w:p>
        </w:tc>
        <w:tc>
          <w:tcPr>
            <w:tcW w:w="4269" w:type="dxa"/>
            <w:tcBorders>
              <w:top w:val="nil"/>
              <w:left w:val="nil"/>
              <w:bottom w:val="single" w:color="auto" w:sz="4"/>
              <w:right w:val="single" w:color="auto" w:sz="4"/>
            </w:tcBorders>
            <w:shd w:val="clear" w:color="auto" w:fill="auto"/>
            <w:tcMar/>
            <w:vAlign w:val="center"/>
          </w:tcPr>
          <w:p w:rsidR="6B5B9199" w:rsidP="6B5B9199" w:rsidRDefault="6B5B9199" w14:noSpellErr="1" w14:paraId="26E85ADC">
            <w:pPr>
              <w:spacing w:after="0" w:line="240" w:lineRule="auto"/>
              <w:jc w:val="center"/>
              <w:rPr>
                <w:rFonts w:ascii="Aptos Narrow" w:hAnsi="Aptos Narrow" w:eastAsia="Times New Roman" w:cs="Times New Roman"/>
                <w:color w:val="000000" w:themeColor="text1" w:themeTint="FF" w:themeShade="FF"/>
                <w:sz w:val="22"/>
                <w:szCs w:val="22"/>
                <w:lang w:val="lt-LT"/>
              </w:rPr>
            </w:pPr>
            <w:r w:rsidRPr="6B5B9199" w:rsidR="6B5B9199">
              <w:rPr>
                <w:rFonts w:ascii="Aptos Narrow" w:hAnsi="Aptos Narrow" w:eastAsia="Times New Roman" w:cs="Times New Roman"/>
                <w:color w:val="000000" w:themeColor="text1" w:themeTint="FF" w:themeShade="FF"/>
                <w:sz w:val="22"/>
                <w:szCs w:val="22"/>
                <w:lang w:val="lt-LT"/>
              </w:rPr>
              <w:t>Ne mažiau kaip 512 GB ECC DDR4 arba naujesnės technologijos.</w:t>
            </w:r>
          </w:p>
        </w:tc>
        <w:tc>
          <w:tcPr>
            <w:tcW w:w="2597" w:type="dxa"/>
            <w:tcBorders>
              <w:top w:val="nil"/>
              <w:left w:val="nil"/>
              <w:bottom w:val="single" w:color="auto" w:sz="4"/>
              <w:right w:val="single" w:color="auto" w:sz="4"/>
            </w:tcBorders>
            <w:shd w:val="clear" w:color="auto" w:fill="auto"/>
            <w:tcMar/>
            <w:vAlign w:val="bottom"/>
          </w:tcPr>
          <w:p w:rsidR="6B5B9199" w:rsidP="6B5B9199" w:rsidRDefault="6B5B9199" w14:noSpellErr="1" w14:paraId="54BD2428">
            <w:pPr>
              <w:spacing w:after="0" w:line="240" w:lineRule="auto"/>
              <w:jc w:val="center"/>
              <w:rPr>
                <w:rFonts w:ascii="Aptos Narrow" w:hAnsi="Aptos Narrow" w:eastAsia="Times New Roman" w:cs="Times New Roman"/>
                <w:color w:val="000000" w:themeColor="text1" w:themeTint="FF" w:themeShade="FF"/>
                <w:sz w:val="22"/>
                <w:szCs w:val="22"/>
                <w:lang w:val="lt-LT"/>
              </w:rPr>
            </w:pPr>
            <w:r w:rsidRPr="6B5B9199" w:rsidR="6B5B9199">
              <w:rPr>
                <w:rFonts w:ascii="Aptos Narrow" w:hAnsi="Aptos Narrow" w:eastAsia="Times New Roman" w:cs="Times New Roman"/>
                <w:color w:val="000000" w:themeColor="text1" w:themeTint="FF" w:themeShade="FF"/>
                <w:sz w:val="22"/>
                <w:szCs w:val="22"/>
                <w:lang w:val="lt-LT"/>
              </w:rPr>
              <w:t> </w:t>
            </w:r>
          </w:p>
        </w:tc>
      </w:tr>
      <w:tr w:rsidR="6B5B9199" w:rsidTr="1FEC0253" w14:paraId="5C026E63">
        <w:trPr>
          <w:trHeight w:val="300"/>
        </w:trPr>
        <w:tc>
          <w:tcPr>
            <w:tcW w:w="562" w:type="dxa"/>
            <w:tcBorders>
              <w:top w:val="nil"/>
              <w:left w:val="single" w:color="auto" w:sz="4"/>
              <w:bottom w:val="single" w:color="auto" w:sz="4"/>
              <w:right w:val="single" w:color="auto" w:sz="4"/>
            </w:tcBorders>
            <w:shd w:val="clear" w:color="auto" w:fill="auto"/>
            <w:tcMar/>
            <w:vAlign w:val="center"/>
          </w:tcPr>
          <w:p w:rsidR="6B5B9199" w:rsidP="6B5B9199" w:rsidRDefault="6B5B9199" w14:noSpellErr="1" w14:paraId="165C0AF9">
            <w:pPr>
              <w:spacing w:after="0" w:line="240" w:lineRule="auto"/>
              <w:jc w:val="center"/>
              <w:rPr>
                <w:rFonts w:ascii="Aptos Narrow" w:hAnsi="Aptos Narrow" w:eastAsia="Times New Roman" w:cs="Times New Roman"/>
                <w:color w:val="000000" w:themeColor="text1" w:themeTint="FF" w:themeShade="FF"/>
                <w:sz w:val="22"/>
                <w:szCs w:val="22"/>
                <w:lang w:val="lt-LT"/>
              </w:rPr>
            </w:pPr>
            <w:r w:rsidRPr="6B5B9199" w:rsidR="6B5B9199">
              <w:rPr>
                <w:rFonts w:ascii="Aptos Narrow" w:hAnsi="Aptos Narrow" w:eastAsia="Times New Roman" w:cs="Times New Roman"/>
                <w:color w:val="000000" w:themeColor="text1" w:themeTint="FF" w:themeShade="FF"/>
                <w:sz w:val="22"/>
                <w:szCs w:val="22"/>
                <w:lang w:val="lt-LT"/>
              </w:rPr>
              <w:t>4</w:t>
            </w:r>
          </w:p>
        </w:tc>
        <w:tc>
          <w:tcPr>
            <w:tcW w:w="1922" w:type="dxa"/>
            <w:tcBorders>
              <w:top w:val="nil"/>
              <w:left w:val="nil"/>
              <w:bottom w:val="single" w:color="auto" w:sz="4"/>
              <w:right w:val="single" w:color="auto" w:sz="4"/>
            </w:tcBorders>
            <w:shd w:val="clear" w:color="auto" w:fill="auto"/>
            <w:tcMar/>
            <w:vAlign w:val="center"/>
          </w:tcPr>
          <w:p w:rsidR="6B5B9199" w:rsidP="6B5B9199" w:rsidRDefault="6B5B9199" w14:noSpellErr="1" w14:paraId="40EC6BF0">
            <w:pPr>
              <w:spacing w:after="0" w:line="240" w:lineRule="auto"/>
              <w:jc w:val="center"/>
              <w:rPr>
                <w:rFonts w:ascii="Aptos Narrow" w:hAnsi="Aptos Narrow" w:eastAsia="Times New Roman" w:cs="Times New Roman"/>
                <w:color w:val="000000" w:themeColor="text1" w:themeTint="FF" w:themeShade="FF"/>
                <w:sz w:val="22"/>
                <w:szCs w:val="22"/>
                <w:lang w:val="lt-LT"/>
              </w:rPr>
            </w:pPr>
            <w:r w:rsidRPr="6B5B9199" w:rsidR="6B5B9199">
              <w:rPr>
                <w:rFonts w:ascii="Aptos Narrow" w:hAnsi="Aptos Narrow" w:eastAsia="Times New Roman" w:cs="Times New Roman"/>
                <w:color w:val="000000" w:themeColor="text1" w:themeTint="FF" w:themeShade="FF"/>
                <w:sz w:val="22"/>
                <w:szCs w:val="22"/>
                <w:lang w:val="lt-LT"/>
              </w:rPr>
              <w:t>Vidiniai diskai</w:t>
            </w:r>
          </w:p>
        </w:tc>
        <w:tc>
          <w:tcPr>
            <w:tcW w:w="4269" w:type="dxa"/>
            <w:tcBorders>
              <w:top w:val="nil"/>
              <w:left w:val="nil"/>
              <w:bottom w:val="single" w:color="auto" w:sz="4"/>
              <w:right w:val="single" w:color="auto" w:sz="4"/>
            </w:tcBorders>
            <w:shd w:val="clear" w:color="auto" w:fill="auto"/>
            <w:tcMar/>
            <w:vAlign w:val="center"/>
          </w:tcPr>
          <w:p w:rsidR="6B5B9199" w:rsidP="6B5B9199" w:rsidRDefault="6B5B9199" w14:paraId="67B8903E" w14:textId="64BDED66">
            <w:pPr>
              <w:spacing w:after="0" w:line="240" w:lineRule="auto"/>
              <w:jc w:val="center"/>
              <w:rPr>
                <w:rFonts w:ascii="Aptos Narrow" w:hAnsi="Aptos Narrow" w:eastAsia="Times New Roman" w:cs="Times New Roman"/>
                <w:color w:val="000000" w:themeColor="text1" w:themeTint="FF" w:themeShade="FF"/>
                <w:sz w:val="22"/>
                <w:szCs w:val="22"/>
                <w:lang w:val="lt-LT"/>
              </w:rPr>
            </w:pPr>
            <w:r w:rsidRPr="1FEC0253" w:rsidR="6B5B9199">
              <w:rPr>
                <w:rFonts w:ascii="Aptos Narrow" w:hAnsi="Aptos Narrow" w:eastAsia="Times New Roman" w:cs="Times New Roman"/>
                <w:color w:val="000000" w:themeColor="text1" w:themeTint="FF" w:themeShade="FF"/>
                <w:sz w:val="22"/>
                <w:szCs w:val="22"/>
                <w:lang w:val="lt-LT"/>
              </w:rPr>
              <w:t xml:space="preserve">Ne mažiau kaip 2 vnt. 2 TB </w:t>
            </w:r>
            <w:r w:rsidRPr="1FEC0253" w:rsidR="6B5B9199">
              <w:rPr>
                <w:rFonts w:ascii="Aptos Narrow" w:hAnsi="Aptos Narrow" w:eastAsia="Times New Roman" w:cs="Times New Roman"/>
                <w:color w:val="000000" w:themeColor="text1" w:themeTint="FF" w:themeShade="FF"/>
                <w:sz w:val="22"/>
                <w:szCs w:val="22"/>
                <w:lang w:val="lt-LT"/>
              </w:rPr>
              <w:t>NVMe</w:t>
            </w:r>
            <w:r w:rsidRPr="1FEC0253" w:rsidR="6B5B9199">
              <w:rPr>
                <w:rFonts w:ascii="Aptos Narrow" w:hAnsi="Aptos Narrow" w:eastAsia="Times New Roman" w:cs="Times New Roman"/>
                <w:color w:val="000000" w:themeColor="text1" w:themeTint="FF" w:themeShade="FF"/>
                <w:sz w:val="22"/>
                <w:szCs w:val="22"/>
                <w:lang w:val="lt-LT"/>
              </w:rPr>
              <w:t xml:space="preserve"> SSD, sukonfigūruoti RAID 1 režimu operacinei sistemai ir programoms. Papildomai – ne mažiau k</w:t>
            </w:r>
            <w:r w:rsidRPr="1FEC0253" w:rsidR="6B5B9199">
              <w:rPr>
                <w:rFonts w:ascii="Aptos Narrow" w:hAnsi="Aptos Narrow" w:eastAsia="Times New Roman" w:cs="Times New Roman"/>
                <w:color w:val="000000" w:themeColor="text1" w:themeTint="FF" w:themeShade="FF"/>
                <w:sz w:val="22"/>
                <w:szCs w:val="22"/>
                <w:lang w:val="lt-LT"/>
              </w:rPr>
              <w:t xml:space="preserve">aip </w:t>
            </w:r>
            <w:r w:rsidRPr="1FEC0253" w:rsidR="1C7E076B">
              <w:rPr>
                <w:rFonts w:ascii="Aptos Narrow" w:hAnsi="Aptos Narrow" w:eastAsia="Times New Roman" w:cs="Times New Roman"/>
                <w:color w:val="000000" w:themeColor="text1" w:themeTint="FF" w:themeShade="FF"/>
                <w:sz w:val="22"/>
                <w:szCs w:val="22"/>
                <w:lang w:val="lt-LT"/>
              </w:rPr>
              <w:t>1</w:t>
            </w:r>
            <w:r w:rsidRPr="1FEC0253" w:rsidR="1C7E076B">
              <w:rPr>
                <w:rFonts w:ascii="Aptos Narrow" w:hAnsi="Aptos Narrow" w:eastAsia="Times New Roman" w:cs="Times New Roman"/>
                <w:color w:val="000000" w:themeColor="text1" w:themeTint="FF" w:themeShade="FF"/>
                <w:sz w:val="22"/>
                <w:szCs w:val="22"/>
                <w:lang w:val="lt-LT"/>
              </w:rPr>
              <w:t>0</w:t>
            </w:r>
            <w:r w:rsidRPr="1FEC0253" w:rsidR="6B5B9199">
              <w:rPr>
                <w:rFonts w:ascii="Aptos Narrow" w:hAnsi="Aptos Narrow" w:eastAsia="Times New Roman" w:cs="Times New Roman"/>
                <w:color w:val="000000" w:themeColor="text1" w:themeTint="FF" w:themeShade="FF"/>
                <w:sz w:val="22"/>
                <w:szCs w:val="22"/>
                <w:lang w:val="lt-LT"/>
              </w:rPr>
              <w:t xml:space="preserve"> vnt. </w:t>
            </w:r>
            <w:r w:rsidRPr="1FEC0253" w:rsidR="1E0F6987">
              <w:rPr>
                <w:rFonts w:ascii="Aptos Narrow" w:hAnsi="Aptos Narrow" w:eastAsia="Times New Roman" w:cs="Times New Roman"/>
                <w:color w:val="000000" w:themeColor="text1" w:themeTint="FF" w:themeShade="FF"/>
                <w:sz w:val="22"/>
                <w:szCs w:val="22"/>
                <w:lang w:val="lt-LT"/>
              </w:rPr>
              <w:t>1</w:t>
            </w:r>
            <w:r w:rsidRPr="1FEC0253" w:rsidR="435B6116">
              <w:rPr>
                <w:rFonts w:ascii="Aptos Narrow" w:hAnsi="Aptos Narrow" w:eastAsia="Times New Roman" w:cs="Times New Roman"/>
                <w:color w:val="000000" w:themeColor="text1" w:themeTint="FF" w:themeShade="FF"/>
                <w:sz w:val="22"/>
                <w:szCs w:val="22"/>
                <w:lang w:val="lt-LT"/>
              </w:rPr>
              <w:t xml:space="preserve">8 </w:t>
            </w:r>
            <w:r w:rsidRPr="1FEC0253" w:rsidR="6B5B9199">
              <w:rPr>
                <w:rFonts w:ascii="Aptos Narrow" w:hAnsi="Aptos Narrow" w:eastAsia="Times New Roman" w:cs="Times New Roman"/>
                <w:color w:val="000000" w:themeColor="text1" w:themeTint="FF" w:themeShade="FF"/>
                <w:sz w:val="22"/>
                <w:szCs w:val="22"/>
                <w:lang w:val="lt-LT"/>
              </w:rPr>
              <w:t xml:space="preserve">TB </w:t>
            </w:r>
            <w:r w:rsidRPr="1FEC0253" w:rsidR="4B2A33C1">
              <w:rPr>
                <w:rFonts w:ascii="Aptos Narrow" w:hAnsi="Aptos Narrow" w:eastAsia="Times New Roman" w:cs="Times New Roman"/>
                <w:color w:val="000000" w:themeColor="text1" w:themeTint="FF" w:themeShade="FF"/>
                <w:sz w:val="22"/>
                <w:szCs w:val="22"/>
                <w:lang w:val="lt-LT"/>
              </w:rPr>
              <w:t xml:space="preserve"> HDD </w:t>
            </w:r>
            <w:r w:rsidRPr="1FEC0253" w:rsidR="6B5B9199">
              <w:rPr>
                <w:rFonts w:ascii="Aptos Narrow" w:hAnsi="Aptos Narrow" w:eastAsia="Times New Roman" w:cs="Times New Roman"/>
                <w:color w:val="000000" w:themeColor="text1" w:themeTint="FF" w:themeShade="FF"/>
                <w:sz w:val="22"/>
                <w:szCs w:val="22"/>
                <w:lang w:val="lt-LT"/>
              </w:rPr>
              <w:t>duomenų saugojimui.</w:t>
            </w:r>
          </w:p>
        </w:tc>
        <w:tc>
          <w:tcPr>
            <w:tcW w:w="2597" w:type="dxa"/>
            <w:tcBorders>
              <w:top w:val="nil"/>
              <w:left w:val="nil"/>
              <w:bottom w:val="single" w:color="auto" w:sz="4"/>
              <w:right w:val="single" w:color="auto" w:sz="4"/>
            </w:tcBorders>
            <w:shd w:val="clear" w:color="auto" w:fill="auto"/>
            <w:tcMar/>
            <w:vAlign w:val="bottom"/>
          </w:tcPr>
          <w:p w:rsidR="6B5B9199" w:rsidP="6B5B9199" w:rsidRDefault="6B5B9199" w14:noSpellErr="1" w14:paraId="5DA0EB8E">
            <w:pPr>
              <w:spacing w:after="0" w:line="240" w:lineRule="auto"/>
              <w:jc w:val="center"/>
              <w:rPr>
                <w:rFonts w:ascii="Aptos Narrow" w:hAnsi="Aptos Narrow" w:eastAsia="Times New Roman" w:cs="Times New Roman"/>
                <w:color w:val="000000" w:themeColor="text1" w:themeTint="FF" w:themeShade="FF"/>
                <w:sz w:val="22"/>
                <w:szCs w:val="22"/>
                <w:lang w:val="lt-LT"/>
              </w:rPr>
            </w:pPr>
            <w:r w:rsidRPr="6B5B9199" w:rsidR="6B5B9199">
              <w:rPr>
                <w:rFonts w:ascii="Aptos Narrow" w:hAnsi="Aptos Narrow" w:eastAsia="Times New Roman" w:cs="Times New Roman"/>
                <w:color w:val="000000" w:themeColor="text1" w:themeTint="FF" w:themeShade="FF"/>
                <w:sz w:val="22"/>
                <w:szCs w:val="22"/>
                <w:lang w:val="lt-LT"/>
              </w:rPr>
              <w:t> </w:t>
            </w:r>
          </w:p>
        </w:tc>
      </w:tr>
      <w:tr w:rsidR="6B5B9199" w:rsidTr="1FEC0253" w14:paraId="18857A3C">
        <w:trPr>
          <w:trHeight w:val="300"/>
        </w:trPr>
        <w:tc>
          <w:tcPr>
            <w:tcW w:w="562" w:type="dxa"/>
            <w:tcBorders>
              <w:top w:val="nil"/>
              <w:left w:val="single" w:color="auto" w:sz="4"/>
              <w:bottom w:val="single" w:color="auto" w:sz="4"/>
              <w:right w:val="single" w:color="auto" w:sz="4"/>
            </w:tcBorders>
            <w:shd w:val="clear" w:color="auto" w:fill="auto"/>
            <w:tcMar/>
            <w:vAlign w:val="center"/>
          </w:tcPr>
          <w:p w:rsidR="6B5B9199" w:rsidP="6B5B9199" w:rsidRDefault="6B5B9199" w14:noSpellErr="1" w14:paraId="1D1D2591">
            <w:pPr>
              <w:spacing w:after="0" w:line="240" w:lineRule="auto"/>
              <w:jc w:val="center"/>
              <w:rPr>
                <w:rFonts w:ascii="Aptos Narrow" w:hAnsi="Aptos Narrow" w:eastAsia="Times New Roman" w:cs="Times New Roman"/>
                <w:color w:val="000000" w:themeColor="text1" w:themeTint="FF" w:themeShade="FF"/>
                <w:sz w:val="22"/>
                <w:szCs w:val="22"/>
                <w:lang w:val="lt-LT"/>
              </w:rPr>
            </w:pPr>
            <w:r w:rsidRPr="6B5B9199" w:rsidR="6B5B9199">
              <w:rPr>
                <w:rFonts w:ascii="Aptos Narrow" w:hAnsi="Aptos Narrow" w:eastAsia="Times New Roman" w:cs="Times New Roman"/>
                <w:color w:val="000000" w:themeColor="text1" w:themeTint="FF" w:themeShade="FF"/>
                <w:sz w:val="22"/>
                <w:szCs w:val="22"/>
                <w:lang w:val="lt-LT"/>
              </w:rPr>
              <w:t>5</w:t>
            </w:r>
          </w:p>
        </w:tc>
        <w:tc>
          <w:tcPr>
            <w:tcW w:w="1922" w:type="dxa"/>
            <w:tcBorders>
              <w:top w:val="nil"/>
              <w:left w:val="nil"/>
              <w:bottom w:val="single" w:color="auto" w:sz="4"/>
              <w:right w:val="single" w:color="auto" w:sz="4"/>
            </w:tcBorders>
            <w:shd w:val="clear" w:color="auto" w:fill="auto"/>
            <w:tcMar/>
            <w:vAlign w:val="center"/>
          </w:tcPr>
          <w:p w:rsidR="6B5B9199" w:rsidP="6B5B9199" w:rsidRDefault="6B5B9199" w14:noSpellErr="1" w14:paraId="3404240B">
            <w:pPr>
              <w:spacing w:after="0" w:line="240" w:lineRule="auto"/>
              <w:jc w:val="center"/>
              <w:rPr>
                <w:rFonts w:ascii="Aptos Narrow" w:hAnsi="Aptos Narrow" w:eastAsia="Times New Roman" w:cs="Times New Roman"/>
                <w:color w:val="000000" w:themeColor="text1" w:themeTint="FF" w:themeShade="FF"/>
                <w:sz w:val="22"/>
                <w:szCs w:val="22"/>
                <w:lang w:val="lt-LT"/>
              </w:rPr>
            </w:pPr>
            <w:r w:rsidRPr="6B5B9199" w:rsidR="6B5B9199">
              <w:rPr>
                <w:rFonts w:ascii="Aptos Narrow" w:hAnsi="Aptos Narrow" w:eastAsia="Times New Roman" w:cs="Times New Roman"/>
                <w:color w:val="000000" w:themeColor="text1" w:themeTint="FF" w:themeShade="FF"/>
                <w:sz w:val="22"/>
                <w:szCs w:val="22"/>
                <w:lang w:val="lt-LT"/>
              </w:rPr>
              <w:t>Grafikos plokštė (GPU)</w:t>
            </w:r>
          </w:p>
        </w:tc>
        <w:tc>
          <w:tcPr>
            <w:tcW w:w="4269" w:type="dxa"/>
            <w:tcBorders>
              <w:top w:val="nil"/>
              <w:left w:val="nil"/>
              <w:bottom w:val="single" w:color="auto" w:sz="4"/>
              <w:right w:val="single" w:color="auto" w:sz="4"/>
            </w:tcBorders>
            <w:shd w:val="clear" w:color="auto" w:fill="auto"/>
            <w:tcMar/>
            <w:vAlign w:val="center"/>
          </w:tcPr>
          <w:p w:rsidR="6B5B9199" w:rsidP="50F7B906" w:rsidRDefault="6B5B9199" w14:paraId="606D6C95" w14:textId="51267882">
            <w:pPr>
              <w:pStyle w:val="Normal"/>
              <w:spacing w:after="0" w:line="240" w:lineRule="auto"/>
              <w:jc w:val="center"/>
              <w:rPr>
                <w:rFonts w:ascii="Aptos Narrow" w:hAnsi="Aptos Narrow" w:eastAsia="Aptos Narrow" w:cs="Aptos Narrow"/>
                <w:noProof w:val="0"/>
                <w:sz w:val="22"/>
                <w:szCs w:val="22"/>
                <w:lang w:val="lt-LT"/>
              </w:rPr>
            </w:pPr>
            <w:r w:rsidRPr="50F7B906" w:rsidR="6921EA4A">
              <w:rPr>
                <w:rFonts w:ascii="Aptos Narrow" w:hAnsi="Aptos Narrow" w:eastAsia="Aptos Narrow" w:cs="Aptos Narrow"/>
                <w:noProof w:val="0"/>
                <w:sz w:val="22"/>
                <w:szCs w:val="22"/>
                <w:lang w:val="lt-LT"/>
              </w:rPr>
              <w:t>Ne mažiau kaip 16 GB VRAM, palaikanti CUDA/</w:t>
            </w:r>
            <w:r w:rsidRPr="50F7B906" w:rsidR="6921EA4A">
              <w:rPr>
                <w:rFonts w:ascii="Aptos Narrow" w:hAnsi="Aptos Narrow" w:eastAsia="Aptos Narrow" w:cs="Aptos Narrow"/>
                <w:noProof w:val="0"/>
                <w:sz w:val="22"/>
                <w:szCs w:val="22"/>
                <w:lang w:val="lt-LT"/>
              </w:rPr>
              <w:t>OpenCL</w:t>
            </w:r>
          </w:p>
        </w:tc>
        <w:tc>
          <w:tcPr>
            <w:tcW w:w="2597" w:type="dxa"/>
            <w:tcBorders>
              <w:top w:val="nil"/>
              <w:left w:val="nil"/>
              <w:bottom w:val="single" w:color="auto" w:sz="4"/>
              <w:right w:val="single" w:color="auto" w:sz="4"/>
            </w:tcBorders>
            <w:shd w:val="clear" w:color="auto" w:fill="auto"/>
            <w:tcMar/>
            <w:vAlign w:val="bottom"/>
          </w:tcPr>
          <w:p w:rsidR="6B5B9199" w:rsidP="6B5B9199" w:rsidRDefault="6B5B9199" w14:noSpellErr="1" w14:paraId="597C86B7">
            <w:pPr>
              <w:spacing w:after="0" w:line="240" w:lineRule="auto"/>
              <w:jc w:val="center"/>
              <w:rPr>
                <w:rFonts w:ascii="Aptos Narrow" w:hAnsi="Aptos Narrow" w:eastAsia="Times New Roman" w:cs="Times New Roman"/>
                <w:color w:val="000000" w:themeColor="text1" w:themeTint="FF" w:themeShade="FF"/>
                <w:sz w:val="22"/>
                <w:szCs w:val="22"/>
                <w:lang w:val="lt-LT"/>
              </w:rPr>
            </w:pPr>
            <w:r w:rsidRPr="6B5B9199" w:rsidR="6B5B9199">
              <w:rPr>
                <w:rFonts w:ascii="Aptos Narrow" w:hAnsi="Aptos Narrow" w:eastAsia="Times New Roman" w:cs="Times New Roman"/>
                <w:color w:val="000000" w:themeColor="text1" w:themeTint="FF" w:themeShade="FF"/>
                <w:sz w:val="22"/>
                <w:szCs w:val="22"/>
                <w:lang w:val="lt-LT"/>
              </w:rPr>
              <w:t> </w:t>
            </w:r>
          </w:p>
        </w:tc>
      </w:tr>
      <w:tr w:rsidR="6B5B9199" w:rsidTr="1FEC0253" w14:paraId="36271545">
        <w:trPr>
          <w:trHeight w:val="300"/>
        </w:trPr>
        <w:tc>
          <w:tcPr>
            <w:tcW w:w="562" w:type="dxa"/>
            <w:tcBorders>
              <w:top w:val="nil"/>
              <w:left w:val="single" w:color="auto" w:sz="4"/>
              <w:bottom w:val="single" w:color="auto" w:sz="4"/>
              <w:right w:val="single" w:color="auto" w:sz="4"/>
            </w:tcBorders>
            <w:shd w:val="clear" w:color="auto" w:fill="auto"/>
            <w:tcMar/>
            <w:vAlign w:val="center"/>
          </w:tcPr>
          <w:p w:rsidR="6B5B9199" w:rsidP="6B5B9199" w:rsidRDefault="6B5B9199" w14:noSpellErr="1" w14:paraId="4DFB4BB3">
            <w:pPr>
              <w:spacing w:after="0" w:line="240" w:lineRule="auto"/>
              <w:jc w:val="center"/>
              <w:rPr>
                <w:rFonts w:ascii="Aptos Narrow" w:hAnsi="Aptos Narrow" w:eastAsia="Times New Roman" w:cs="Times New Roman"/>
                <w:color w:val="000000" w:themeColor="text1" w:themeTint="FF" w:themeShade="FF"/>
                <w:sz w:val="22"/>
                <w:szCs w:val="22"/>
                <w:lang w:val="lt-LT"/>
              </w:rPr>
            </w:pPr>
            <w:r w:rsidRPr="6B5B9199" w:rsidR="6B5B9199">
              <w:rPr>
                <w:rFonts w:ascii="Aptos Narrow" w:hAnsi="Aptos Narrow" w:eastAsia="Times New Roman" w:cs="Times New Roman"/>
                <w:color w:val="000000" w:themeColor="text1" w:themeTint="FF" w:themeShade="FF"/>
                <w:sz w:val="22"/>
                <w:szCs w:val="22"/>
                <w:lang w:val="lt-LT"/>
              </w:rPr>
              <w:t>6</w:t>
            </w:r>
          </w:p>
        </w:tc>
        <w:tc>
          <w:tcPr>
            <w:tcW w:w="1922" w:type="dxa"/>
            <w:tcBorders>
              <w:top w:val="nil"/>
              <w:left w:val="nil"/>
              <w:bottom w:val="single" w:color="auto" w:sz="4"/>
              <w:right w:val="single" w:color="auto" w:sz="4"/>
            </w:tcBorders>
            <w:shd w:val="clear" w:color="auto" w:fill="auto"/>
            <w:tcMar/>
            <w:vAlign w:val="center"/>
          </w:tcPr>
          <w:p w:rsidR="6B5B9199" w:rsidP="6B5B9199" w:rsidRDefault="6B5B9199" w14:noSpellErr="1" w14:paraId="6ABC6830">
            <w:pPr>
              <w:spacing w:after="0" w:line="240" w:lineRule="auto"/>
              <w:jc w:val="center"/>
              <w:rPr>
                <w:rFonts w:ascii="Aptos Narrow" w:hAnsi="Aptos Narrow" w:eastAsia="Times New Roman" w:cs="Times New Roman"/>
                <w:color w:val="000000" w:themeColor="text1" w:themeTint="FF" w:themeShade="FF"/>
                <w:sz w:val="22"/>
                <w:szCs w:val="22"/>
                <w:lang w:val="lt-LT"/>
              </w:rPr>
            </w:pPr>
            <w:r w:rsidRPr="6B5B9199" w:rsidR="6B5B9199">
              <w:rPr>
                <w:rFonts w:ascii="Aptos Narrow" w:hAnsi="Aptos Narrow" w:eastAsia="Times New Roman" w:cs="Times New Roman"/>
                <w:color w:val="000000" w:themeColor="text1" w:themeTint="FF" w:themeShade="FF"/>
                <w:sz w:val="22"/>
                <w:szCs w:val="22"/>
                <w:lang w:val="lt-LT"/>
              </w:rPr>
              <w:t>Tinklo sąsaja</w:t>
            </w:r>
          </w:p>
        </w:tc>
        <w:tc>
          <w:tcPr>
            <w:tcW w:w="4269" w:type="dxa"/>
            <w:tcBorders>
              <w:top w:val="nil"/>
              <w:left w:val="nil"/>
              <w:bottom w:val="single" w:color="auto" w:sz="4"/>
              <w:right w:val="single" w:color="auto" w:sz="4"/>
            </w:tcBorders>
            <w:shd w:val="clear" w:color="auto" w:fill="auto"/>
            <w:tcMar/>
            <w:vAlign w:val="center"/>
          </w:tcPr>
          <w:p w:rsidR="6B5B9199" w:rsidP="6B5B9199" w:rsidRDefault="6B5B9199" w14:paraId="3197F046">
            <w:pPr>
              <w:spacing w:after="0" w:line="240" w:lineRule="auto"/>
              <w:jc w:val="center"/>
              <w:rPr>
                <w:rFonts w:ascii="Aptos Narrow" w:hAnsi="Aptos Narrow" w:eastAsia="Times New Roman" w:cs="Times New Roman"/>
                <w:color w:val="000000" w:themeColor="text1" w:themeTint="FF" w:themeShade="FF"/>
                <w:sz w:val="22"/>
                <w:szCs w:val="22"/>
                <w:lang w:val="lt-LT"/>
              </w:rPr>
            </w:pPr>
            <w:r w:rsidRPr="6B5B9199" w:rsidR="6B5B9199">
              <w:rPr>
                <w:rFonts w:ascii="Aptos Narrow" w:hAnsi="Aptos Narrow" w:eastAsia="Times New Roman" w:cs="Times New Roman"/>
                <w:color w:val="000000" w:themeColor="text1" w:themeTint="FF" w:themeShade="FF"/>
                <w:sz w:val="22"/>
                <w:szCs w:val="22"/>
                <w:lang w:val="lt-LT"/>
              </w:rPr>
              <w:t xml:space="preserve">Ne mažiau kaip 1 vnt. 10 </w:t>
            </w:r>
            <w:r w:rsidRPr="6B5B9199" w:rsidR="6B5B9199">
              <w:rPr>
                <w:rFonts w:ascii="Aptos Narrow" w:hAnsi="Aptos Narrow" w:eastAsia="Times New Roman" w:cs="Times New Roman"/>
                <w:color w:val="000000" w:themeColor="text1" w:themeTint="FF" w:themeShade="FF"/>
                <w:sz w:val="22"/>
                <w:szCs w:val="22"/>
                <w:lang w:val="lt-LT"/>
              </w:rPr>
              <w:t>GbE</w:t>
            </w:r>
            <w:r w:rsidRPr="6B5B9199" w:rsidR="6B5B9199">
              <w:rPr>
                <w:rFonts w:ascii="Aptos Narrow" w:hAnsi="Aptos Narrow" w:eastAsia="Times New Roman" w:cs="Times New Roman"/>
                <w:color w:val="000000" w:themeColor="text1" w:themeTint="FF" w:themeShade="FF"/>
                <w:sz w:val="22"/>
                <w:szCs w:val="22"/>
                <w:lang w:val="lt-LT"/>
              </w:rPr>
              <w:t xml:space="preserve"> tinklo sąsajos, suderinamos su esama tinklo infrastruktūra.</w:t>
            </w:r>
          </w:p>
        </w:tc>
        <w:tc>
          <w:tcPr>
            <w:tcW w:w="2597" w:type="dxa"/>
            <w:tcBorders>
              <w:top w:val="nil"/>
              <w:left w:val="nil"/>
              <w:bottom w:val="single" w:color="auto" w:sz="4"/>
              <w:right w:val="single" w:color="auto" w:sz="4"/>
            </w:tcBorders>
            <w:shd w:val="clear" w:color="auto" w:fill="auto"/>
            <w:tcMar/>
            <w:vAlign w:val="bottom"/>
          </w:tcPr>
          <w:p w:rsidR="6B5B9199" w:rsidP="6B5B9199" w:rsidRDefault="6B5B9199" w14:noSpellErr="1" w14:paraId="49B17864">
            <w:pPr>
              <w:spacing w:after="0" w:line="240" w:lineRule="auto"/>
              <w:jc w:val="center"/>
              <w:rPr>
                <w:rFonts w:ascii="Aptos Narrow" w:hAnsi="Aptos Narrow" w:eastAsia="Times New Roman" w:cs="Times New Roman"/>
                <w:color w:val="000000" w:themeColor="text1" w:themeTint="FF" w:themeShade="FF"/>
                <w:sz w:val="22"/>
                <w:szCs w:val="22"/>
                <w:lang w:val="lt-LT"/>
              </w:rPr>
            </w:pPr>
            <w:r w:rsidRPr="6B5B9199" w:rsidR="6B5B9199">
              <w:rPr>
                <w:rFonts w:ascii="Aptos Narrow" w:hAnsi="Aptos Narrow" w:eastAsia="Times New Roman" w:cs="Times New Roman"/>
                <w:color w:val="000000" w:themeColor="text1" w:themeTint="FF" w:themeShade="FF"/>
                <w:sz w:val="22"/>
                <w:szCs w:val="22"/>
                <w:lang w:val="lt-LT"/>
              </w:rPr>
              <w:t> </w:t>
            </w:r>
          </w:p>
        </w:tc>
      </w:tr>
      <w:tr w:rsidR="6B5B9199" w:rsidTr="1FEC0253" w14:paraId="20965EB2">
        <w:trPr>
          <w:trHeight w:val="300"/>
        </w:trPr>
        <w:tc>
          <w:tcPr>
            <w:tcW w:w="562" w:type="dxa"/>
            <w:tcBorders>
              <w:top w:val="nil"/>
              <w:left w:val="single" w:color="auto" w:sz="4"/>
              <w:bottom w:val="single" w:color="auto" w:sz="4"/>
              <w:right w:val="single" w:color="auto" w:sz="4"/>
            </w:tcBorders>
            <w:shd w:val="clear" w:color="auto" w:fill="auto"/>
            <w:tcMar/>
            <w:vAlign w:val="center"/>
          </w:tcPr>
          <w:p w:rsidR="6B5B9199" w:rsidP="6B5B9199" w:rsidRDefault="6B5B9199" w14:noSpellErr="1" w14:paraId="14732699">
            <w:pPr>
              <w:spacing w:after="0" w:line="240" w:lineRule="auto"/>
              <w:jc w:val="center"/>
              <w:rPr>
                <w:rFonts w:ascii="Aptos Narrow" w:hAnsi="Aptos Narrow" w:eastAsia="Times New Roman" w:cs="Times New Roman"/>
                <w:color w:val="000000" w:themeColor="text1" w:themeTint="FF" w:themeShade="FF"/>
                <w:sz w:val="22"/>
                <w:szCs w:val="22"/>
                <w:lang w:val="lt-LT"/>
              </w:rPr>
            </w:pPr>
            <w:r w:rsidRPr="6B5B9199" w:rsidR="6B5B9199">
              <w:rPr>
                <w:rFonts w:ascii="Aptos Narrow" w:hAnsi="Aptos Narrow" w:eastAsia="Times New Roman" w:cs="Times New Roman"/>
                <w:color w:val="000000" w:themeColor="text1" w:themeTint="FF" w:themeShade="FF"/>
                <w:sz w:val="22"/>
                <w:szCs w:val="22"/>
                <w:lang w:val="lt-LT"/>
              </w:rPr>
              <w:t>7</w:t>
            </w:r>
          </w:p>
        </w:tc>
        <w:tc>
          <w:tcPr>
            <w:tcW w:w="1922" w:type="dxa"/>
            <w:tcBorders>
              <w:top w:val="nil"/>
              <w:left w:val="nil"/>
              <w:bottom w:val="single" w:color="auto" w:sz="4"/>
              <w:right w:val="single" w:color="auto" w:sz="4"/>
            </w:tcBorders>
            <w:shd w:val="clear" w:color="auto" w:fill="auto"/>
            <w:tcMar/>
            <w:vAlign w:val="center"/>
          </w:tcPr>
          <w:p w:rsidR="6B5B9199" w:rsidP="6B5B9199" w:rsidRDefault="6B5B9199" w14:noSpellErr="1" w14:paraId="01C6A7C6">
            <w:pPr>
              <w:spacing w:after="0" w:line="240" w:lineRule="auto"/>
              <w:jc w:val="center"/>
              <w:rPr>
                <w:rFonts w:ascii="Aptos Narrow" w:hAnsi="Aptos Narrow" w:eastAsia="Times New Roman" w:cs="Times New Roman"/>
                <w:color w:val="000000" w:themeColor="text1" w:themeTint="FF" w:themeShade="FF"/>
                <w:sz w:val="22"/>
                <w:szCs w:val="22"/>
                <w:lang w:val="lt-LT"/>
              </w:rPr>
            </w:pPr>
            <w:r w:rsidRPr="6B5B9199" w:rsidR="6B5B9199">
              <w:rPr>
                <w:rFonts w:ascii="Aptos Narrow" w:hAnsi="Aptos Narrow" w:eastAsia="Times New Roman" w:cs="Times New Roman"/>
                <w:color w:val="000000" w:themeColor="text1" w:themeTint="FF" w:themeShade="FF"/>
                <w:sz w:val="22"/>
                <w:szCs w:val="22"/>
                <w:lang w:val="lt-LT"/>
              </w:rPr>
              <w:t>Maitinimo šaltiniai</w:t>
            </w:r>
          </w:p>
        </w:tc>
        <w:tc>
          <w:tcPr>
            <w:tcW w:w="4269" w:type="dxa"/>
            <w:tcBorders>
              <w:top w:val="nil"/>
              <w:left w:val="nil"/>
              <w:bottom w:val="single" w:color="auto" w:sz="4"/>
              <w:right w:val="single" w:color="auto" w:sz="4"/>
            </w:tcBorders>
            <w:shd w:val="clear" w:color="auto" w:fill="auto"/>
            <w:tcMar/>
            <w:vAlign w:val="center"/>
          </w:tcPr>
          <w:p w:rsidR="6B5B9199" w:rsidP="6B5B9199" w:rsidRDefault="6B5B9199" w14:paraId="12ABAE06" w14:textId="43C52571">
            <w:pPr>
              <w:spacing w:after="0" w:line="240" w:lineRule="auto"/>
              <w:jc w:val="center"/>
              <w:rPr>
                <w:rFonts w:ascii="Aptos Narrow" w:hAnsi="Aptos Narrow" w:eastAsia="Times New Roman" w:cs="Times New Roman"/>
                <w:color w:val="000000" w:themeColor="text1" w:themeTint="FF" w:themeShade="FF"/>
                <w:sz w:val="22"/>
                <w:szCs w:val="22"/>
                <w:lang w:val="lt-LT"/>
              </w:rPr>
            </w:pPr>
            <w:r w:rsidRPr="32F3F2A8" w:rsidR="6B5B9199">
              <w:rPr>
                <w:rFonts w:ascii="Aptos Narrow" w:hAnsi="Aptos Narrow" w:eastAsia="Times New Roman" w:cs="Times New Roman"/>
                <w:color w:val="000000" w:themeColor="text1" w:themeTint="FF" w:themeShade="FF"/>
                <w:sz w:val="22"/>
                <w:szCs w:val="22"/>
                <w:lang w:val="lt-LT"/>
              </w:rPr>
              <w:t xml:space="preserve">Ne mažiau kaip du </w:t>
            </w:r>
            <w:r w:rsidRPr="32F3F2A8" w:rsidR="04EA16FD">
              <w:rPr>
                <w:rFonts w:ascii="Aptos Narrow" w:hAnsi="Aptos Narrow" w:eastAsia="Times New Roman" w:cs="Times New Roman"/>
                <w:color w:val="000000" w:themeColor="text1" w:themeTint="FF" w:themeShade="FF"/>
                <w:sz w:val="22"/>
                <w:szCs w:val="22"/>
                <w:lang w:val="lt-LT"/>
              </w:rPr>
              <w:t>1000</w:t>
            </w:r>
            <w:r w:rsidRPr="32F3F2A8" w:rsidR="6B5B9199">
              <w:rPr>
                <w:rFonts w:ascii="Aptos Narrow" w:hAnsi="Aptos Narrow" w:eastAsia="Times New Roman" w:cs="Times New Roman"/>
                <w:color w:val="000000" w:themeColor="text1" w:themeTint="FF" w:themeShade="FF"/>
                <w:sz w:val="22"/>
                <w:szCs w:val="22"/>
                <w:lang w:val="lt-LT"/>
              </w:rPr>
              <w:t>W karšto keitimo (</w:t>
            </w:r>
            <w:r w:rsidRPr="32F3F2A8" w:rsidR="2D9F4C05">
              <w:rPr>
                <w:rFonts w:ascii="Aptos Narrow" w:hAnsi="Aptos Narrow" w:eastAsia="Times New Roman" w:cs="Times New Roman"/>
                <w:color w:val="000000" w:themeColor="text1" w:themeTint="FF" w:themeShade="FF"/>
                <w:sz w:val="22"/>
                <w:szCs w:val="22"/>
                <w:lang w:val="lt-LT"/>
              </w:rPr>
              <w:t>angl</w:t>
            </w:r>
            <w:r w:rsidRPr="32F3F2A8" w:rsidR="2D9F4C05">
              <w:rPr>
                <w:rFonts w:ascii="Aptos Narrow" w:hAnsi="Aptos Narrow" w:eastAsia="Times New Roman" w:cs="Times New Roman"/>
                <w:color w:val="000000" w:themeColor="text1" w:themeTint="FF" w:themeShade="FF"/>
                <w:sz w:val="22"/>
                <w:szCs w:val="22"/>
                <w:lang w:val="lt-LT"/>
              </w:rPr>
              <w:t xml:space="preserve">. </w:t>
            </w:r>
            <w:r w:rsidRPr="32F3F2A8" w:rsidR="6B5B9199">
              <w:rPr>
                <w:rFonts w:ascii="Aptos Narrow" w:hAnsi="Aptos Narrow" w:eastAsia="Times New Roman" w:cs="Times New Roman"/>
                <w:color w:val="000000" w:themeColor="text1" w:themeTint="FF" w:themeShade="FF"/>
                <w:sz w:val="22"/>
                <w:szCs w:val="22"/>
                <w:lang w:val="lt-LT"/>
              </w:rPr>
              <w:t>hot-swap</w:t>
            </w:r>
            <w:r w:rsidRPr="32F3F2A8" w:rsidR="6B5B9199">
              <w:rPr>
                <w:rFonts w:ascii="Aptos Narrow" w:hAnsi="Aptos Narrow" w:eastAsia="Times New Roman" w:cs="Times New Roman"/>
                <w:color w:val="000000" w:themeColor="text1" w:themeTint="FF" w:themeShade="FF"/>
                <w:sz w:val="22"/>
                <w:szCs w:val="22"/>
                <w:lang w:val="lt-LT"/>
              </w:rPr>
              <w:t>) maitinimo šaltiniai</w:t>
            </w:r>
            <w:r w:rsidRPr="32F3F2A8" w:rsidR="56E897BF">
              <w:rPr>
                <w:rFonts w:ascii="Aptos Narrow" w:hAnsi="Aptos Narrow" w:eastAsia="Times New Roman" w:cs="Times New Roman"/>
                <w:color w:val="000000" w:themeColor="text1" w:themeTint="FF" w:themeShade="FF"/>
                <w:sz w:val="22"/>
                <w:szCs w:val="22"/>
                <w:lang w:val="lt-LT"/>
              </w:rPr>
              <w:t>.</w:t>
            </w:r>
          </w:p>
        </w:tc>
        <w:tc>
          <w:tcPr>
            <w:tcW w:w="2597" w:type="dxa"/>
            <w:tcBorders>
              <w:top w:val="nil"/>
              <w:left w:val="nil"/>
              <w:bottom w:val="single" w:color="auto" w:sz="4"/>
              <w:right w:val="single" w:color="auto" w:sz="4"/>
            </w:tcBorders>
            <w:shd w:val="clear" w:color="auto" w:fill="auto"/>
            <w:tcMar/>
            <w:vAlign w:val="bottom"/>
          </w:tcPr>
          <w:p w:rsidR="6B5B9199" w:rsidP="6B5B9199" w:rsidRDefault="6B5B9199" w14:noSpellErr="1" w14:paraId="690C14FA">
            <w:pPr>
              <w:spacing w:after="0" w:line="240" w:lineRule="auto"/>
              <w:jc w:val="center"/>
              <w:rPr>
                <w:rFonts w:ascii="Aptos Narrow" w:hAnsi="Aptos Narrow" w:eastAsia="Times New Roman" w:cs="Times New Roman"/>
                <w:color w:val="000000" w:themeColor="text1" w:themeTint="FF" w:themeShade="FF"/>
                <w:sz w:val="22"/>
                <w:szCs w:val="22"/>
                <w:lang w:val="lt-LT"/>
              </w:rPr>
            </w:pPr>
            <w:r w:rsidRPr="6B5B9199" w:rsidR="6B5B9199">
              <w:rPr>
                <w:rFonts w:ascii="Aptos Narrow" w:hAnsi="Aptos Narrow" w:eastAsia="Times New Roman" w:cs="Times New Roman"/>
                <w:color w:val="000000" w:themeColor="text1" w:themeTint="FF" w:themeShade="FF"/>
                <w:sz w:val="22"/>
                <w:szCs w:val="22"/>
                <w:lang w:val="lt-LT"/>
              </w:rPr>
              <w:t> </w:t>
            </w:r>
          </w:p>
        </w:tc>
      </w:tr>
      <w:tr w:rsidR="6B5B9199" w:rsidTr="1FEC0253" w14:paraId="03F478E8">
        <w:trPr>
          <w:trHeight w:val="300"/>
        </w:trPr>
        <w:tc>
          <w:tcPr>
            <w:tcW w:w="562" w:type="dxa"/>
            <w:tcBorders>
              <w:top w:val="nil"/>
              <w:left w:val="single" w:color="auto" w:sz="4"/>
              <w:bottom w:val="single" w:color="auto" w:sz="4"/>
              <w:right w:val="single" w:color="auto" w:sz="4"/>
            </w:tcBorders>
            <w:shd w:val="clear" w:color="auto" w:fill="auto"/>
            <w:tcMar/>
            <w:vAlign w:val="center"/>
          </w:tcPr>
          <w:p w:rsidR="6B5B9199" w:rsidP="6B5B9199" w:rsidRDefault="6B5B9199" w14:noSpellErr="1" w14:paraId="0CC17CEE">
            <w:pPr>
              <w:spacing w:after="0" w:line="240" w:lineRule="auto"/>
              <w:jc w:val="center"/>
              <w:rPr>
                <w:rFonts w:ascii="Aptos Narrow" w:hAnsi="Aptos Narrow" w:eastAsia="Times New Roman" w:cs="Times New Roman"/>
                <w:color w:val="000000" w:themeColor="text1" w:themeTint="FF" w:themeShade="FF"/>
                <w:sz w:val="22"/>
                <w:szCs w:val="22"/>
                <w:lang w:val="lt-LT"/>
              </w:rPr>
            </w:pPr>
            <w:r w:rsidRPr="6B5B9199" w:rsidR="6B5B9199">
              <w:rPr>
                <w:rFonts w:ascii="Aptos Narrow" w:hAnsi="Aptos Narrow" w:eastAsia="Times New Roman" w:cs="Times New Roman"/>
                <w:color w:val="000000" w:themeColor="text1" w:themeTint="FF" w:themeShade="FF"/>
                <w:sz w:val="22"/>
                <w:szCs w:val="22"/>
                <w:lang w:val="lt-LT"/>
              </w:rPr>
              <w:t>8</w:t>
            </w:r>
          </w:p>
        </w:tc>
        <w:tc>
          <w:tcPr>
            <w:tcW w:w="1922" w:type="dxa"/>
            <w:tcBorders>
              <w:top w:val="nil"/>
              <w:left w:val="nil"/>
              <w:bottom w:val="single" w:color="auto" w:sz="4"/>
              <w:right w:val="single" w:color="auto" w:sz="4"/>
            </w:tcBorders>
            <w:shd w:val="clear" w:color="auto" w:fill="auto"/>
            <w:tcMar/>
            <w:vAlign w:val="center"/>
          </w:tcPr>
          <w:p w:rsidR="6B5B9199" w:rsidP="6B5B9199" w:rsidRDefault="6B5B9199" w14:noSpellErr="1" w14:paraId="0712344B">
            <w:pPr>
              <w:spacing w:after="0" w:line="240" w:lineRule="auto"/>
              <w:jc w:val="center"/>
              <w:rPr>
                <w:rFonts w:ascii="Aptos Narrow" w:hAnsi="Aptos Narrow" w:eastAsia="Times New Roman" w:cs="Times New Roman"/>
                <w:color w:val="000000" w:themeColor="text1" w:themeTint="FF" w:themeShade="FF"/>
                <w:sz w:val="22"/>
                <w:szCs w:val="22"/>
                <w:lang w:val="lt-LT"/>
              </w:rPr>
            </w:pPr>
            <w:r w:rsidRPr="6B5B9199" w:rsidR="6B5B9199">
              <w:rPr>
                <w:rFonts w:ascii="Aptos Narrow" w:hAnsi="Aptos Narrow" w:eastAsia="Times New Roman" w:cs="Times New Roman"/>
                <w:color w:val="000000" w:themeColor="text1" w:themeTint="FF" w:themeShade="FF"/>
                <w:sz w:val="22"/>
                <w:szCs w:val="22"/>
                <w:lang w:val="lt-LT"/>
              </w:rPr>
              <w:t>Aušinimo sistema</w:t>
            </w:r>
          </w:p>
        </w:tc>
        <w:tc>
          <w:tcPr>
            <w:tcW w:w="4269" w:type="dxa"/>
            <w:tcBorders>
              <w:top w:val="nil"/>
              <w:left w:val="nil"/>
              <w:bottom w:val="single" w:color="auto" w:sz="4"/>
              <w:right w:val="single" w:color="auto" w:sz="4"/>
            </w:tcBorders>
            <w:shd w:val="clear" w:color="auto" w:fill="auto"/>
            <w:tcMar/>
            <w:vAlign w:val="center"/>
          </w:tcPr>
          <w:p w:rsidR="6B5B9199" w:rsidP="6B5B9199" w:rsidRDefault="6B5B9199" w14:noSpellErr="1" w14:paraId="2AC04645">
            <w:pPr>
              <w:spacing w:after="0" w:line="240" w:lineRule="auto"/>
              <w:jc w:val="center"/>
              <w:rPr>
                <w:rFonts w:ascii="Aptos Narrow" w:hAnsi="Aptos Narrow" w:eastAsia="Times New Roman" w:cs="Times New Roman"/>
                <w:color w:val="000000" w:themeColor="text1" w:themeTint="FF" w:themeShade="FF"/>
                <w:sz w:val="22"/>
                <w:szCs w:val="22"/>
                <w:lang w:val="lt-LT"/>
              </w:rPr>
            </w:pPr>
            <w:r w:rsidRPr="6B5B9199" w:rsidR="6B5B9199">
              <w:rPr>
                <w:rFonts w:ascii="Aptos Narrow" w:hAnsi="Aptos Narrow" w:eastAsia="Times New Roman" w:cs="Times New Roman"/>
                <w:color w:val="000000" w:themeColor="text1" w:themeTint="FF" w:themeShade="FF"/>
                <w:sz w:val="22"/>
                <w:szCs w:val="22"/>
                <w:lang w:val="lt-LT"/>
              </w:rPr>
              <w:t>Aušinimo ventiliatoriai, užtikrinantys optimalų serverio komponentų aušinimą esant 18°C aplinkos temperatūrai.</w:t>
            </w:r>
          </w:p>
        </w:tc>
        <w:tc>
          <w:tcPr>
            <w:tcW w:w="2597" w:type="dxa"/>
            <w:tcBorders>
              <w:top w:val="nil"/>
              <w:left w:val="nil"/>
              <w:bottom w:val="single" w:color="auto" w:sz="4"/>
              <w:right w:val="single" w:color="auto" w:sz="4"/>
            </w:tcBorders>
            <w:shd w:val="clear" w:color="auto" w:fill="auto"/>
            <w:tcMar/>
            <w:vAlign w:val="bottom"/>
          </w:tcPr>
          <w:p w:rsidR="50F7B906" w:rsidP="50F7B906" w:rsidRDefault="50F7B906" w14:paraId="5F49D6F7" w14:textId="48CB5066">
            <w:pPr>
              <w:spacing w:after="0" w:line="240" w:lineRule="auto"/>
              <w:jc w:val="center"/>
              <w:rPr>
                <w:rFonts w:ascii="Aptos Narrow" w:hAnsi="Aptos Narrow" w:eastAsia="Times New Roman" w:cs="Times New Roman"/>
                <w:color w:val="000000" w:themeColor="text1" w:themeTint="FF" w:themeShade="FF"/>
                <w:sz w:val="22"/>
                <w:szCs w:val="22"/>
                <w:lang w:val="lt-LT"/>
              </w:rPr>
            </w:pPr>
          </w:p>
          <w:p w:rsidR="6B5B9199" w:rsidP="6B5B9199" w:rsidRDefault="6B5B9199" w14:noSpellErr="1" w14:paraId="37F9B4CC">
            <w:pPr>
              <w:spacing w:after="0" w:line="240" w:lineRule="auto"/>
              <w:jc w:val="center"/>
              <w:rPr>
                <w:rFonts w:ascii="Aptos Narrow" w:hAnsi="Aptos Narrow" w:eastAsia="Times New Roman" w:cs="Times New Roman"/>
                <w:color w:val="000000" w:themeColor="text1" w:themeTint="FF" w:themeShade="FF"/>
                <w:sz w:val="22"/>
                <w:szCs w:val="22"/>
                <w:lang w:val="lt-LT"/>
              </w:rPr>
            </w:pPr>
            <w:r w:rsidRPr="6B5B9199" w:rsidR="6B5B9199">
              <w:rPr>
                <w:rFonts w:ascii="Aptos Narrow" w:hAnsi="Aptos Narrow" w:eastAsia="Times New Roman" w:cs="Times New Roman"/>
                <w:color w:val="000000" w:themeColor="text1" w:themeTint="FF" w:themeShade="FF"/>
                <w:sz w:val="22"/>
                <w:szCs w:val="22"/>
                <w:lang w:val="lt-LT"/>
              </w:rPr>
              <w:t> </w:t>
            </w:r>
          </w:p>
        </w:tc>
      </w:tr>
      <w:tr w:rsidR="6B5B9199" w:rsidTr="1FEC0253" w14:paraId="3DED664A">
        <w:trPr>
          <w:trHeight w:val="300"/>
        </w:trPr>
        <w:tc>
          <w:tcPr>
            <w:tcW w:w="562" w:type="dxa"/>
            <w:tcBorders>
              <w:top w:val="nil"/>
              <w:left w:val="single" w:color="auto" w:sz="4"/>
              <w:bottom w:val="single" w:color="auto" w:sz="4"/>
              <w:right w:val="single" w:color="auto" w:sz="4"/>
            </w:tcBorders>
            <w:shd w:val="clear" w:color="auto" w:fill="auto"/>
            <w:tcMar/>
            <w:vAlign w:val="center"/>
          </w:tcPr>
          <w:p w:rsidR="6B5B9199" w:rsidP="6B5B9199" w:rsidRDefault="6B5B9199" w14:noSpellErr="1" w14:paraId="463F7EC3">
            <w:pPr>
              <w:spacing w:after="0" w:line="240" w:lineRule="auto"/>
              <w:jc w:val="center"/>
              <w:rPr>
                <w:rFonts w:ascii="Aptos Narrow" w:hAnsi="Aptos Narrow" w:eastAsia="Times New Roman" w:cs="Times New Roman"/>
                <w:color w:val="000000" w:themeColor="text1" w:themeTint="FF" w:themeShade="FF"/>
                <w:sz w:val="22"/>
                <w:szCs w:val="22"/>
                <w:lang w:val="lt-LT"/>
              </w:rPr>
            </w:pPr>
            <w:r w:rsidRPr="6B5B9199" w:rsidR="6B5B9199">
              <w:rPr>
                <w:rFonts w:ascii="Aptos Narrow" w:hAnsi="Aptos Narrow" w:eastAsia="Times New Roman" w:cs="Times New Roman"/>
                <w:color w:val="000000" w:themeColor="text1" w:themeTint="FF" w:themeShade="FF"/>
                <w:sz w:val="22"/>
                <w:szCs w:val="22"/>
                <w:lang w:val="lt-LT"/>
              </w:rPr>
              <w:t>9</w:t>
            </w:r>
          </w:p>
        </w:tc>
        <w:tc>
          <w:tcPr>
            <w:tcW w:w="1922" w:type="dxa"/>
            <w:tcBorders>
              <w:top w:val="nil"/>
              <w:left w:val="nil"/>
              <w:bottom w:val="single" w:color="auto" w:sz="4"/>
              <w:right w:val="single" w:color="auto" w:sz="4"/>
            </w:tcBorders>
            <w:shd w:val="clear" w:color="auto" w:fill="auto"/>
            <w:tcMar/>
            <w:vAlign w:val="center"/>
          </w:tcPr>
          <w:p w:rsidR="6B5B9199" w:rsidP="6B5B9199" w:rsidRDefault="6B5B9199" w14:noSpellErr="1" w14:paraId="7EC01D41">
            <w:pPr>
              <w:spacing w:after="0" w:line="240" w:lineRule="auto"/>
              <w:jc w:val="center"/>
              <w:rPr>
                <w:rFonts w:ascii="Aptos Narrow" w:hAnsi="Aptos Narrow" w:eastAsia="Times New Roman" w:cs="Times New Roman"/>
                <w:color w:val="000000" w:themeColor="text1" w:themeTint="FF" w:themeShade="FF"/>
                <w:sz w:val="22"/>
                <w:szCs w:val="22"/>
                <w:lang w:val="lt-LT"/>
              </w:rPr>
            </w:pPr>
            <w:r w:rsidRPr="6B5B9199" w:rsidR="6B5B9199">
              <w:rPr>
                <w:rFonts w:ascii="Aptos Narrow" w:hAnsi="Aptos Narrow" w:eastAsia="Times New Roman" w:cs="Times New Roman"/>
                <w:color w:val="000000" w:themeColor="text1" w:themeTint="FF" w:themeShade="FF"/>
                <w:sz w:val="22"/>
                <w:szCs w:val="22"/>
                <w:lang w:val="lt-LT"/>
              </w:rPr>
              <w:t>Suderinamumas su virtualizacija</w:t>
            </w:r>
          </w:p>
        </w:tc>
        <w:tc>
          <w:tcPr>
            <w:tcW w:w="4269" w:type="dxa"/>
            <w:tcBorders>
              <w:top w:val="nil"/>
              <w:left w:val="nil"/>
              <w:bottom w:val="single" w:color="auto" w:sz="4"/>
              <w:right w:val="single" w:color="auto" w:sz="4"/>
            </w:tcBorders>
            <w:shd w:val="clear" w:color="auto" w:fill="auto"/>
            <w:tcMar/>
            <w:vAlign w:val="center"/>
          </w:tcPr>
          <w:p w:rsidR="6B5B9199" w:rsidP="6B5B9199" w:rsidRDefault="6B5B9199" w14:paraId="4163F6EC">
            <w:pPr>
              <w:spacing w:after="0" w:line="240" w:lineRule="auto"/>
              <w:jc w:val="center"/>
              <w:rPr>
                <w:rFonts w:ascii="Aptos Narrow" w:hAnsi="Aptos Narrow" w:eastAsia="Times New Roman" w:cs="Times New Roman"/>
                <w:color w:val="000000" w:themeColor="text1" w:themeTint="FF" w:themeShade="FF"/>
                <w:sz w:val="22"/>
                <w:szCs w:val="22"/>
                <w:lang w:val="lt-LT"/>
              </w:rPr>
            </w:pPr>
            <w:r w:rsidRPr="6B5B9199" w:rsidR="6B5B9199">
              <w:rPr>
                <w:rFonts w:ascii="Aptos Narrow" w:hAnsi="Aptos Narrow" w:eastAsia="Times New Roman" w:cs="Times New Roman"/>
                <w:color w:val="000000" w:themeColor="text1" w:themeTint="FF" w:themeShade="FF"/>
                <w:sz w:val="22"/>
                <w:szCs w:val="22"/>
                <w:lang w:val="lt-LT"/>
              </w:rPr>
              <w:t xml:space="preserve">Serveris turi palaikyti virtualizacijos platformas, tokias kaip </w:t>
            </w:r>
            <w:r w:rsidRPr="6B5B9199" w:rsidR="6B5B9199">
              <w:rPr>
                <w:rFonts w:ascii="Aptos Narrow" w:hAnsi="Aptos Narrow" w:eastAsia="Times New Roman" w:cs="Times New Roman"/>
                <w:color w:val="000000" w:themeColor="text1" w:themeTint="FF" w:themeShade="FF"/>
                <w:sz w:val="22"/>
                <w:szCs w:val="22"/>
                <w:lang w:val="lt-LT"/>
              </w:rPr>
              <w:t>Proxmox</w:t>
            </w:r>
            <w:r w:rsidRPr="6B5B9199" w:rsidR="6B5B9199">
              <w:rPr>
                <w:rFonts w:ascii="Aptos Narrow" w:hAnsi="Aptos Narrow" w:eastAsia="Times New Roman" w:cs="Times New Roman"/>
                <w:color w:val="000000" w:themeColor="text1" w:themeTint="FF" w:themeShade="FF"/>
                <w:sz w:val="22"/>
                <w:szCs w:val="22"/>
                <w:lang w:val="lt-LT"/>
              </w:rPr>
              <w:t xml:space="preserve"> VE arba lygiavertes, leidžiančias kurti ir valdyti virtualias mašinas bei konteinerius.</w:t>
            </w:r>
          </w:p>
        </w:tc>
        <w:tc>
          <w:tcPr>
            <w:tcW w:w="2597" w:type="dxa"/>
            <w:tcBorders>
              <w:top w:val="nil"/>
              <w:left w:val="nil"/>
              <w:bottom w:val="single" w:color="auto" w:sz="4"/>
              <w:right w:val="single" w:color="auto" w:sz="4"/>
            </w:tcBorders>
            <w:shd w:val="clear" w:color="auto" w:fill="auto"/>
            <w:tcMar/>
            <w:vAlign w:val="bottom"/>
          </w:tcPr>
          <w:p w:rsidR="6B5B9199" w:rsidP="6B5B9199" w:rsidRDefault="6B5B9199" w14:noSpellErr="1" w14:paraId="59B4F653">
            <w:pPr>
              <w:spacing w:after="0" w:line="240" w:lineRule="auto"/>
              <w:jc w:val="center"/>
              <w:rPr>
                <w:rFonts w:ascii="Aptos Narrow" w:hAnsi="Aptos Narrow" w:eastAsia="Times New Roman" w:cs="Times New Roman"/>
                <w:color w:val="000000" w:themeColor="text1" w:themeTint="FF" w:themeShade="FF"/>
                <w:sz w:val="22"/>
                <w:szCs w:val="22"/>
                <w:lang w:val="lt-LT"/>
              </w:rPr>
            </w:pPr>
            <w:r w:rsidRPr="6B5B9199" w:rsidR="6B5B9199">
              <w:rPr>
                <w:rFonts w:ascii="Aptos Narrow" w:hAnsi="Aptos Narrow" w:eastAsia="Times New Roman" w:cs="Times New Roman"/>
                <w:color w:val="000000" w:themeColor="text1" w:themeTint="FF" w:themeShade="FF"/>
                <w:sz w:val="22"/>
                <w:szCs w:val="22"/>
                <w:lang w:val="lt-LT"/>
              </w:rPr>
              <w:t> </w:t>
            </w:r>
          </w:p>
        </w:tc>
      </w:tr>
      <w:tr w:rsidR="6B5B9199" w:rsidTr="1FEC0253" w14:paraId="74985FE6">
        <w:trPr>
          <w:trHeight w:val="300"/>
        </w:trPr>
        <w:tc>
          <w:tcPr>
            <w:tcW w:w="562" w:type="dxa"/>
            <w:tcBorders>
              <w:top w:val="nil"/>
              <w:left w:val="single" w:color="auto" w:sz="4"/>
              <w:bottom w:val="single" w:color="auto" w:sz="4"/>
              <w:right w:val="single" w:color="auto" w:sz="4"/>
            </w:tcBorders>
            <w:shd w:val="clear" w:color="auto" w:fill="auto"/>
            <w:tcMar/>
            <w:vAlign w:val="center"/>
          </w:tcPr>
          <w:p w:rsidR="6B5B9199" w:rsidP="6B5B9199" w:rsidRDefault="6B5B9199" w14:noSpellErr="1" w14:paraId="7F2B0CC9">
            <w:pPr>
              <w:spacing w:after="0" w:line="240" w:lineRule="auto"/>
              <w:jc w:val="center"/>
              <w:rPr>
                <w:rFonts w:ascii="Aptos Narrow" w:hAnsi="Aptos Narrow" w:eastAsia="Times New Roman" w:cs="Times New Roman"/>
                <w:color w:val="000000" w:themeColor="text1" w:themeTint="FF" w:themeShade="FF"/>
                <w:sz w:val="22"/>
                <w:szCs w:val="22"/>
                <w:lang w:val="lt-LT"/>
              </w:rPr>
            </w:pPr>
            <w:r w:rsidRPr="6B5B9199" w:rsidR="6B5B9199">
              <w:rPr>
                <w:rFonts w:ascii="Aptos Narrow" w:hAnsi="Aptos Narrow" w:eastAsia="Times New Roman" w:cs="Times New Roman"/>
                <w:color w:val="000000" w:themeColor="text1" w:themeTint="FF" w:themeShade="FF"/>
                <w:sz w:val="22"/>
                <w:szCs w:val="22"/>
                <w:lang w:val="lt-LT"/>
              </w:rPr>
              <w:t>10</w:t>
            </w:r>
          </w:p>
        </w:tc>
        <w:tc>
          <w:tcPr>
            <w:tcW w:w="1922" w:type="dxa"/>
            <w:tcBorders>
              <w:top w:val="nil"/>
              <w:left w:val="nil"/>
              <w:bottom w:val="single" w:color="auto" w:sz="4"/>
              <w:right w:val="single" w:color="auto" w:sz="4"/>
            </w:tcBorders>
            <w:shd w:val="clear" w:color="auto" w:fill="auto"/>
            <w:tcMar/>
            <w:vAlign w:val="center"/>
          </w:tcPr>
          <w:p w:rsidR="6B5B9199" w:rsidP="6B5B9199" w:rsidRDefault="6B5B9199" w14:noSpellErr="1" w14:paraId="4D0F405A">
            <w:pPr>
              <w:spacing w:after="0" w:line="240" w:lineRule="auto"/>
              <w:jc w:val="center"/>
              <w:rPr>
                <w:rFonts w:ascii="Aptos Narrow" w:hAnsi="Aptos Narrow" w:eastAsia="Times New Roman" w:cs="Times New Roman"/>
                <w:color w:val="000000" w:themeColor="text1" w:themeTint="FF" w:themeShade="FF"/>
                <w:sz w:val="22"/>
                <w:szCs w:val="22"/>
                <w:lang w:val="lt-LT"/>
              </w:rPr>
            </w:pPr>
            <w:r w:rsidRPr="6B5B9199" w:rsidR="6B5B9199">
              <w:rPr>
                <w:rFonts w:ascii="Aptos Narrow" w:hAnsi="Aptos Narrow" w:eastAsia="Times New Roman" w:cs="Times New Roman"/>
                <w:color w:val="000000" w:themeColor="text1" w:themeTint="FF" w:themeShade="FF"/>
                <w:sz w:val="22"/>
                <w:szCs w:val="22"/>
                <w:lang w:val="lt-LT"/>
              </w:rPr>
              <w:t>Garantija ir aptarnavimas</w:t>
            </w:r>
          </w:p>
        </w:tc>
        <w:tc>
          <w:tcPr>
            <w:tcW w:w="4269" w:type="dxa"/>
            <w:tcBorders>
              <w:top w:val="nil"/>
              <w:left w:val="nil"/>
              <w:bottom w:val="single" w:color="auto" w:sz="4"/>
              <w:right w:val="single" w:color="auto" w:sz="4"/>
            </w:tcBorders>
            <w:shd w:val="clear" w:color="auto" w:fill="auto"/>
            <w:tcMar/>
            <w:vAlign w:val="center"/>
          </w:tcPr>
          <w:p w:rsidR="6B5B9199" w:rsidP="6B5B9199" w:rsidRDefault="6B5B9199" w14:noSpellErr="1" w14:paraId="3E448572">
            <w:pPr>
              <w:spacing w:after="0" w:line="240" w:lineRule="auto"/>
              <w:jc w:val="center"/>
              <w:rPr>
                <w:rFonts w:ascii="Aptos Narrow" w:hAnsi="Aptos Narrow" w:eastAsia="Times New Roman" w:cs="Times New Roman"/>
                <w:color w:val="000000" w:themeColor="text1" w:themeTint="FF" w:themeShade="FF"/>
                <w:sz w:val="22"/>
                <w:szCs w:val="22"/>
                <w:lang w:val="lt-LT"/>
              </w:rPr>
            </w:pPr>
            <w:r w:rsidRPr="6B5B9199" w:rsidR="6B5B9199">
              <w:rPr>
                <w:rFonts w:ascii="Aptos Narrow" w:hAnsi="Aptos Narrow" w:eastAsia="Times New Roman" w:cs="Times New Roman"/>
                <w:color w:val="000000" w:themeColor="text1" w:themeTint="FF" w:themeShade="FF"/>
                <w:sz w:val="22"/>
                <w:szCs w:val="22"/>
                <w:lang w:val="lt-LT"/>
              </w:rPr>
              <w:t>Ne mažiau kaip 3 metų garantija su galimybe pratęsti iki 5 metų, įskaitant techninę pagalbą ir atsarginių dalių tiekimą.</w:t>
            </w:r>
          </w:p>
        </w:tc>
        <w:tc>
          <w:tcPr>
            <w:tcW w:w="2597" w:type="dxa"/>
            <w:tcBorders>
              <w:top w:val="nil"/>
              <w:left w:val="nil"/>
              <w:bottom w:val="single" w:color="auto" w:sz="4"/>
              <w:right w:val="single" w:color="auto" w:sz="4"/>
            </w:tcBorders>
            <w:shd w:val="clear" w:color="auto" w:fill="auto"/>
            <w:tcMar/>
            <w:vAlign w:val="bottom"/>
          </w:tcPr>
          <w:p w:rsidR="6B5B9199" w:rsidP="6B5B9199" w:rsidRDefault="6B5B9199" w14:noSpellErr="1" w14:paraId="4CC1765F">
            <w:pPr>
              <w:spacing w:after="0" w:line="240" w:lineRule="auto"/>
              <w:jc w:val="center"/>
              <w:rPr>
                <w:rFonts w:ascii="Aptos Narrow" w:hAnsi="Aptos Narrow" w:eastAsia="Times New Roman" w:cs="Times New Roman"/>
                <w:color w:val="000000" w:themeColor="text1" w:themeTint="FF" w:themeShade="FF"/>
                <w:sz w:val="22"/>
                <w:szCs w:val="22"/>
                <w:lang w:val="lt-LT"/>
              </w:rPr>
            </w:pPr>
            <w:r w:rsidRPr="6B5B9199" w:rsidR="6B5B9199">
              <w:rPr>
                <w:rFonts w:ascii="Aptos Narrow" w:hAnsi="Aptos Narrow" w:eastAsia="Times New Roman" w:cs="Times New Roman"/>
                <w:color w:val="000000" w:themeColor="text1" w:themeTint="FF" w:themeShade="FF"/>
                <w:sz w:val="22"/>
                <w:szCs w:val="22"/>
                <w:lang w:val="lt-LT"/>
              </w:rPr>
              <w:t> </w:t>
            </w:r>
          </w:p>
        </w:tc>
      </w:tr>
      <w:tr w:rsidR="6B5B9199" w:rsidTr="1FEC0253" w14:paraId="79BE2972">
        <w:trPr>
          <w:trHeight w:val="300"/>
        </w:trPr>
        <w:tc>
          <w:tcPr>
            <w:tcW w:w="562" w:type="dxa"/>
            <w:tcBorders>
              <w:top w:val="nil"/>
              <w:left w:val="single" w:color="auto" w:sz="4"/>
              <w:bottom w:val="single" w:color="auto" w:sz="4"/>
              <w:right w:val="single" w:color="auto" w:sz="4"/>
            </w:tcBorders>
            <w:shd w:val="clear" w:color="auto" w:fill="auto"/>
            <w:tcMar/>
            <w:vAlign w:val="center"/>
          </w:tcPr>
          <w:p w:rsidR="6B5B9199" w:rsidP="6B5B9199" w:rsidRDefault="6B5B9199" w14:noSpellErr="1" w14:paraId="0DFB5EAC">
            <w:pPr>
              <w:spacing w:after="0" w:line="240" w:lineRule="auto"/>
              <w:jc w:val="center"/>
              <w:rPr>
                <w:rFonts w:ascii="Aptos Narrow" w:hAnsi="Aptos Narrow" w:eastAsia="Times New Roman" w:cs="Times New Roman"/>
                <w:color w:val="000000" w:themeColor="text1" w:themeTint="FF" w:themeShade="FF"/>
                <w:sz w:val="22"/>
                <w:szCs w:val="22"/>
                <w:lang w:val="lt-LT"/>
              </w:rPr>
            </w:pPr>
            <w:r w:rsidRPr="6B5B9199" w:rsidR="6B5B9199">
              <w:rPr>
                <w:rFonts w:ascii="Aptos Narrow" w:hAnsi="Aptos Narrow" w:eastAsia="Times New Roman" w:cs="Times New Roman"/>
                <w:color w:val="000000" w:themeColor="text1" w:themeTint="FF" w:themeShade="FF"/>
                <w:sz w:val="22"/>
                <w:szCs w:val="22"/>
                <w:lang w:val="lt-LT"/>
              </w:rPr>
              <w:t>11</w:t>
            </w:r>
          </w:p>
        </w:tc>
        <w:tc>
          <w:tcPr>
            <w:tcW w:w="1922" w:type="dxa"/>
            <w:tcBorders>
              <w:top w:val="nil"/>
              <w:left w:val="nil"/>
              <w:bottom w:val="single" w:color="auto" w:sz="4"/>
              <w:right w:val="single" w:color="auto" w:sz="4"/>
            </w:tcBorders>
            <w:shd w:val="clear" w:color="auto" w:fill="auto"/>
            <w:tcMar/>
            <w:vAlign w:val="center"/>
          </w:tcPr>
          <w:p w:rsidR="6B5B9199" w:rsidP="6B5B9199" w:rsidRDefault="6B5B9199" w14:noSpellErr="1" w14:paraId="7C4DA4F7">
            <w:pPr>
              <w:spacing w:after="0" w:line="240" w:lineRule="auto"/>
              <w:jc w:val="center"/>
              <w:rPr>
                <w:rFonts w:ascii="Aptos Narrow" w:hAnsi="Aptos Narrow" w:eastAsia="Times New Roman" w:cs="Times New Roman"/>
                <w:color w:val="000000" w:themeColor="text1" w:themeTint="FF" w:themeShade="FF"/>
                <w:sz w:val="22"/>
                <w:szCs w:val="22"/>
                <w:lang w:val="lt-LT"/>
              </w:rPr>
            </w:pPr>
            <w:r w:rsidRPr="6B5B9199" w:rsidR="6B5B9199">
              <w:rPr>
                <w:rFonts w:ascii="Aptos Narrow" w:hAnsi="Aptos Narrow" w:eastAsia="Times New Roman" w:cs="Times New Roman"/>
                <w:color w:val="000000" w:themeColor="text1" w:themeTint="FF" w:themeShade="FF"/>
                <w:sz w:val="22"/>
                <w:szCs w:val="22"/>
                <w:lang w:val="lt-LT"/>
              </w:rPr>
              <w:t>Pristatymas ir diegimas</w:t>
            </w:r>
          </w:p>
        </w:tc>
        <w:tc>
          <w:tcPr>
            <w:tcW w:w="4269" w:type="dxa"/>
            <w:tcBorders>
              <w:top w:val="nil"/>
              <w:left w:val="nil"/>
              <w:bottom w:val="single" w:color="auto" w:sz="4"/>
              <w:right w:val="single" w:color="auto" w:sz="4"/>
            </w:tcBorders>
            <w:shd w:val="clear" w:color="auto" w:fill="auto"/>
            <w:tcMar/>
            <w:vAlign w:val="center"/>
          </w:tcPr>
          <w:p w:rsidR="6B5B9199" w:rsidP="6B5B9199" w:rsidRDefault="6B5B9199" w14:paraId="0C6C8645" w14:textId="1041DEA1">
            <w:pPr>
              <w:spacing w:after="0" w:line="240" w:lineRule="auto"/>
              <w:jc w:val="center"/>
              <w:rPr>
                <w:rFonts w:ascii="Aptos Narrow" w:hAnsi="Aptos Narrow" w:eastAsia="Times New Roman" w:cs="Times New Roman"/>
                <w:color w:val="000000" w:themeColor="text1" w:themeTint="FF" w:themeShade="FF"/>
                <w:sz w:val="22"/>
                <w:szCs w:val="22"/>
                <w:lang w:val="lt-LT"/>
              </w:rPr>
            </w:pPr>
            <w:r w:rsidRPr="2B316BCB" w:rsidR="18B0E3E9">
              <w:rPr>
                <w:rFonts w:ascii="Aptos Narrow" w:hAnsi="Aptos Narrow" w:eastAsia="Times New Roman" w:cs="Times New Roman"/>
                <w:color w:val="000000" w:themeColor="text1" w:themeTint="FF" w:themeShade="FF"/>
                <w:sz w:val="22"/>
                <w:szCs w:val="22"/>
                <w:lang w:val="lt-LT"/>
              </w:rPr>
              <w:t>Įranga turi būti pristatyta sumontuota ir su visais komponentais aprašytais aukščiau. Paruošta darbui pagal numatytus reikalavimus. Užsakovas įrangą numatytoje vietoje pasijungs pats.</w:t>
            </w:r>
          </w:p>
        </w:tc>
        <w:tc>
          <w:tcPr>
            <w:tcW w:w="2597" w:type="dxa"/>
            <w:tcBorders>
              <w:top w:val="nil"/>
              <w:left w:val="nil"/>
              <w:bottom w:val="single" w:color="auto" w:sz="4"/>
              <w:right w:val="single" w:color="auto" w:sz="4"/>
            </w:tcBorders>
            <w:shd w:val="clear" w:color="auto" w:fill="auto"/>
            <w:tcMar/>
            <w:vAlign w:val="bottom"/>
          </w:tcPr>
          <w:p w:rsidR="6B5B9199" w:rsidP="6B5B9199" w:rsidRDefault="6B5B9199" w14:noSpellErr="1" w14:paraId="6B60DC72">
            <w:pPr>
              <w:spacing w:after="0" w:line="240" w:lineRule="auto"/>
              <w:jc w:val="center"/>
              <w:rPr>
                <w:rFonts w:ascii="Aptos Narrow" w:hAnsi="Aptos Narrow" w:eastAsia="Times New Roman" w:cs="Times New Roman"/>
                <w:color w:val="000000" w:themeColor="text1" w:themeTint="FF" w:themeShade="FF"/>
                <w:sz w:val="22"/>
                <w:szCs w:val="22"/>
                <w:lang w:val="lt-LT"/>
              </w:rPr>
            </w:pPr>
            <w:r w:rsidRPr="6B5B9199" w:rsidR="6B5B9199">
              <w:rPr>
                <w:rFonts w:ascii="Aptos Narrow" w:hAnsi="Aptos Narrow" w:eastAsia="Times New Roman" w:cs="Times New Roman"/>
                <w:color w:val="000000" w:themeColor="text1" w:themeTint="FF" w:themeShade="FF"/>
                <w:sz w:val="22"/>
                <w:szCs w:val="22"/>
                <w:lang w:val="lt-LT"/>
              </w:rPr>
              <w:t> </w:t>
            </w:r>
          </w:p>
        </w:tc>
      </w:tr>
      <w:tr w:rsidR="32F3F2A8" w:rsidTr="1FEC0253" w14:paraId="12DB4FC2">
        <w:trPr>
          <w:trHeight w:val="300"/>
        </w:trPr>
        <w:tc>
          <w:tcPr>
            <w:tcW w:w="562" w:type="dxa"/>
            <w:tcBorders>
              <w:top w:val="nil"/>
              <w:left w:val="single" w:color="auto" w:sz="4"/>
              <w:bottom w:val="single" w:color="auto" w:sz="4"/>
              <w:right w:val="single" w:color="auto" w:sz="4"/>
            </w:tcBorders>
            <w:shd w:val="clear" w:color="auto" w:fill="auto"/>
            <w:tcMar/>
            <w:vAlign w:val="center"/>
          </w:tcPr>
          <w:p w:rsidR="3D1292C9" w:rsidP="32F3F2A8" w:rsidRDefault="3D1292C9" w14:paraId="3C9F9F2C" w14:textId="56074422">
            <w:pPr>
              <w:pStyle w:val="Normal"/>
              <w:spacing w:line="240" w:lineRule="auto"/>
              <w:jc w:val="center"/>
              <w:rPr>
                <w:rFonts w:ascii="Aptos Narrow" w:hAnsi="Aptos Narrow" w:eastAsia="Times New Roman" w:cs="Times New Roman"/>
                <w:color w:val="000000" w:themeColor="text1" w:themeTint="FF" w:themeShade="FF"/>
                <w:sz w:val="22"/>
                <w:szCs w:val="22"/>
                <w:lang w:val="lt-LT"/>
              </w:rPr>
            </w:pPr>
            <w:r w:rsidRPr="32F3F2A8" w:rsidR="3D1292C9">
              <w:rPr>
                <w:rFonts w:ascii="Aptos Narrow" w:hAnsi="Aptos Narrow" w:eastAsia="Times New Roman" w:cs="Times New Roman"/>
                <w:color w:val="000000" w:themeColor="text1" w:themeTint="FF" w:themeShade="FF"/>
                <w:sz w:val="22"/>
                <w:szCs w:val="22"/>
                <w:lang w:val="lt-LT"/>
              </w:rPr>
              <w:t>12</w:t>
            </w:r>
          </w:p>
        </w:tc>
        <w:tc>
          <w:tcPr>
            <w:tcW w:w="1922" w:type="dxa"/>
            <w:tcBorders>
              <w:top w:val="nil"/>
              <w:left w:val="nil"/>
              <w:bottom w:val="single" w:color="auto" w:sz="4"/>
              <w:right w:val="single" w:color="auto" w:sz="4"/>
            </w:tcBorders>
            <w:shd w:val="clear" w:color="auto" w:fill="auto"/>
            <w:tcMar/>
            <w:vAlign w:val="center"/>
          </w:tcPr>
          <w:p w:rsidR="3D1292C9" w:rsidP="32F3F2A8" w:rsidRDefault="3D1292C9" w14:paraId="1BEA1E1E" w14:textId="733C2406">
            <w:pPr>
              <w:pStyle w:val="Normal"/>
              <w:spacing w:line="240" w:lineRule="auto"/>
              <w:jc w:val="center"/>
              <w:rPr>
                <w:rFonts w:ascii="Aptos Narrow" w:hAnsi="Aptos Narrow" w:eastAsia="Times New Roman" w:cs="Times New Roman"/>
                <w:color w:val="000000" w:themeColor="text1" w:themeTint="FF" w:themeShade="FF"/>
                <w:sz w:val="22"/>
                <w:szCs w:val="22"/>
                <w:lang w:val="lt-LT"/>
              </w:rPr>
            </w:pPr>
            <w:r w:rsidRPr="32F3F2A8" w:rsidR="3D1292C9">
              <w:rPr>
                <w:rFonts w:ascii="Aptos Narrow" w:hAnsi="Aptos Narrow" w:eastAsia="Times New Roman" w:cs="Times New Roman"/>
                <w:color w:val="000000" w:themeColor="text1" w:themeTint="FF" w:themeShade="FF"/>
                <w:sz w:val="22"/>
                <w:szCs w:val="22"/>
                <w:lang w:val="lt-LT"/>
              </w:rPr>
              <w:t>UPS</w:t>
            </w:r>
          </w:p>
        </w:tc>
        <w:tc>
          <w:tcPr>
            <w:tcW w:w="4269" w:type="dxa"/>
            <w:tcBorders>
              <w:top w:val="nil"/>
              <w:left w:val="nil"/>
              <w:bottom w:val="single" w:color="auto" w:sz="4"/>
              <w:right w:val="single" w:color="auto" w:sz="4"/>
            </w:tcBorders>
            <w:shd w:val="clear" w:color="auto" w:fill="auto"/>
            <w:tcMar/>
            <w:vAlign w:val="center"/>
          </w:tcPr>
          <w:p w:rsidR="3D1292C9" w:rsidP="32F3F2A8" w:rsidRDefault="3D1292C9" w14:paraId="3FFCAA8A" w14:textId="0BDD77D0">
            <w:pPr>
              <w:pStyle w:val="Normal"/>
              <w:spacing w:line="240" w:lineRule="auto"/>
              <w:jc w:val="center"/>
              <w:rPr>
                <w:rFonts w:ascii="Aptos Narrow" w:hAnsi="Aptos Narrow" w:eastAsia="Times New Roman" w:cs="Times New Roman"/>
                <w:color w:val="000000" w:themeColor="text1" w:themeTint="FF" w:themeShade="FF"/>
                <w:sz w:val="22"/>
                <w:szCs w:val="22"/>
                <w:lang w:val="lt-LT"/>
              </w:rPr>
            </w:pPr>
            <w:r w:rsidRPr="32F3F2A8" w:rsidR="3D1292C9">
              <w:rPr>
                <w:rFonts w:ascii="Aptos Narrow" w:hAnsi="Aptos Narrow" w:eastAsia="Times New Roman" w:cs="Times New Roman"/>
                <w:color w:val="000000" w:themeColor="text1" w:themeTint="FF" w:themeShade="FF"/>
                <w:sz w:val="22"/>
                <w:szCs w:val="22"/>
                <w:lang w:val="lt-LT"/>
              </w:rPr>
              <w:t xml:space="preserve">Ne mažiau 2.5 </w:t>
            </w:r>
            <w:r w:rsidRPr="32F3F2A8" w:rsidR="3D1292C9">
              <w:rPr>
                <w:rFonts w:ascii="Aptos Narrow" w:hAnsi="Aptos Narrow" w:eastAsia="Times New Roman" w:cs="Times New Roman"/>
                <w:color w:val="000000" w:themeColor="text1" w:themeTint="FF" w:themeShade="FF"/>
                <w:sz w:val="22"/>
                <w:szCs w:val="22"/>
                <w:lang w:val="lt-LT"/>
              </w:rPr>
              <w:t>kVA</w:t>
            </w:r>
            <w:r w:rsidRPr="32F3F2A8" w:rsidR="3D1292C9">
              <w:rPr>
                <w:rFonts w:ascii="Aptos Narrow" w:hAnsi="Aptos Narrow" w:eastAsia="Times New Roman" w:cs="Times New Roman"/>
                <w:color w:val="000000" w:themeColor="text1" w:themeTint="FF" w:themeShade="FF"/>
                <w:sz w:val="22"/>
                <w:szCs w:val="22"/>
                <w:lang w:val="lt-LT"/>
              </w:rPr>
              <w:t xml:space="preserve"> (2500VA).</w:t>
            </w:r>
          </w:p>
          <w:p w:rsidR="3D1292C9" w:rsidP="32F3F2A8" w:rsidRDefault="3D1292C9" w14:paraId="672D057C" w14:textId="2E390618">
            <w:pPr>
              <w:pStyle w:val="Normal"/>
              <w:spacing w:line="240" w:lineRule="auto"/>
              <w:jc w:val="center"/>
              <w:rPr>
                <w:rFonts w:ascii="Aptos Narrow" w:hAnsi="Aptos Narrow" w:eastAsia="Times New Roman" w:cs="Times New Roman"/>
                <w:color w:val="000000" w:themeColor="text1" w:themeTint="FF" w:themeShade="FF"/>
                <w:sz w:val="22"/>
                <w:szCs w:val="22"/>
                <w:lang w:val="lt-LT"/>
              </w:rPr>
            </w:pPr>
            <w:r w:rsidRPr="32F3F2A8" w:rsidR="3D1292C9">
              <w:rPr>
                <w:rFonts w:ascii="Aptos Narrow" w:hAnsi="Aptos Narrow" w:eastAsia="Times New Roman" w:cs="Times New Roman"/>
                <w:color w:val="000000" w:themeColor="text1" w:themeTint="FF" w:themeShade="FF"/>
                <w:sz w:val="22"/>
                <w:szCs w:val="22"/>
                <w:lang w:val="lt-LT"/>
              </w:rPr>
              <w:t>Įmontuojamas į serverio spintą 1U arba 2U.</w:t>
            </w:r>
          </w:p>
          <w:p w:rsidR="3D1292C9" w:rsidP="32F3F2A8" w:rsidRDefault="3D1292C9" w14:paraId="1D6BB0C4" w14:textId="397A9682">
            <w:pPr>
              <w:pStyle w:val="Normal"/>
              <w:spacing w:line="240" w:lineRule="auto"/>
              <w:jc w:val="center"/>
            </w:pPr>
            <w:r w:rsidRPr="32F3F2A8" w:rsidR="3D1292C9">
              <w:rPr>
                <w:rFonts w:ascii="Aptos Narrow" w:hAnsi="Aptos Narrow" w:eastAsia="Times New Roman" w:cs="Times New Roman"/>
                <w:color w:val="000000" w:themeColor="text1" w:themeTint="FF" w:themeShade="FF"/>
                <w:sz w:val="22"/>
                <w:szCs w:val="22"/>
                <w:lang w:val="lt-LT"/>
              </w:rPr>
              <w:t>Technologija: Linijinė-interaktyvi (Line-</w:t>
            </w:r>
            <w:r w:rsidRPr="32F3F2A8" w:rsidR="3D1292C9">
              <w:rPr>
                <w:rFonts w:ascii="Aptos Narrow" w:hAnsi="Aptos Narrow" w:eastAsia="Times New Roman" w:cs="Times New Roman"/>
                <w:color w:val="000000" w:themeColor="text1" w:themeTint="FF" w:themeShade="FF"/>
                <w:sz w:val="22"/>
                <w:szCs w:val="22"/>
                <w:lang w:val="lt-LT"/>
              </w:rPr>
              <w:t>Interactive</w:t>
            </w:r>
            <w:r w:rsidRPr="32F3F2A8" w:rsidR="3D1292C9">
              <w:rPr>
                <w:rFonts w:ascii="Aptos Narrow" w:hAnsi="Aptos Narrow" w:eastAsia="Times New Roman" w:cs="Times New Roman"/>
                <w:color w:val="000000" w:themeColor="text1" w:themeTint="FF" w:themeShade="FF"/>
                <w:sz w:val="22"/>
                <w:szCs w:val="22"/>
                <w:lang w:val="lt-LT"/>
              </w:rPr>
              <w:t xml:space="preserve">) arba Dvigubo konvertavimo (Online </w:t>
            </w:r>
            <w:r w:rsidRPr="32F3F2A8" w:rsidR="3D1292C9">
              <w:rPr>
                <w:rFonts w:ascii="Aptos Narrow" w:hAnsi="Aptos Narrow" w:eastAsia="Times New Roman" w:cs="Times New Roman"/>
                <w:color w:val="000000" w:themeColor="text1" w:themeTint="FF" w:themeShade="FF"/>
                <w:sz w:val="22"/>
                <w:szCs w:val="22"/>
                <w:lang w:val="lt-LT"/>
              </w:rPr>
              <w:t>Double-Conversion</w:t>
            </w:r>
            <w:r w:rsidRPr="32F3F2A8" w:rsidR="3D1292C9">
              <w:rPr>
                <w:rFonts w:ascii="Aptos Narrow" w:hAnsi="Aptos Narrow" w:eastAsia="Times New Roman" w:cs="Times New Roman"/>
                <w:color w:val="000000" w:themeColor="text1" w:themeTint="FF" w:themeShade="FF"/>
                <w:sz w:val="22"/>
                <w:szCs w:val="22"/>
                <w:lang w:val="lt-LT"/>
              </w:rPr>
              <w:t>).</w:t>
            </w:r>
          </w:p>
        </w:tc>
        <w:tc>
          <w:tcPr>
            <w:tcW w:w="2597" w:type="dxa"/>
            <w:tcBorders>
              <w:top w:val="nil"/>
              <w:left w:val="nil"/>
              <w:bottom w:val="single" w:color="auto" w:sz="4"/>
              <w:right w:val="single" w:color="auto" w:sz="4"/>
            </w:tcBorders>
            <w:shd w:val="clear" w:color="auto" w:fill="auto"/>
            <w:tcMar/>
            <w:vAlign w:val="bottom"/>
          </w:tcPr>
          <w:p w:rsidR="32F3F2A8" w:rsidP="32F3F2A8" w:rsidRDefault="32F3F2A8" w14:paraId="383F3BB5" w14:textId="04F6DC44">
            <w:pPr>
              <w:pStyle w:val="Normal"/>
              <w:spacing w:line="240" w:lineRule="auto"/>
              <w:jc w:val="center"/>
              <w:rPr>
                <w:rFonts w:ascii="Aptos Narrow" w:hAnsi="Aptos Narrow" w:eastAsia="Times New Roman" w:cs="Times New Roman"/>
                <w:color w:val="000000" w:themeColor="text1" w:themeTint="FF" w:themeShade="FF"/>
                <w:sz w:val="22"/>
                <w:szCs w:val="22"/>
                <w:lang w:val="lt-LT"/>
              </w:rPr>
            </w:pPr>
          </w:p>
        </w:tc>
      </w:tr>
    </w:tbl>
    <w:p w:rsidRPr="00254E01" w:rsidR="00611AA5" w:rsidP="6B5B9199" w:rsidRDefault="00611AA5" w14:paraId="336CA303" w14:textId="50C8B4BF">
      <w:pPr>
        <w:rPr>
          <w:lang w:val="lt-LT"/>
        </w:rPr>
      </w:pPr>
    </w:p>
    <w:p w:rsidRPr="00254E01" w:rsidR="00611AA5" w:rsidP="6B5B9199" w:rsidRDefault="00611AA5" w14:paraId="3A30E857" w14:textId="25A869A4">
      <w:pPr>
        <w:pStyle w:val="Normal"/>
      </w:pPr>
    </w:p>
    <w:sectPr w:rsidRPr="00254E01" w:rsidR="00611AA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E01"/>
    <w:rsid w:val="000157C0"/>
    <w:rsid w:val="00254E01"/>
    <w:rsid w:val="00611AA5"/>
    <w:rsid w:val="008B1EBA"/>
    <w:rsid w:val="00EB2C33"/>
    <w:rsid w:val="03733602"/>
    <w:rsid w:val="04EA16FD"/>
    <w:rsid w:val="1296A506"/>
    <w:rsid w:val="142B459B"/>
    <w:rsid w:val="18B0E3E9"/>
    <w:rsid w:val="1C7E076B"/>
    <w:rsid w:val="1E0F6987"/>
    <w:rsid w:val="1FB4B300"/>
    <w:rsid w:val="1FEC0253"/>
    <w:rsid w:val="2B316BCB"/>
    <w:rsid w:val="2D9F4C05"/>
    <w:rsid w:val="2EC07744"/>
    <w:rsid w:val="2F717C34"/>
    <w:rsid w:val="32E073B0"/>
    <w:rsid w:val="32F3F2A8"/>
    <w:rsid w:val="335F0543"/>
    <w:rsid w:val="3A0F297C"/>
    <w:rsid w:val="3D1292C9"/>
    <w:rsid w:val="435B6116"/>
    <w:rsid w:val="43E4CB5C"/>
    <w:rsid w:val="4A8EDCDE"/>
    <w:rsid w:val="4B2A33C1"/>
    <w:rsid w:val="4DEDD844"/>
    <w:rsid w:val="4E6E1ADE"/>
    <w:rsid w:val="50F7B906"/>
    <w:rsid w:val="529B289A"/>
    <w:rsid w:val="544EE7BD"/>
    <w:rsid w:val="56E897BF"/>
    <w:rsid w:val="592E7EE1"/>
    <w:rsid w:val="5A053D03"/>
    <w:rsid w:val="61D05E4C"/>
    <w:rsid w:val="67173B7A"/>
    <w:rsid w:val="680DBD1E"/>
    <w:rsid w:val="6921EA4A"/>
    <w:rsid w:val="6B5B9199"/>
    <w:rsid w:val="6EB695A8"/>
    <w:rsid w:val="6F11EDB9"/>
    <w:rsid w:val="75DE3709"/>
    <w:rsid w:val="75E77D3A"/>
    <w:rsid w:val="778B1FF8"/>
    <w:rsid w:val="778B1FF8"/>
    <w:rsid w:val="7BA0F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D3380"/>
  <w15:chartTrackingRefBased/>
  <w15:docId w15:val="{66CB311B-89F7-4842-9CF4-FCE8E661E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54E0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4E0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4E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4E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4E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4E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E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E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E0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54E0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54E0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54E0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54E0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54E0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54E0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54E0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54E0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54E01"/>
    <w:rPr>
      <w:rFonts w:eastAsiaTheme="majorEastAsia" w:cstheme="majorBidi"/>
      <w:color w:val="272727" w:themeColor="text1" w:themeTint="D8"/>
    </w:rPr>
  </w:style>
  <w:style w:type="paragraph" w:styleId="Title">
    <w:name w:val="Title"/>
    <w:basedOn w:val="Normal"/>
    <w:next w:val="Normal"/>
    <w:link w:val="TitleChar"/>
    <w:uiPriority w:val="10"/>
    <w:qFormat/>
    <w:rsid w:val="00254E0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54E0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54E0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54E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E01"/>
    <w:pPr>
      <w:spacing w:before="160"/>
      <w:jc w:val="center"/>
    </w:pPr>
    <w:rPr>
      <w:i/>
      <w:iCs/>
      <w:color w:val="404040" w:themeColor="text1" w:themeTint="BF"/>
    </w:rPr>
  </w:style>
  <w:style w:type="character" w:styleId="QuoteChar" w:customStyle="1">
    <w:name w:val="Quote Char"/>
    <w:basedOn w:val="DefaultParagraphFont"/>
    <w:link w:val="Quote"/>
    <w:uiPriority w:val="29"/>
    <w:rsid w:val="00254E01"/>
    <w:rPr>
      <w:i/>
      <w:iCs/>
      <w:color w:val="404040" w:themeColor="text1" w:themeTint="BF"/>
    </w:rPr>
  </w:style>
  <w:style w:type="paragraph" w:styleId="ListParagraph">
    <w:name w:val="List Paragraph"/>
    <w:basedOn w:val="Normal"/>
    <w:uiPriority w:val="34"/>
    <w:qFormat/>
    <w:rsid w:val="00254E01"/>
    <w:pPr>
      <w:ind w:left="720"/>
      <w:contextualSpacing/>
    </w:pPr>
  </w:style>
  <w:style w:type="character" w:styleId="IntenseEmphasis">
    <w:name w:val="Intense Emphasis"/>
    <w:basedOn w:val="DefaultParagraphFont"/>
    <w:uiPriority w:val="21"/>
    <w:qFormat/>
    <w:rsid w:val="00254E01"/>
    <w:rPr>
      <w:i/>
      <w:iCs/>
      <w:color w:val="0F4761" w:themeColor="accent1" w:themeShade="BF"/>
    </w:rPr>
  </w:style>
  <w:style w:type="paragraph" w:styleId="IntenseQuote">
    <w:name w:val="Intense Quote"/>
    <w:basedOn w:val="Normal"/>
    <w:next w:val="Normal"/>
    <w:link w:val="IntenseQuoteChar"/>
    <w:uiPriority w:val="30"/>
    <w:qFormat/>
    <w:rsid w:val="00254E0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54E01"/>
    <w:rPr>
      <w:i/>
      <w:iCs/>
      <w:color w:val="0F4761" w:themeColor="accent1" w:themeShade="BF"/>
    </w:rPr>
  </w:style>
  <w:style w:type="character" w:styleId="IntenseReference">
    <w:name w:val="Intense Reference"/>
    <w:basedOn w:val="DefaultParagraphFont"/>
    <w:uiPriority w:val="32"/>
    <w:qFormat/>
    <w:rsid w:val="00254E01"/>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071667">
      <w:bodyDiv w:val="1"/>
      <w:marLeft w:val="0"/>
      <w:marRight w:val="0"/>
      <w:marTop w:val="0"/>
      <w:marBottom w:val="0"/>
      <w:divBdr>
        <w:top w:val="none" w:sz="0" w:space="0" w:color="auto"/>
        <w:left w:val="none" w:sz="0" w:space="0" w:color="auto"/>
        <w:bottom w:val="none" w:sz="0" w:space="0" w:color="auto"/>
        <w:right w:val="none" w:sz="0" w:space="0" w:color="auto"/>
      </w:divBdr>
    </w:div>
    <w:div w:id="758020971">
      <w:bodyDiv w:val="1"/>
      <w:marLeft w:val="0"/>
      <w:marRight w:val="0"/>
      <w:marTop w:val="0"/>
      <w:marBottom w:val="0"/>
      <w:divBdr>
        <w:top w:val="none" w:sz="0" w:space="0" w:color="auto"/>
        <w:left w:val="none" w:sz="0" w:space="0" w:color="auto"/>
        <w:bottom w:val="none" w:sz="0" w:space="0" w:color="auto"/>
        <w:right w:val="none" w:sz="0" w:space="0" w:color="auto"/>
      </w:divBdr>
    </w:div>
    <w:div w:id="210306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Edvinas Tiskus</dc:creator>
  <keywords/>
  <dc:description/>
  <lastModifiedBy>Edvinas Tiškus</lastModifiedBy>
  <revision>6</revision>
  <dcterms:created xsi:type="dcterms:W3CDTF">2025-02-19T12:05:00.0000000Z</dcterms:created>
  <dcterms:modified xsi:type="dcterms:W3CDTF">2025-06-06T11:58:28.5239178Z</dcterms:modified>
</coreProperties>
</file>