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89A6" w14:textId="082027A8" w:rsidR="00EC1AE6" w:rsidRDefault="00EC1AE6" w:rsidP="00E46767">
      <w:pPr>
        <w:pStyle w:val="BodyA"/>
        <w:spacing w:line="240" w:lineRule="auto"/>
        <w:ind w:firstLine="720"/>
        <w:jc w:val="right"/>
        <w:rPr>
          <w:rFonts w:ascii="Times New Roman" w:eastAsia="Times New Roman" w:hAnsi="Times New Roman" w:cs="Times New Roman"/>
          <w:color w:val="auto"/>
          <w:lang w:val="lt-LT"/>
        </w:rPr>
      </w:pPr>
      <w:r w:rsidRPr="005B3262">
        <w:rPr>
          <w:rFonts w:ascii="Times New Roman" w:eastAsia="Times New Roman" w:hAnsi="Times New Roman" w:cs="Times New Roman"/>
          <w:color w:val="auto"/>
          <w:lang w:val="lt-LT"/>
        </w:rPr>
        <w:t>Pirkimo sąlygų</w:t>
      </w:r>
      <w:r w:rsidR="00E46767">
        <w:rPr>
          <w:rFonts w:ascii="Times New Roman" w:eastAsia="Times New Roman" w:hAnsi="Times New Roman" w:cs="Times New Roman"/>
          <w:color w:val="auto"/>
          <w:lang w:val="lt-LT"/>
        </w:rPr>
        <w:t xml:space="preserve"> 4</w:t>
      </w:r>
      <w:r w:rsidRPr="005B3262">
        <w:rPr>
          <w:rFonts w:ascii="Times New Roman" w:eastAsia="Times New Roman" w:hAnsi="Times New Roman" w:cs="Times New Roman"/>
          <w:color w:val="auto"/>
          <w:lang w:val="lt-LT"/>
        </w:rPr>
        <w:t xml:space="preserve"> priedas</w:t>
      </w:r>
    </w:p>
    <w:p w14:paraId="7F7F1F7E" w14:textId="77777777" w:rsidR="00E46767" w:rsidRPr="005B3262" w:rsidRDefault="00E46767" w:rsidP="00E46767">
      <w:pPr>
        <w:pStyle w:val="BodyA"/>
        <w:spacing w:line="240" w:lineRule="auto"/>
        <w:ind w:firstLine="720"/>
        <w:jc w:val="right"/>
        <w:rPr>
          <w:rFonts w:ascii="Times New Roman" w:eastAsia="Times New Roman" w:hAnsi="Times New Roman" w:cs="Times New Roman"/>
          <w:color w:val="auto"/>
          <w:lang w:val="lt-LT"/>
        </w:rPr>
      </w:pPr>
    </w:p>
    <w:p w14:paraId="2C82EF26" w14:textId="77777777" w:rsidR="00EC1AE6" w:rsidRPr="005B3262" w:rsidRDefault="00EC1AE6" w:rsidP="00EC1AE6">
      <w:pPr>
        <w:pStyle w:val="Heading"/>
        <w:jc w:val="center"/>
        <w:rPr>
          <w:color w:val="auto"/>
          <w:sz w:val="24"/>
          <w:szCs w:val="24"/>
          <w:lang w:val="lt-LT"/>
        </w:rPr>
      </w:pPr>
      <w:r w:rsidRPr="005B3262">
        <w:rPr>
          <w:color w:val="auto"/>
          <w:sz w:val="24"/>
          <w:szCs w:val="24"/>
          <w:lang w:val="lt-LT"/>
        </w:rPr>
        <w:t>KVALIFIKACIJOS ir kiti REIKALAVIMAI TIEKĖJams</w:t>
      </w:r>
    </w:p>
    <w:p w14:paraId="361D3E47" w14:textId="77777777" w:rsidR="00EC1AE6" w:rsidRPr="005B3262" w:rsidRDefault="00EC1AE6" w:rsidP="00EC1AE6">
      <w:pPr>
        <w:pStyle w:val="Body2"/>
        <w:spacing w:after="0"/>
        <w:rPr>
          <w:color w:val="auto"/>
          <w:sz w:val="24"/>
          <w:szCs w:val="24"/>
          <w:lang w:val="lt-LT"/>
        </w:rPr>
      </w:pPr>
    </w:p>
    <w:p w14:paraId="1AEAE97C" w14:textId="77777777" w:rsidR="00EC1AE6" w:rsidRDefault="00EC1AE6" w:rsidP="00EC1AE6">
      <w:pPr>
        <w:pStyle w:val="Body2"/>
        <w:spacing w:after="0"/>
        <w:jc w:val="center"/>
        <w:rPr>
          <w:b/>
          <w:bCs/>
          <w:color w:val="auto"/>
          <w:sz w:val="24"/>
          <w:szCs w:val="24"/>
          <w:lang w:val="lt-LT"/>
        </w:rPr>
      </w:pPr>
      <w:r w:rsidRPr="005B3262">
        <w:rPr>
          <w:b/>
          <w:bCs/>
          <w:color w:val="auto"/>
          <w:sz w:val="24"/>
          <w:szCs w:val="24"/>
          <w:lang w:val="lt-LT"/>
        </w:rPr>
        <w:t>Kvalifikacijos reikalavimai</w:t>
      </w:r>
    </w:p>
    <w:p w14:paraId="3611B7D7" w14:textId="77777777" w:rsidR="0007364A" w:rsidRPr="005B3262" w:rsidRDefault="0007364A" w:rsidP="00EC1AE6">
      <w:pPr>
        <w:pStyle w:val="Body2"/>
        <w:spacing w:after="0"/>
        <w:jc w:val="center"/>
        <w:rPr>
          <w:b/>
          <w:bCs/>
          <w:color w:val="auto"/>
          <w:sz w:val="24"/>
          <w:szCs w:val="24"/>
          <w:lang w:val="lt-LT"/>
        </w:rPr>
      </w:pPr>
    </w:p>
    <w:p w14:paraId="300A6CF4" w14:textId="6EFFA11B" w:rsidR="001428B7" w:rsidRPr="005B3262" w:rsidRDefault="00EC1AE6" w:rsidP="0007364A">
      <w:pPr>
        <w:pStyle w:val="Body2"/>
        <w:spacing w:after="0"/>
        <w:ind w:left="10080"/>
        <w:jc w:val="center"/>
        <w:rPr>
          <w:color w:val="auto"/>
          <w:sz w:val="24"/>
          <w:szCs w:val="24"/>
          <w:lang w:val="lt-LT"/>
        </w:rPr>
      </w:pPr>
      <w:r w:rsidRPr="005B3262">
        <w:rPr>
          <w:color w:val="auto"/>
          <w:sz w:val="24"/>
          <w:szCs w:val="24"/>
          <w:lang w:val="lt-LT"/>
        </w:rPr>
        <w:t>1 lentelė</w:t>
      </w:r>
    </w:p>
    <w:tbl>
      <w:tblPr>
        <w:tblStyle w:val="Lentelstinklelis"/>
        <w:tblW w:w="11363" w:type="dxa"/>
        <w:jc w:val="center"/>
        <w:tblLayout w:type="fixed"/>
        <w:tblLook w:val="04A0" w:firstRow="1" w:lastRow="0" w:firstColumn="1" w:lastColumn="0" w:noHBand="0" w:noVBand="1"/>
      </w:tblPr>
      <w:tblGrid>
        <w:gridCol w:w="555"/>
        <w:gridCol w:w="4997"/>
        <w:gridCol w:w="5811"/>
      </w:tblGrid>
      <w:tr w:rsidR="0007364A" w:rsidRPr="005B3262" w14:paraId="33D8C6D1" w14:textId="77777777" w:rsidTr="0007364A">
        <w:trPr>
          <w:jc w:val="center"/>
        </w:trPr>
        <w:tc>
          <w:tcPr>
            <w:tcW w:w="555" w:type="dxa"/>
          </w:tcPr>
          <w:p w14:paraId="1B028E81" w14:textId="77777777" w:rsidR="0007364A" w:rsidRPr="005B3262" w:rsidRDefault="0007364A"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5B3262">
              <w:rPr>
                <w:rFonts w:ascii="Times New Roman" w:eastAsia="Times New Roman" w:hAnsi="Times New Roman" w:cs="Times New Roman"/>
                <w:b/>
                <w:bCs/>
                <w:color w:val="auto"/>
                <w:sz w:val="22"/>
                <w:szCs w:val="22"/>
                <w:lang w:val="lt-LT"/>
              </w:rPr>
              <w:t>Eil. Nr.</w:t>
            </w:r>
          </w:p>
        </w:tc>
        <w:tc>
          <w:tcPr>
            <w:tcW w:w="4997" w:type="dxa"/>
            <w:vAlign w:val="center"/>
          </w:tcPr>
          <w:p w14:paraId="4C21B7BD" w14:textId="77777777" w:rsidR="0007364A" w:rsidRPr="005B3262" w:rsidRDefault="0007364A" w:rsidP="00FC6E87">
            <w:pPr>
              <w:jc w:val="center"/>
              <w:rPr>
                <w:b/>
                <w:bCs/>
              </w:rPr>
            </w:pPr>
            <w:r w:rsidRPr="005B3262">
              <w:rPr>
                <w:b/>
                <w:bCs/>
              </w:rPr>
              <w:t>Reikalavimas</w:t>
            </w:r>
          </w:p>
        </w:tc>
        <w:tc>
          <w:tcPr>
            <w:tcW w:w="5811" w:type="dxa"/>
            <w:vAlign w:val="center"/>
          </w:tcPr>
          <w:p w14:paraId="4492B570" w14:textId="5FD47DB2" w:rsidR="0007364A" w:rsidRPr="005B3262" w:rsidRDefault="0007364A" w:rsidP="00FC6E87">
            <w:pPr>
              <w:jc w:val="center"/>
              <w:rPr>
                <w:rFonts w:eastAsia="Times New Roman"/>
                <w:b/>
                <w:bCs/>
              </w:rPr>
            </w:pPr>
            <w:r w:rsidRPr="005B3262">
              <w:rPr>
                <w:b/>
                <w:bCs/>
              </w:rPr>
              <w:t>Atitiktį pagrindžiantys dokumentai</w:t>
            </w:r>
          </w:p>
        </w:tc>
      </w:tr>
      <w:tr w:rsidR="0007364A" w:rsidRPr="005B3262" w14:paraId="162D9526" w14:textId="77777777" w:rsidTr="0007364A">
        <w:trPr>
          <w:jc w:val="center"/>
        </w:trPr>
        <w:tc>
          <w:tcPr>
            <w:tcW w:w="555" w:type="dxa"/>
          </w:tcPr>
          <w:p w14:paraId="23133D57" w14:textId="0684D8E5" w:rsidR="0007364A" w:rsidRDefault="0007364A" w:rsidP="00351384">
            <w:pPr>
              <w:rPr>
                <w:sz w:val="20"/>
                <w:szCs w:val="20"/>
              </w:rPr>
            </w:pPr>
            <w:r>
              <w:rPr>
                <w:sz w:val="20"/>
                <w:szCs w:val="20"/>
              </w:rPr>
              <w:t>1.</w:t>
            </w:r>
          </w:p>
        </w:tc>
        <w:tc>
          <w:tcPr>
            <w:tcW w:w="4997" w:type="dxa"/>
          </w:tcPr>
          <w:p w14:paraId="23DDCDE5" w14:textId="70A2895A" w:rsidR="0007364A" w:rsidRDefault="0007364A" w:rsidP="0007364A">
            <w:pPr>
              <w:jc w:val="left"/>
              <w:rPr>
                <w:bCs/>
              </w:rPr>
            </w:pPr>
            <w:r>
              <w:rPr>
                <w:bCs/>
              </w:rPr>
              <w:t>Tiekėjas gali verstis statybos veikla pagal EVRK 2.1. red. F pozicijos 41 (Gyvenamųjų ir negyvenamųjų pastatų statyba) punktą.</w:t>
            </w:r>
            <w:r w:rsidR="00636268" w:rsidRPr="00636268">
              <w:rPr>
                <w:bCs/>
                <w:color w:val="00B050"/>
                <w:vertAlign w:val="superscript"/>
              </w:rPr>
              <w:t>1</w:t>
            </w:r>
          </w:p>
          <w:p w14:paraId="1FEE4437" w14:textId="77777777" w:rsidR="0007364A" w:rsidRDefault="0007364A" w:rsidP="00351384">
            <w:pPr>
              <w:jc w:val="left"/>
            </w:pPr>
          </w:p>
          <w:p w14:paraId="54EFB3A9" w14:textId="7776E7DF" w:rsidR="0007364A" w:rsidRDefault="0007364A" w:rsidP="00351384">
            <w:pPr>
              <w:jc w:val="left"/>
            </w:pPr>
            <w:r>
              <w:t>Arba</w:t>
            </w:r>
          </w:p>
          <w:p w14:paraId="4E1EBDB1" w14:textId="77777777" w:rsidR="0007364A" w:rsidRDefault="0007364A" w:rsidP="00351384">
            <w:pPr>
              <w:jc w:val="left"/>
            </w:pPr>
          </w:p>
          <w:p w14:paraId="38D20F48" w14:textId="77777777" w:rsidR="0007364A" w:rsidRDefault="0007364A" w:rsidP="00022E7C">
            <w:pPr>
              <w:jc w:val="left"/>
            </w:pPr>
            <w:r>
              <w:t>Statinių kategorija – neypatingi statiniai;</w:t>
            </w:r>
          </w:p>
          <w:p w14:paraId="6DA102D6" w14:textId="5A6E25B5" w:rsidR="0007364A" w:rsidRDefault="0007364A" w:rsidP="00022E7C">
            <w:pPr>
              <w:jc w:val="left"/>
            </w:pPr>
            <w:r>
              <w:t xml:space="preserve">Statinių grupė: negyvenamieji pastatai, </w:t>
            </w:r>
          </w:p>
          <w:p w14:paraId="54F6C919" w14:textId="55E969B0" w:rsidR="0007364A" w:rsidRDefault="0007364A" w:rsidP="00022E7C">
            <w:pPr>
              <w:jc w:val="left"/>
            </w:pPr>
            <w:r>
              <w:t>Statybos darbų sritis: bendrieji statybos darbai.</w:t>
            </w:r>
          </w:p>
          <w:p w14:paraId="68C7FBC0" w14:textId="77777777" w:rsidR="0007364A" w:rsidRDefault="0007364A" w:rsidP="00022E7C">
            <w:pPr>
              <w:jc w:val="left"/>
            </w:pPr>
          </w:p>
          <w:p w14:paraId="415D6C25" w14:textId="77777777" w:rsidR="0007364A" w:rsidRDefault="0007364A" w:rsidP="00351384">
            <w:pPr>
              <w:jc w:val="left"/>
              <w:rPr>
                <w:bCs/>
              </w:rPr>
            </w:pPr>
          </w:p>
          <w:p w14:paraId="342504CE" w14:textId="5248792C" w:rsidR="0007364A" w:rsidRPr="00C7392F" w:rsidRDefault="0007364A" w:rsidP="00351384">
            <w:pPr>
              <w:jc w:val="left"/>
              <w:rPr>
                <w:sz w:val="20"/>
                <w:szCs w:val="16"/>
              </w:rPr>
            </w:pPr>
            <w:r w:rsidRPr="00234E16">
              <w:t xml:space="preserve">Teisinis pagrindas: </w:t>
            </w:r>
            <w:r w:rsidRPr="00234E16">
              <w:br/>
              <w:t xml:space="preserve">1) Lietuvos Respublikos statybos įstatymo 18 str. </w:t>
            </w:r>
            <w:r>
              <w:t>1</w:t>
            </w:r>
            <w:r w:rsidRPr="00234E16">
              <w:t xml:space="preserve"> d.;</w:t>
            </w:r>
          </w:p>
        </w:tc>
        <w:tc>
          <w:tcPr>
            <w:tcW w:w="5811" w:type="dxa"/>
          </w:tcPr>
          <w:p w14:paraId="4E29AF03" w14:textId="12AB7CEE" w:rsidR="0007364A" w:rsidRPr="005E041E" w:rsidRDefault="0007364A" w:rsidP="00351384">
            <w:pPr>
              <w:rPr>
                <w:b/>
                <w:i/>
                <w:iCs/>
              </w:rPr>
            </w:pPr>
            <w:r>
              <w:rPr>
                <w:b/>
                <w:i/>
                <w:iCs/>
              </w:rPr>
              <w:t>P</w:t>
            </w:r>
            <w:r w:rsidRPr="007F0B8E">
              <w:rPr>
                <w:b/>
                <w:i/>
                <w:iCs/>
              </w:rPr>
              <w:t>ateikiama su pasiūlymu: EBVPD.</w:t>
            </w:r>
          </w:p>
          <w:p w14:paraId="302BF7D5" w14:textId="77777777" w:rsidR="0007364A" w:rsidRDefault="0007364A" w:rsidP="00351384">
            <w:pPr>
              <w:rPr>
                <w:b/>
                <w:i/>
                <w:iCs/>
              </w:rPr>
            </w:pPr>
            <w:r w:rsidRPr="007F0B8E">
              <w:rPr>
                <w:b/>
                <w:i/>
                <w:iCs/>
              </w:rPr>
              <w:t>Dokumentai, kuriuos turės pateikti galimas laimėtojas:</w:t>
            </w:r>
          </w:p>
          <w:p w14:paraId="716D6619" w14:textId="435656D3" w:rsidR="005E041E" w:rsidRPr="005E041E" w:rsidRDefault="005E041E" w:rsidP="00351384">
            <w:pPr>
              <w:rPr>
                <w:color w:val="00B050"/>
                <w:sz w:val="20"/>
                <w:szCs w:val="20"/>
              </w:rPr>
            </w:pPr>
            <w:r>
              <w:rPr>
                <w:color w:val="00B050"/>
                <w:sz w:val="20"/>
                <w:szCs w:val="20"/>
                <w:vertAlign w:val="superscript"/>
              </w:rPr>
              <w:t>1</w:t>
            </w:r>
            <w:r w:rsidRPr="00A55E09">
              <w:rPr>
                <w:color w:val="00B050"/>
                <w:sz w:val="20"/>
                <w:szCs w:val="20"/>
              </w:rPr>
              <w:t xml:space="preserve">Lietuvos Respublikos statybos įstatymo, </w:t>
            </w:r>
            <w:r>
              <w:rPr>
                <w:color w:val="00B050"/>
                <w:sz w:val="20"/>
                <w:szCs w:val="20"/>
              </w:rPr>
              <w:t>18</w:t>
            </w:r>
            <w:r w:rsidRPr="00A55E09">
              <w:rPr>
                <w:color w:val="00B050"/>
                <w:sz w:val="20"/>
                <w:szCs w:val="20"/>
              </w:rPr>
              <w:t xml:space="preserve"> straipsnio, </w:t>
            </w:r>
            <w:r>
              <w:rPr>
                <w:color w:val="00B050"/>
                <w:sz w:val="20"/>
                <w:szCs w:val="20"/>
              </w:rPr>
              <w:t>1</w:t>
            </w:r>
            <w:r w:rsidRPr="00A55E09">
              <w:rPr>
                <w:color w:val="00B050"/>
                <w:sz w:val="20"/>
                <w:szCs w:val="20"/>
              </w:rPr>
              <w:t xml:space="preserve"> </w:t>
            </w:r>
            <w:r>
              <w:rPr>
                <w:color w:val="00B050"/>
                <w:sz w:val="20"/>
                <w:szCs w:val="20"/>
              </w:rPr>
              <w:t>dalis</w:t>
            </w:r>
            <w:r w:rsidRPr="00A55E09">
              <w:rPr>
                <w:color w:val="00B050"/>
                <w:sz w:val="20"/>
                <w:szCs w:val="20"/>
              </w:rPr>
              <w:t xml:space="preserve">. </w:t>
            </w:r>
            <w:r>
              <w:rPr>
                <w:color w:val="00B050"/>
                <w:sz w:val="20"/>
                <w:szCs w:val="20"/>
              </w:rPr>
              <w:t>Tiekėjas turės pateikti teisę verstis veikla patvirtinančius dokumentus arba aukštesnės kvalifikacijos atestatą.</w:t>
            </w:r>
          </w:p>
          <w:p w14:paraId="21CF75E1" w14:textId="77777777" w:rsidR="0007364A" w:rsidRPr="00573799" w:rsidRDefault="0007364A" w:rsidP="00351384">
            <w:pPr>
              <w:rPr>
                <w:bCs/>
              </w:rPr>
            </w:pPr>
            <w:r w:rsidRPr="00573799">
              <w:rPr>
                <w:bCs/>
              </w:rPr>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2EEA07DD" w14:textId="77777777" w:rsidR="0007364A" w:rsidRPr="00573799" w:rsidRDefault="0007364A" w:rsidP="00351384">
            <w:pPr>
              <w:rPr>
                <w:bCs/>
              </w:rPr>
            </w:pPr>
            <w:r w:rsidRPr="00573799">
              <w:rPr>
                <w:bCs/>
              </w:rPr>
              <w:t xml:space="preserve">Užsienio šalies tiekėjo* turimos kvalifikacijos patvirtinimo dokumentai Lietuvoje gali būti išduoti ir po pasiūlymų pateikimo datos, tačiau pačią teisę tiekėjas kilmės šalyje turi būti įgijęs iki pasiūlymų pateikimo termino pabaigos1. </w:t>
            </w:r>
          </w:p>
          <w:p w14:paraId="633C7BEE" w14:textId="77777777" w:rsidR="0007364A" w:rsidRPr="00573799" w:rsidRDefault="0007364A" w:rsidP="00351384">
            <w:pPr>
              <w:rPr>
                <w:bCs/>
              </w:rPr>
            </w:pPr>
            <w:r w:rsidRPr="00573799">
              <w:rPr>
                <w:bCs/>
              </w:rPr>
              <w:t>Pirkimo vykdytojas informaciją apie išduotus kvalifikacijos dokumentus pasitikrina SSVA registruose: https://www.ssva.lt/cms/registrai</w:t>
            </w:r>
          </w:p>
          <w:p w14:paraId="226B40B7" w14:textId="77777777" w:rsidR="0007364A" w:rsidRPr="00573799" w:rsidRDefault="0007364A" w:rsidP="00351384">
            <w:pPr>
              <w:rPr>
                <w:bCs/>
              </w:rPr>
            </w:pPr>
          </w:p>
          <w:p w14:paraId="5A14C0DB" w14:textId="77777777" w:rsidR="0007364A" w:rsidRDefault="0007364A" w:rsidP="00351384">
            <w:pPr>
              <w:rPr>
                <w:bCs/>
              </w:rPr>
            </w:pPr>
            <w:r w:rsidRPr="00573799">
              <w:rPr>
                <w:bCs/>
              </w:rPr>
              <w:t xml:space="preserve">*Užsienio šalies tiekėjai – Europos Sąjungos valstybės narių, Šveicarijos Konfederacijos arba valstybių, pasirašiusių Europos ekonominės erdvės sutartį, juridiniai asmenys, kitos užsienio </w:t>
            </w:r>
            <w:r w:rsidRPr="00573799">
              <w:rPr>
                <w:bCs/>
              </w:rPr>
              <w:lastRenderedPageBreak/>
              <w:t>organizacijos ir jų padaliniai – turi teisę būti ypatingojo statinio statybos rangovu Lietuvos Respublikos teritorijoje, pripažinus jų kilmės valstybėje</w:t>
            </w:r>
          </w:p>
          <w:p w14:paraId="0B361048" w14:textId="42EEE63A" w:rsidR="0007364A" w:rsidRPr="00EC5ACB" w:rsidRDefault="0007364A" w:rsidP="00351384">
            <w:pPr>
              <w:rPr>
                <w:b/>
                <w:i/>
                <w:sz w:val="20"/>
                <w:szCs w:val="16"/>
              </w:rPr>
            </w:pPr>
            <w:r>
              <w:rPr>
                <w:bCs/>
              </w:rPr>
              <w:t>Arba išrašas iš VĮ „Registrų centro“ kuriame nurodoma, kad Tiekėjas gali verstis statybos veikla pagal EVRK 2.1. red. F pozicijos 41 (Gyvenamųjų ir negyvenamųjų pastatų statyba) punktą.</w:t>
            </w:r>
          </w:p>
        </w:tc>
      </w:tr>
      <w:tr w:rsidR="0007364A" w:rsidRPr="005B3262" w14:paraId="423872C4" w14:textId="77777777" w:rsidTr="0007364A">
        <w:trPr>
          <w:jc w:val="center"/>
        </w:trPr>
        <w:tc>
          <w:tcPr>
            <w:tcW w:w="555" w:type="dxa"/>
          </w:tcPr>
          <w:p w14:paraId="509467FA" w14:textId="51F70281" w:rsidR="0007364A" w:rsidRPr="005B3262" w:rsidRDefault="0007364A" w:rsidP="00351384">
            <w:r>
              <w:rPr>
                <w:sz w:val="20"/>
                <w:szCs w:val="20"/>
              </w:rPr>
              <w:lastRenderedPageBreak/>
              <w:t>2</w:t>
            </w:r>
            <w:r w:rsidRPr="00783BDE">
              <w:rPr>
                <w:sz w:val="20"/>
                <w:szCs w:val="20"/>
              </w:rPr>
              <w:t>.</w:t>
            </w:r>
          </w:p>
        </w:tc>
        <w:tc>
          <w:tcPr>
            <w:tcW w:w="4997" w:type="dxa"/>
          </w:tcPr>
          <w:p w14:paraId="2AF330EA" w14:textId="77777777" w:rsidR="0007364A" w:rsidRDefault="0007364A" w:rsidP="00351384">
            <w:pPr>
              <w:rPr>
                <w:sz w:val="20"/>
                <w:szCs w:val="16"/>
              </w:rPr>
            </w:pPr>
            <w:r w:rsidRPr="00C7392F">
              <w:rPr>
                <w:sz w:val="20"/>
                <w:szCs w:val="16"/>
              </w:rPr>
              <w:t xml:space="preserve">Tiekėjas pirkimo sutarties vykdymui turi turėti šiuos specialistus: </w:t>
            </w:r>
          </w:p>
          <w:p w14:paraId="47CB3F4B" w14:textId="1775385C" w:rsidR="0007364A" w:rsidRPr="006D5354" w:rsidRDefault="0007364A" w:rsidP="00351384">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ind w:left="-74" w:firstLine="0"/>
              <w:rPr>
                <w:b/>
                <w:sz w:val="20"/>
              </w:rPr>
            </w:pPr>
            <w:r w:rsidRPr="00C7392F">
              <w:rPr>
                <w:sz w:val="20"/>
                <w:szCs w:val="16"/>
              </w:rPr>
              <w:t xml:space="preserve">bent </w:t>
            </w:r>
            <w:r>
              <w:rPr>
                <w:sz w:val="20"/>
                <w:szCs w:val="16"/>
              </w:rPr>
              <w:t>1</w:t>
            </w:r>
            <w:r w:rsidRPr="00C7392F">
              <w:rPr>
                <w:sz w:val="20"/>
                <w:szCs w:val="16"/>
              </w:rPr>
              <w:t xml:space="preserve"> (</w:t>
            </w:r>
            <w:r>
              <w:rPr>
                <w:sz w:val="20"/>
                <w:szCs w:val="16"/>
              </w:rPr>
              <w:t>vieną</w:t>
            </w:r>
            <w:r w:rsidRPr="00C7392F">
              <w:rPr>
                <w:sz w:val="20"/>
                <w:szCs w:val="16"/>
              </w:rPr>
              <w:t xml:space="preserve">) </w:t>
            </w:r>
            <w:r>
              <w:rPr>
                <w:sz w:val="20"/>
                <w:szCs w:val="16"/>
              </w:rPr>
              <w:t>statybos inžinierių*.</w:t>
            </w:r>
          </w:p>
          <w:p w14:paraId="5DE6E645" w14:textId="77777777" w:rsidR="0007364A" w:rsidRDefault="0007364A" w:rsidP="00351384">
            <w:pPr>
              <w:pBdr>
                <w:top w:val="none" w:sz="0" w:space="0" w:color="auto"/>
                <w:left w:val="none" w:sz="0" w:space="0" w:color="auto"/>
                <w:bottom w:val="none" w:sz="0" w:space="0" w:color="auto"/>
                <w:right w:val="none" w:sz="0" w:space="0" w:color="auto"/>
                <w:between w:val="none" w:sz="0" w:space="0" w:color="auto"/>
                <w:bar w:val="none" w:sz="0" w:color="auto"/>
              </w:pBdr>
              <w:tabs>
                <w:tab w:val="left" w:pos="919"/>
              </w:tabs>
              <w:jc w:val="left"/>
              <w:rPr>
                <w:bCs/>
                <w:sz w:val="20"/>
              </w:rPr>
            </w:pPr>
          </w:p>
          <w:p w14:paraId="4941A7EF" w14:textId="5F9EA031" w:rsidR="0007364A" w:rsidRDefault="0007364A" w:rsidP="00351384">
            <w:pPr>
              <w:pBdr>
                <w:top w:val="none" w:sz="0" w:space="0" w:color="auto"/>
                <w:left w:val="none" w:sz="0" w:space="0" w:color="auto"/>
                <w:bottom w:val="none" w:sz="0" w:space="0" w:color="auto"/>
                <w:right w:val="none" w:sz="0" w:space="0" w:color="auto"/>
                <w:between w:val="none" w:sz="0" w:space="0" w:color="auto"/>
                <w:bar w:val="none" w:sz="0" w:color="auto"/>
              </w:pBdr>
              <w:tabs>
                <w:tab w:val="left" w:pos="919"/>
              </w:tabs>
              <w:jc w:val="left"/>
              <w:rPr>
                <w:bCs/>
                <w:sz w:val="20"/>
              </w:rPr>
            </w:pPr>
            <w:r>
              <w:rPr>
                <w:bCs/>
                <w:sz w:val="20"/>
              </w:rPr>
              <w:t>arba</w:t>
            </w:r>
          </w:p>
          <w:p w14:paraId="67ED5615" w14:textId="77777777" w:rsidR="0007364A" w:rsidRDefault="0007364A" w:rsidP="00351384">
            <w:pPr>
              <w:pBdr>
                <w:top w:val="none" w:sz="0" w:space="0" w:color="auto"/>
                <w:left w:val="none" w:sz="0" w:space="0" w:color="auto"/>
                <w:bottom w:val="none" w:sz="0" w:space="0" w:color="auto"/>
                <w:right w:val="none" w:sz="0" w:space="0" w:color="auto"/>
                <w:between w:val="none" w:sz="0" w:space="0" w:color="auto"/>
                <w:bar w:val="none" w:sz="0" w:color="auto"/>
              </w:pBdr>
              <w:tabs>
                <w:tab w:val="left" w:pos="919"/>
              </w:tabs>
              <w:jc w:val="left"/>
              <w:rPr>
                <w:bCs/>
                <w:sz w:val="20"/>
              </w:rPr>
            </w:pPr>
          </w:p>
          <w:p w14:paraId="7A60C19D" w14:textId="0CF1F220" w:rsidR="00986E49" w:rsidRPr="005E041E" w:rsidRDefault="0007364A" w:rsidP="00986E4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ind w:left="-74" w:firstLine="0"/>
              <w:rPr>
                <w:b/>
                <w:sz w:val="20"/>
              </w:rPr>
            </w:pPr>
            <w:r w:rsidRPr="00C7392F">
              <w:rPr>
                <w:sz w:val="20"/>
                <w:szCs w:val="16"/>
              </w:rPr>
              <w:t xml:space="preserve">bent </w:t>
            </w:r>
            <w:r>
              <w:rPr>
                <w:sz w:val="20"/>
                <w:szCs w:val="16"/>
              </w:rPr>
              <w:t xml:space="preserve">1 </w:t>
            </w:r>
            <w:r w:rsidRPr="00C7392F">
              <w:rPr>
                <w:sz w:val="20"/>
                <w:szCs w:val="16"/>
              </w:rPr>
              <w:t>(</w:t>
            </w:r>
            <w:r>
              <w:rPr>
                <w:sz w:val="20"/>
                <w:szCs w:val="16"/>
              </w:rPr>
              <w:t>vieną</w:t>
            </w:r>
            <w:r w:rsidRPr="00C7392F">
              <w:rPr>
                <w:sz w:val="20"/>
                <w:szCs w:val="16"/>
              </w:rPr>
              <w:t xml:space="preserve">) </w:t>
            </w:r>
            <w:r>
              <w:rPr>
                <w:sz w:val="20"/>
                <w:szCs w:val="16"/>
              </w:rPr>
              <w:t xml:space="preserve">specialistą turintį teisę eiti negyvenamojo, </w:t>
            </w:r>
            <w:r w:rsidRPr="005E041E">
              <w:rPr>
                <w:sz w:val="20"/>
                <w:szCs w:val="16"/>
              </w:rPr>
              <w:t xml:space="preserve">neypatingo </w:t>
            </w:r>
            <w:r>
              <w:rPr>
                <w:sz w:val="20"/>
                <w:szCs w:val="16"/>
              </w:rPr>
              <w:t>statinio statybos darbų vadovo pareigas.</w:t>
            </w:r>
          </w:p>
          <w:p w14:paraId="5D0AF2AA" w14:textId="77777777" w:rsidR="005E041E" w:rsidRPr="00986E49" w:rsidRDefault="005E041E" w:rsidP="005E041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631"/>
              </w:tabs>
              <w:ind w:left="-74"/>
              <w:rPr>
                <w:b/>
                <w:sz w:val="20"/>
              </w:rPr>
            </w:pPr>
          </w:p>
          <w:p w14:paraId="490592BF" w14:textId="77777777" w:rsidR="00986E49" w:rsidRDefault="00986E49" w:rsidP="00986E49">
            <w:p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rPr>
                <w:b/>
                <w:sz w:val="20"/>
              </w:rPr>
            </w:pPr>
          </w:p>
          <w:p w14:paraId="0743012B" w14:textId="7BF1D5EC" w:rsidR="00986E49" w:rsidRPr="006D5354" w:rsidRDefault="00986E49" w:rsidP="00986E4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ind w:left="-74" w:firstLine="0"/>
              <w:rPr>
                <w:b/>
                <w:sz w:val="20"/>
              </w:rPr>
            </w:pPr>
            <w:r w:rsidRPr="00C7392F">
              <w:rPr>
                <w:sz w:val="20"/>
                <w:szCs w:val="16"/>
              </w:rPr>
              <w:t xml:space="preserve">bent </w:t>
            </w:r>
            <w:r>
              <w:rPr>
                <w:sz w:val="20"/>
                <w:szCs w:val="16"/>
              </w:rPr>
              <w:t xml:space="preserve">1 </w:t>
            </w:r>
            <w:r w:rsidRPr="00C7392F">
              <w:rPr>
                <w:sz w:val="20"/>
                <w:szCs w:val="16"/>
              </w:rPr>
              <w:t>(</w:t>
            </w:r>
            <w:r>
              <w:rPr>
                <w:sz w:val="20"/>
                <w:szCs w:val="16"/>
              </w:rPr>
              <w:t>vieną</w:t>
            </w:r>
            <w:r w:rsidRPr="00C7392F">
              <w:rPr>
                <w:sz w:val="20"/>
                <w:szCs w:val="16"/>
              </w:rPr>
              <w:t xml:space="preserve">) </w:t>
            </w:r>
            <w:r>
              <w:rPr>
                <w:sz w:val="20"/>
                <w:szCs w:val="16"/>
              </w:rPr>
              <w:t xml:space="preserve">specialistą turintį teisę eiti negyvenamojo, </w:t>
            </w:r>
            <w:r w:rsidR="005E041E" w:rsidRPr="005E041E">
              <w:rPr>
                <w:color w:val="00B050"/>
                <w:sz w:val="20"/>
                <w:szCs w:val="20"/>
              </w:rPr>
              <w:t>nesudėtingojo</w:t>
            </w:r>
            <w:r w:rsidR="005E041E">
              <w:rPr>
                <w:color w:val="00B050"/>
                <w:sz w:val="20"/>
                <w:szCs w:val="20"/>
                <w:vertAlign w:val="superscript"/>
              </w:rPr>
              <w:t>1</w:t>
            </w:r>
            <w:r w:rsidR="005E041E">
              <w:rPr>
                <w:b/>
                <w:bCs/>
                <w:color w:val="00B050"/>
                <w:sz w:val="20"/>
                <w:szCs w:val="20"/>
                <w:vertAlign w:val="superscript"/>
              </w:rPr>
              <w:t xml:space="preserve"> </w:t>
            </w:r>
            <w:r w:rsidR="005E041E" w:rsidRPr="005E041E">
              <w:rPr>
                <w:strike/>
                <w:color w:val="FF0000"/>
                <w:sz w:val="20"/>
                <w:szCs w:val="16"/>
              </w:rPr>
              <w:t>neypatingo</w:t>
            </w:r>
            <w:r>
              <w:rPr>
                <w:sz w:val="20"/>
                <w:szCs w:val="16"/>
              </w:rPr>
              <w:t xml:space="preserve"> statinio projekto vadovo ir projekto vykdymo priežiūros vadovo pareigas.</w:t>
            </w:r>
          </w:p>
          <w:p w14:paraId="3D83E05C" w14:textId="77777777" w:rsidR="00986E49" w:rsidRDefault="00986E49" w:rsidP="00986E49">
            <w:p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rPr>
                <w:b/>
                <w:sz w:val="20"/>
              </w:rPr>
            </w:pPr>
          </w:p>
          <w:p w14:paraId="060B2692" w14:textId="6E20AB02" w:rsidR="00986E49" w:rsidRPr="00986E49" w:rsidRDefault="00986E49" w:rsidP="00986E49">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ind w:left="-74" w:firstLine="0"/>
              <w:rPr>
                <w:b/>
                <w:sz w:val="20"/>
              </w:rPr>
            </w:pPr>
            <w:r w:rsidRPr="00C7392F">
              <w:rPr>
                <w:sz w:val="20"/>
                <w:szCs w:val="16"/>
              </w:rPr>
              <w:t xml:space="preserve">bent </w:t>
            </w:r>
            <w:r>
              <w:rPr>
                <w:sz w:val="20"/>
                <w:szCs w:val="16"/>
              </w:rPr>
              <w:t xml:space="preserve">po 1 </w:t>
            </w:r>
            <w:r w:rsidRPr="00C7392F">
              <w:rPr>
                <w:sz w:val="20"/>
                <w:szCs w:val="16"/>
              </w:rPr>
              <w:t>(</w:t>
            </w:r>
            <w:r>
              <w:rPr>
                <w:sz w:val="20"/>
                <w:szCs w:val="16"/>
              </w:rPr>
              <w:t>vieną</w:t>
            </w:r>
            <w:r w:rsidRPr="00C7392F">
              <w:rPr>
                <w:sz w:val="20"/>
                <w:szCs w:val="16"/>
              </w:rPr>
              <w:t xml:space="preserve">) </w:t>
            </w:r>
            <w:r>
              <w:rPr>
                <w:sz w:val="20"/>
                <w:szCs w:val="16"/>
              </w:rPr>
              <w:t xml:space="preserve">specialistą turintį teisę eiti negyvenamojo, </w:t>
            </w:r>
            <w:r w:rsidR="005E041E" w:rsidRPr="005E041E">
              <w:rPr>
                <w:color w:val="00B050"/>
                <w:sz w:val="20"/>
                <w:szCs w:val="20"/>
              </w:rPr>
              <w:t>nesudėtingojo</w:t>
            </w:r>
            <w:r w:rsidR="005E041E">
              <w:rPr>
                <w:color w:val="00B050"/>
                <w:sz w:val="20"/>
                <w:szCs w:val="20"/>
                <w:vertAlign w:val="superscript"/>
              </w:rPr>
              <w:t>1</w:t>
            </w:r>
            <w:r w:rsidR="005E041E">
              <w:rPr>
                <w:b/>
                <w:bCs/>
                <w:color w:val="00B050"/>
                <w:sz w:val="20"/>
                <w:szCs w:val="20"/>
                <w:vertAlign w:val="superscript"/>
              </w:rPr>
              <w:t xml:space="preserve"> </w:t>
            </w:r>
            <w:r w:rsidR="005E041E" w:rsidRPr="005E041E">
              <w:rPr>
                <w:strike/>
                <w:color w:val="FF0000"/>
                <w:sz w:val="20"/>
                <w:szCs w:val="16"/>
              </w:rPr>
              <w:t>neypatingo</w:t>
            </w:r>
            <w:r>
              <w:rPr>
                <w:sz w:val="20"/>
                <w:szCs w:val="16"/>
              </w:rPr>
              <w:t xml:space="preserve"> statinio projekto dalies vadovo pareigas, žemiau išvardintoms projekto dalims:</w:t>
            </w:r>
          </w:p>
          <w:p w14:paraId="425021E8" w14:textId="033B1096" w:rsidR="00986E49" w:rsidRDefault="00986E49" w:rsidP="00986E49">
            <w:p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rPr>
                <w:bCs/>
                <w:sz w:val="20"/>
              </w:rPr>
            </w:pPr>
            <w:r>
              <w:rPr>
                <w:b/>
                <w:sz w:val="20"/>
              </w:rPr>
              <w:t xml:space="preserve">- </w:t>
            </w:r>
            <w:r>
              <w:rPr>
                <w:bCs/>
                <w:sz w:val="20"/>
              </w:rPr>
              <w:t>Konstrukcijų dalis;</w:t>
            </w:r>
          </w:p>
          <w:p w14:paraId="441621EC" w14:textId="59E5A947" w:rsidR="00986E49" w:rsidRDefault="00986E49" w:rsidP="00986E49">
            <w:p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rPr>
                <w:bCs/>
                <w:sz w:val="20"/>
              </w:rPr>
            </w:pPr>
            <w:r>
              <w:rPr>
                <w:bCs/>
                <w:sz w:val="20"/>
              </w:rPr>
              <w:t>- Vandentiekio ir nuotekų šalinimo dalis;</w:t>
            </w:r>
          </w:p>
          <w:p w14:paraId="2988D011" w14:textId="5A2EAC30" w:rsidR="00986E49" w:rsidRDefault="00986E49" w:rsidP="00986E49">
            <w:p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rPr>
                <w:bCs/>
                <w:sz w:val="20"/>
              </w:rPr>
            </w:pPr>
            <w:r>
              <w:rPr>
                <w:bCs/>
                <w:sz w:val="20"/>
              </w:rPr>
              <w:t>- Elektrotechnikos dalis;</w:t>
            </w:r>
          </w:p>
          <w:p w14:paraId="04ECE616" w14:textId="1DA685EA" w:rsidR="00986E49" w:rsidRDefault="00986E49" w:rsidP="00986E49">
            <w:p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rPr>
                <w:bCs/>
                <w:sz w:val="20"/>
              </w:rPr>
            </w:pPr>
            <w:r>
              <w:rPr>
                <w:bCs/>
                <w:sz w:val="20"/>
              </w:rPr>
              <w:t>- Pasirengimo statybai ir statybos organizavimo dalis;</w:t>
            </w:r>
          </w:p>
          <w:p w14:paraId="04F14E30" w14:textId="5CABA3A7" w:rsidR="00986E49" w:rsidRPr="00986E49" w:rsidRDefault="00986E49" w:rsidP="00986E49">
            <w:p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rPr>
                <w:bCs/>
                <w:sz w:val="20"/>
              </w:rPr>
            </w:pPr>
            <w:r>
              <w:rPr>
                <w:bCs/>
                <w:sz w:val="20"/>
              </w:rPr>
              <w:t>- Skaičiuojamosios kainos nustatymo dalis;</w:t>
            </w:r>
          </w:p>
          <w:p w14:paraId="70263D50" w14:textId="77777777" w:rsidR="00986E49" w:rsidRPr="00986E49" w:rsidRDefault="00986E49" w:rsidP="00986E49">
            <w:pPr>
              <w:pBdr>
                <w:top w:val="none" w:sz="0" w:space="0" w:color="auto"/>
                <w:left w:val="none" w:sz="0" w:space="0" w:color="auto"/>
                <w:bottom w:val="none" w:sz="0" w:space="0" w:color="auto"/>
                <w:right w:val="none" w:sz="0" w:space="0" w:color="auto"/>
                <w:between w:val="none" w:sz="0" w:space="0" w:color="auto"/>
                <w:bar w:val="none" w:sz="0" w:color="auto"/>
              </w:pBdr>
              <w:tabs>
                <w:tab w:val="left" w:pos="631"/>
              </w:tabs>
              <w:rPr>
                <w:b/>
                <w:sz w:val="20"/>
              </w:rPr>
            </w:pPr>
          </w:p>
          <w:p w14:paraId="767E7329" w14:textId="77777777" w:rsidR="0007364A" w:rsidRDefault="0007364A" w:rsidP="00351384">
            <w:pPr>
              <w:pBdr>
                <w:top w:val="none" w:sz="0" w:space="0" w:color="auto"/>
                <w:left w:val="none" w:sz="0" w:space="0" w:color="auto"/>
                <w:bottom w:val="none" w:sz="0" w:space="0" w:color="auto"/>
                <w:right w:val="none" w:sz="0" w:space="0" w:color="auto"/>
                <w:between w:val="none" w:sz="0" w:space="0" w:color="auto"/>
                <w:bar w:val="none" w:sz="0" w:color="auto"/>
              </w:pBdr>
              <w:tabs>
                <w:tab w:val="left" w:pos="919"/>
              </w:tabs>
              <w:jc w:val="left"/>
              <w:rPr>
                <w:bCs/>
                <w:sz w:val="20"/>
              </w:rPr>
            </w:pPr>
          </w:p>
          <w:p w14:paraId="6C396CCC" w14:textId="07AEA4DA" w:rsidR="0007364A" w:rsidRDefault="0007364A" w:rsidP="00351384">
            <w:pPr>
              <w:pBdr>
                <w:top w:val="none" w:sz="0" w:space="0" w:color="auto"/>
                <w:left w:val="none" w:sz="0" w:space="0" w:color="auto"/>
                <w:bottom w:val="none" w:sz="0" w:space="0" w:color="auto"/>
                <w:right w:val="none" w:sz="0" w:space="0" w:color="auto"/>
                <w:between w:val="none" w:sz="0" w:space="0" w:color="auto"/>
                <w:bar w:val="none" w:sz="0" w:color="auto"/>
              </w:pBdr>
              <w:tabs>
                <w:tab w:val="left" w:pos="919"/>
              </w:tabs>
              <w:jc w:val="left"/>
              <w:rPr>
                <w:bCs/>
                <w:sz w:val="20"/>
              </w:rPr>
            </w:pPr>
            <w:r>
              <w:rPr>
                <w:bCs/>
                <w:sz w:val="20"/>
              </w:rPr>
              <w:t xml:space="preserve">*Lietuvos </w:t>
            </w:r>
            <w:r w:rsidR="00986E49">
              <w:rPr>
                <w:bCs/>
                <w:sz w:val="20"/>
              </w:rPr>
              <w:t>R</w:t>
            </w:r>
            <w:r>
              <w:rPr>
                <w:bCs/>
                <w:sz w:val="20"/>
              </w:rPr>
              <w:t>espublikos statybos įstatymas, pirmas skirsnis, 92. punktas.</w:t>
            </w:r>
          </w:p>
          <w:p w14:paraId="2DB2AE1C" w14:textId="77777777" w:rsidR="00986E49" w:rsidRDefault="00986E49" w:rsidP="00351384">
            <w:pPr>
              <w:pBdr>
                <w:top w:val="none" w:sz="0" w:space="0" w:color="auto"/>
                <w:left w:val="none" w:sz="0" w:space="0" w:color="auto"/>
                <w:bottom w:val="none" w:sz="0" w:space="0" w:color="auto"/>
                <w:right w:val="none" w:sz="0" w:space="0" w:color="auto"/>
                <w:between w:val="none" w:sz="0" w:space="0" w:color="auto"/>
                <w:bar w:val="none" w:sz="0" w:color="auto"/>
              </w:pBdr>
              <w:tabs>
                <w:tab w:val="left" w:pos="919"/>
              </w:tabs>
              <w:jc w:val="left"/>
              <w:rPr>
                <w:bCs/>
                <w:sz w:val="20"/>
              </w:rPr>
            </w:pPr>
          </w:p>
          <w:p w14:paraId="10DC3769" w14:textId="0D69D382" w:rsidR="00986E49" w:rsidRDefault="00986E49" w:rsidP="00351384">
            <w:pPr>
              <w:pBdr>
                <w:top w:val="none" w:sz="0" w:space="0" w:color="auto"/>
                <w:left w:val="none" w:sz="0" w:space="0" w:color="auto"/>
                <w:bottom w:val="none" w:sz="0" w:space="0" w:color="auto"/>
                <w:right w:val="none" w:sz="0" w:space="0" w:color="auto"/>
                <w:between w:val="none" w:sz="0" w:space="0" w:color="auto"/>
                <w:bar w:val="none" w:sz="0" w:color="auto"/>
              </w:pBdr>
              <w:tabs>
                <w:tab w:val="left" w:pos="919"/>
              </w:tabs>
              <w:jc w:val="left"/>
              <w:rPr>
                <w:bCs/>
                <w:sz w:val="20"/>
              </w:rPr>
            </w:pPr>
            <w:r>
              <w:rPr>
                <w:bCs/>
                <w:sz w:val="20"/>
              </w:rPr>
              <w:t>Lietuvos Respublikos statybos įstatymas, 16 str., 2.</w:t>
            </w:r>
          </w:p>
          <w:p w14:paraId="7ADFC886" w14:textId="77777777" w:rsidR="0007364A" w:rsidRPr="00176AF3" w:rsidRDefault="0007364A" w:rsidP="00351384">
            <w:pPr>
              <w:pBdr>
                <w:top w:val="none" w:sz="0" w:space="0" w:color="auto"/>
                <w:left w:val="none" w:sz="0" w:space="0" w:color="auto"/>
                <w:bottom w:val="none" w:sz="0" w:space="0" w:color="auto"/>
                <w:right w:val="none" w:sz="0" w:space="0" w:color="auto"/>
                <w:between w:val="none" w:sz="0" w:space="0" w:color="auto"/>
                <w:bar w:val="none" w:sz="0" w:color="auto"/>
              </w:pBdr>
              <w:tabs>
                <w:tab w:val="left" w:pos="919"/>
              </w:tabs>
              <w:jc w:val="left"/>
              <w:rPr>
                <w:bCs/>
                <w:sz w:val="20"/>
              </w:rPr>
            </w:pPr>
          </w:p>
          <w:p w14:paraId="54D491AE" w14:textId="77777777" w:rsidR="0007364A" w:rsidRDefault="0007364A" w:rsidP="00351384">
            <w:pPr>
              <w:rPr>
                <w:i/>
                <w:iCs/>
                <w:sz w:val="20"/>
                <w:szCs w:val="20"/>
              </w:rPr>
            </w:pPr>
            <w:r w:rsidRPr="00F15BBA">
              <w:rPr>
                <w:i/>
                <w:iCs/>
                <w:sz w:val="20"/>
                <w:szCs w:val="20"/>
              </w:rPr>
              <w:t xml:space="preserve">Jeigu tiekėjo kvalifikacija dėl teisės verstis atitinkama veikla nebuvo tikrinama arba tikrinama ne visa apimtimi, tiekėjas </w:t>
            </w:r>
            <w:r w:rsidRPr="00F15BBA">
              <w:rPr>
                <w:i/>
                <w:iCs/>
                <w:sz w:val="20"/>
                <w:szCs w:val="20"/>
              </w:rPr>
              <w:lastRenderedPageBreak/>
              <w:t>perkančiajai organizacijai įsipareigoja, kad pirkimo sutartį vykdys tik tokią teisę turintys asmenys. Įgaliotajai organizacijai ir (ar) perkančiajai organizacijai pareikalavus, tiekėjas turės pateikti dokumentus, įrodančius, kad pirkimo sutartį vykdo ar vykdys tik tokią teisę turintys asmenys.</w:t>
            </w:r>
          </w:p>
          <w:p w14:paraId="78C0F17A" w14:textId="77777777" w:rsidR="00986E49" w:rsidRDefault="00986E49" w:rsidP="00351384">
            <w:pPr>
              <w:rPr>
                <w:i/>
                <w:iCs/>
                <w:sz w:val="20"/>
                <w:szCs w:val="20"/>
              </w:rPr>
            </w:pPr>
          </w:p>
          <w:p w14:paraId="68E16640" w14:textId="77777777" w:rsidR="00986E49" w:rsidRPr="00986E49" w:rsidRDefault="00986E49" w:rsidP="00986E49">
            <w:pPr>
              <w:rPr>
                <w:sz w:val="20"/>
                <w:szCs w:val="20"/>
              </w:rPr>
            </w:pPr>
            <w:r w:rsidRPr="00986E49">
              <w:rPr>
                <w:sz w:val="20"/>
                <w:szCs w:val="20"/>
              </w:rPr>
              <w:t xml:space="preserve">Pastaba: </w:t>
            </w:r>
          </w:p>
          <w:p w14:paraId="6865BD75" w14:textId="2A1C9EB6" w:rsidR="00986E49" w:rsidRPr="00986E49" w:rsidRDefault="00986E49" w:rsidP="00986E49">
            <w:pPr>
              <w:rPr>
                <w:sz w:val="20"/>
                <w:szCs w:val="20"/>
              </w:rPr>
            </w:pPr>
            <w:r w:rsidRPr="00986E49">
              <w:rPr>
                <w:sz w:val="20"/>
                <w:szCs w:val="20"/>
              </w:rPr>
              <w:t>Tas pats specialistas gali eiti kelių specialistų pareigas, jei jo kvalifikacija atitinka nustatytus reikalavimus.</w:t>
            </w:r>
          </w:p>
        </w:tc>
        <w:tc>
          <w:tcPr>
            <w:tcW w:w="5811" w:type="dxa"/>
          </w:tcPr>
          <w:p w14:paraId="697FB376" w14:textId="77777777" w:rsidR="0007364A" w:rsidRDefault="0007364A" w:rsidP="00351384">
            <w:pPr>
              <w:rPr>
                <w:b/>
                <w:i/>
                <w:sz w:val="20"/>
                <w:szCs w:val="16"/>
              </w:rPr>
            </w:pPr>
            <w:r w:rsidRPr="00EC5ACB">
              <w:rPr>
                <w:b/>
                <w:i/>
                <w:sz w:val="20"/>
                <w:szCs w:val="16"/>
              </w:rPr>
              <w:lastRenderedPageBreak/>
              <w:t>Dokumentai, kuriuos turės pateikti galimas laimėtojas:</w:t>
            </w:r>
          </w:p>
          <w:p w14:paraId="420DB469" w14:textId="77777777" w:rsidR="005E041E" w:rsidRDefault="005E041E" w:rsidP="00351384">
            <w:pPr>
              <w:rPr>
                <w:b/>
                <w:i/>
                <w:sz w:val="20"/>
                <w:szCs w:val="16"/>
              </w:rPr>
            </w:pPr>
          </w:p>
          <w:p w14:paraId="318D51C9" w14:textId="43DCE960" w:rsidR="005E041E" w:rsidRPr="005E041E" w:rsidRDefault="005E041E" w:rsidP="00351384">
            <w:pPr>
              <w:rPr>
                <w:color w:val="00B050"/>
                <w:sz w:val="20"/>
                <w:szCs w:val="20"/>
              </w:rPr>
            </w:pPr>
            <w:r>
              <w:rPr>
                <w:color w:val="00B050"/>
                <w:sz w:val="20"/>
                <w:szCs w:val="20"/>
                <w:vertAlign w:val="superscript"/>
              </w:rPr>
              <w:t>1</w:t>
            </w:r>
            <w:r w:rsidRPr="00A55E09">
              <w:rPr>
                <w:color w:val="00B050"/>
                <w:sz w:val="20"/>
                <w:szCs w:val="20"/>
              </w:rPr>
              <w:t xml:space="preserve">Lietuvos Respublikos statybos įstatymo, 2 straipsnio, 65 punktas. </w:t>
            </w:r>
            <w:r>
              <w:rPr>
                <w:color w:val="00B050"/>
                <w:sz w:val="20"/>
                <w:szCs w:val="20"/>
              </w:rPr>
              <w:t>Tiekėjas privalės pateikti architekto arba statybos inžinieriaus kvalifikaciją įrodančių dokumentų kopijas, kaip tai numato Lietus Respublikos statybos įstatymo 2 straipsnio, 48 ar 92 punktai.</w:t>
            </w:r>
          </w:p>
          <w:p w14:paraId="63149912" w14:textId="77777777" w:rsidR="0007364A" w:rsidRPr="00EC5ACB" w:rsidRDefault="0007364A" w:rsidP="00351384">
            <w:pPr>
              <w:ind w:firstLine="28"/>
              <w:rPr>
                <w:i/>
                <w:color w:val="FF0000"/>
                <w:sz w:val="20"/>
              </w:rPr>
            </w:pPr>
            <w:r w:rsidRPr="00EC5ACB">
              <w:rPr>
                <w:sz w:val="20"/>
              </w:rPr>
              <w:t>1) Siūlomų specialistų sąrašas, kuriame nurodoma: specialisto vardas, pavardė, funkcijos vykdant pirkimo sutartį, kvalifikaciją pagrindžiantys dokumentai arba nuorodos</w:t>
            </w:r>
            <w:r w:rsidRPr="00EC5ACB">
              <w:rPr>
                <w:i/>
                <w:color w:val="000000"/>
                <w:sz w:val="20"/>
              </w:rPr>
              <w:t xml:space="preserve"> </w:t>
            </w:r>
            <w:r w:rsidRPr="00EC5ACB">
              <w:rPr>
                <w:color w:val="000000"/>
                <w:sz w:val="20"/>
              </w:rPr>
              <w:t>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w:t>
            </w:r>
            <w:r w:rsidRPr="00EC5ACB">
              <w:rPr>
                <w:b/>
                <w:i/>
                <w:color w:val="FF0000"/>
                <w:sz w:val="20"/>
              </w:rPr>
              <w:t xml:space="preserve"> </w:t>
            </w:r>
          </w:p>
          <w:p w14:paraId="28413443" w14:textId="77777777" w:rsidR="0007364A" w:rsidRPr="00E45E09" w:rsidRDefault="0007364A" w:rsidP="00351384">
            <w:pPr>
              <w:ind w:firstLine="28"/>
              <w:rPr>
                <w:sz w:val="20"/>
              </w:rPr>
            </w:pPr>
            <w:r w:rsidRPr="00EC5ACB">
              <w:rPr>
                <w:sz w:val="20"/>
              </w:rPr>
              <w:t xml:space="preserve">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87EB751" w14:textId="76259D0D" w:rsidR="0007364A" w:rsidRDefault="0007364A" w:rsidP="00351384">
            <w:pPr>
              <w:ind w:firstLine="28"/>
              <w:rPr>
                <w:sz w:val="20"/>
              </w:rPr>
            </w:pPr>
            <w:r w:rsidRPr="00EC5ACB">
              <w:rPr>
                <w:sz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w:t>
            </w:r>
            <w:r>
              <w:rPr>
                <w:sz w:val="20"/>
              </w:rPr>
              <w:t>techninės priežiūros vadovo</w:t>
            </w:r>
            <w:r w:rsidRPr="00EC5ACB">
              <w:rPr>
                <w:sz w:val="20"/>
              </w:rPr>
              <w:t xml:space="preserve"> pareigas, pripažinus jų kilmės valstybėje turimą teisę eiti analogiškų statinių statybos vadovo pareigas. </w:t>
            </w:r>
          </w:p>
          <w:p w14:paraId="604B9B7B" w14:textId="77777777" w:rsidR="0007364A" w:rsidRDefault="0007364A" w:rsidP="00351384">
            <w:pPr>
              <w:ind w:firstLine="28"/>
              <w:rPr>
                <w:sz w:val="20"/>
              </w:rPr>
            </w:pPr>
            <w:r w:rsidRPr="00EC5ACB">
              <w:rPr>
                <w:sz w:val="20"/>
              </w:rPr>
              <w:t xml:space="preserve">Užsienio šalies specialisto* turimos kvalifikacijos patvirtinimo dokumentai Lietuvoje gali būti išduoti ir po pasiūlymų pateikimo </w:t>
            </w:r>
            <w:r w:rsidRPr="00EC5ACB">
              <w:rPr>
                <w:sz w:val="20"/>
              </w:rPr>
              <w:lastRenderedPageBreak/>
              <w:t xml:space="preserve">datos, tačiau pačią teisę specialistas kilmės šalyje turi būti įgijęs iki pasiūlymų pateikimo termino pabaigos. </w:t>
            </w:r>
          </w:p>
          <w:p w14:paraId="4F989D97" w14:textId="77777777" w:rsidR="0007364A" w:rsidRDefault="0007364A" w:rsidP="00351384">
            <w:pPr>
              <w:ind w:firstLine="28"/>
              <w:rPr>
                <w:sz w:val="20"/>
              </w:rPr>
            </w:pPr>
            <w:r w:rsidRPr="00EC5ACB">
              <w:rPr>
                <w:sz w:val="20"/>
              </w:rPr>
              <w:t xml:space="preserve">Pirkimo vykdytojas informaciją apie Lietuvoje išduotus kvalifikacijos dokumentus pasitikrina SSVA registruose </w:t>
            </w:r>
            <w:hyperlink r:id="rId7">
              <w:r w:rsidRPr="00EC5ACB">
                <w:rPr>
                  <w:color w:val="0563C1"/>
                  <w:sz w:val="20"/>
                  <w:u w:val="single"/>
                </w:rPr>
                <w:t>https://www.ssva.lt/cms/registrai</w:t>
              </w:r>
            </w:hyperlink>
            <w:r w:rsidRPr="00EC5ACB">
              <w:rPr>
                <w:sz w:val="20"/>
              </w:rPr>
              <w:t xml:space="preserve">. </w:t>
            </w:r>
          </w:p>
          <w:p w14:paraId="686AB5D4" w14:textId="5B7AADC9" w:rsidR="0007364A" w:rsidRDefault="0007364A" w:rsidP="00351384">
            <w:pPr>
              <w:pBdr>
                <w:top w:val="none" w:sz="0" w:space="0" w:color="auto"/>
                <w:left w:val="none" w:sz="0" w:space="0" w:color="auto"/>
                <w:bottom w:val="none" w:sz="0" w:space="0" w:color="auto"/>
                <w:right w:val="none" w:sz="0" w:space="0" w:color="auto"/>
                <w:between w:val="none" w:sz="0" w:space="0" w:color="auto"/>
                <w:bar w:val="none" w:sz="0" w:color="auto"/>
              </w:pBdr>
              <w:tabs>
                <w:tab w:val="left" w:pos="919"/>
              </w:tabs>
              <w:jc w:val="left"/>
              <w:rPr>
                <w:bCs/>
                <w:sz w:val="20"/>
              </w:rPr>
            </w:pPr>
            <w:r>
              <w:rPr>
                <w:sz w:val="20"/>
              </w:rPr>
              <w:t>Arba pateikiamos mokslinio laipsnio diplomo kopijos įrodančios Tiekėjo išsilavinimą nurodytą</w:t>
            </w:r>
            <w:r>
              <w:rPr>
                <w:bCs/>
                <w:sz w:val="20"/>
              </w:rPr>
              <w:t xml:space="preserve"> Lietuvos respublikos statybos įstatymo, pirmas skirsnio, 92. punkte.</w:t>
            </w:r>
          </w:p>
          <w:p w14:paraId="5476F3C6" w14:textId="60CE864B" w:rsidR="0007364A" w:rsidRDefault="0007364A" w:rsidP="00351384">
            <w:pPr>
              <w:ind w:firstLine="28"/>
              <w:rPr>
                <w:sz w:val="20"/>
              </w:rPr>
            </w:pPr>
          </w:p>
          <w:p w14:paraId="2CE296E1" w14:textId="77777777" w:rsidR="0007364A" w:rsidRPr="00EC5ACB" w:rsidRDefault="0007364A" w:rsidP="00351384">
            <w:pPr>
              <w:ind w:firstLine="28"/>
              <w:rPr>
                <w:sz w:val="20"/>
              </w:rPr>
            </w:pPr>
            <w:r w:rsidRPr="00EC5ACB">
              <w:rPr>
                <w:sz w:val="20"/>
              </w:rPr>
              <w:t>**Vietoje teisės pripažinimo pažymos užsienio šalies tiekėjo siūlomas specialistas gali pateikti SSVA</w:t>
            </w:r>
            <w:r w:rsidRPr="00EC5ACB">
              <w:rPr>
                <w:i/>
                <w:sz w:val="20"/>
              </w:rPr>
              <w:t xml:space="preserve"> </w:t>
            </w:r>
            <w:r w:rsidRPr="00EC5ACB">
              <w:rPr>
                <w:sz w:val="20"/>
              </w:rPr>
              <w:t>pateikto prašymo (su gavimo žyma) išduoti teisės pripažinimo pažymą, patvirtintą kopiją. Teisės pripažinimo pažymą, užsienio tiekėjo specialistas privalės pateikti iki pirkimo sutarties pasirašymo.</w:t>
            </w:r>
          </w:p>
          <w:p w14:paraId="222210F7" w14:textId="0BC2F43B" w:rsidR="0007364A" w:rsidRPr="000B324F" w:rsidRDefault="0007364A" w:rsidP="00351384">
            <w:pPr>
              <w:rPr>
                <w:b/>
                <w:bCs/>
                <w:i/>
                <w:iCs/>
                <w:sz w:val="20"/>
                <w:szCs w:val="20"/>
              </w:rPr>
            </w:pPr>
            <w:r w:rsidRPr="00EC5ACB">
              <w:rPr>
                <w:i/>
                <w:color w:val="000000"/>
                <w:sz w:val="20"/>
              </w:rPr>
              <w:t>Jei specialistas nėra tiekėjo darbuotojas ir nebus įdarbintas, jis turi būti nurodytas pasiūlymo formoje kaip subtiekėjas.</w:t>
            </w:r>
          </w:p>
        </w:tc>
      </w:tr>
    </w:tbl>
    <w:p w14:paraId="0C300DFC" w14:textId="77777777" w:rsidR="00EC1AE6" w:rsidRPr="005B3262" w:rsidRDefault="00EC1AE6" w:rsidP="001428B7">
      <w:pPr>
        <w:pStyle w:val="BodyA"/>
        <w:jc w:val="right"/>
        <w:rPr>
          <w:rFonts w:ascii="Times New Roman" w:eastAsia="Times New Roman" w:hAnsi="Times New Roman" w:cs="Times New Roman"/>
          <w:color w:val="auto"/>
          <w:sz w:val="24"/>
          <w:szCs w:val="24"/>
          <w:lang w:val="lt-LT"/>
        </w:rPr>
      </w:pPr>
    </w:p>
    <w:sectPr w:rsidR="00EC1AE6" w:rsidRPr="005B3262" w:rsidSect="005E7D0E">
      <w:headerReference w:type="default" r:id="rId8"/>
      <w:footerReference w:type="default" r:id="rId9"/>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9D02" w14:textId="77777777" w:rsidR="008C29B4" w:rsidRDefault="008C29B4" w:rsidP="00992543">
      <w:r>
        <w:separator/>
      </w:r>
    </w:p>
  </w:endnote>
  <w:endnote w:type="continuationSeparator" w:id="0">
    <w:p w14:paraId="5AF5DC80" w14:textId="77777777" w:rsidR="008C29B4" w:rsidRDefault="008C29B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B06" w14:textId="304DE206"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D373" w14:textId="77777777" w:rsidR="008C29B4" w:rsidRDefault="008C29B4" w:rsidP="00992543">
      <w:r>
        <w:separator/>
      </w:r>
    </w:p>
  </w:footnote>
  <w:footnote w:type="continuationSeparator" w:id="0">
    <w:p w14:paraId="56B0C6D1" w14:textId="77777777" w:rsidR="008C29B4" w:rsidRDefault="008C29B4"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73EA" w14:textId="77777777" w:rsidR="00092C15" w:rsidRDefault="00092C15">
    <w:pPr>
      <w:pStyle w:val="Body"/>
    </w:pPr>
  </w:p>
  <w:p w14:paraId="2C2DBFB6" w14:textId="7961E1FC"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3F"/>
    <w:multiLevelType w:val="hybridMultilevel"/>
    <w:tmpl w:val="DC0C6CAE"/>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BF63C3"/>
    <w:multiLevelType w:val="hybridMultilevel"/>
    <w:tmpl w:val="1B70E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86265F"/>
    <w:multiLevelType w:val="hybridMultilevel"/>
    <w:tmpl w:val="A3268F5A"/>
    <w:lvl w:ilvl="0" w:tplc="4B3E1F30">
      <w:start w:val="1"/>
      <w:numFmt w:val="bullet"/>
      <w:lvlText w:val=""/>
      <w:lvlJc w:val="left"/>
      <w:pPr>
        <w:ind w:left="712" w:hanging="36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5" w15:restartNumberingAfterBreak="0">
    <w:nsid w:val="69A64333"/>
    <w:multiLevelType w:val="hybridMultilevel"/>
    <w:tmpl w:val="70562D6C"/>
    <w:lvl w:ilvl="0" w:tplc="4B3E1F30">
      <w:start w:val="1"/>
      <w:numFmt w:val="bullet"/>
      <w:lvlText w:val=""/>
      <w:lvlJc w:val="left"/>
      <w:pPr>
        <w:ind w:left="918" w:hanging="360"/>
      </w:pPr>
      <w:rPr>
        <w:rFonts w:ascii="Symbol" w:hAnsi="Symbol" w:hint="default"/>
      </w:rPr>
    </w:lvl>
    <w:lvl w:ilvl="1" w:tplc="04270003" w:tentative="1">
      <w:start w:val="1"/>
      <w:numFmt w:val="bullet"/>
      <w:lvlText w:val="o"/>
      <w:lvlJc w:val="left"/>
      <w:pPr>
        <w:ind w:left="1638" w:hanging="360"/>
      </w:pPr>
      <w:rPr>
        <w:rFonts w:ascii="Courier New" w:hAnsi="Courier New" w:cs="Courier New" w:hint="default"/>
      </w:rPr>
    </w:lvl>
    <w:lvl w:ilvl="2" w:tplc="04270005" w:tentative="1">
      <w:start w:val="1"/>
      <w:numFmt w:val="bullet"/>
      <w:lvlText w:val=""/>
      <w:lvlJc w:val="left"/>
      <w:pPr>
        <w:ind w:left="2358" w:hanging="360"/>
      </w:pPr>
      <w:rPr>
        <w:rFonts w:ascii="Wingdings" w:hAnsi="Wingdings" w:hint="default"/>
      </w:rPr>
    </w:lvl>
    <w:lvl w:ilvl="3" w:tplc="04270001" w:tentative="1">
      <w:start w:val="1"/>
      <w:numFmt w:val="bullet"/>
      <w:lvlText w:val=""/>
      <w:lvlJc w:val="left"/>
      <w:pPr>
        <w:ind w:left="3078" w:hanging="360"/>
      </w:pPr>
      <w:rPr>
        <w:rFonts w:ascii="Symbol" w:hAnsi="Symbol" w:hint="default"/>
      </w:rPr>
    </w:lvl>
    <w:lvl w:ilvl="4" w:tplc="04270003" w:tentative="1">
      <w:start w:val="1"/>
      <w:numFmt w:val="bullet"/>
      <w:lvlText w:val="o"/>
      <w:lvlJc w:val="left"/>
      <w:pPr>
        <w:ind w:left="3798" w:hanging="360"/>
      </w:pPr>
      <w:rPr>
        <w:rFonts w:ascii="Courier New" w:hAnsi="Courier New" w:cs="Courier New" w:hint="default"/>
      </w:rPr>
    </w:lvl>
    <w:lvl w:ilvl="5" w:tplc="04270005" w:tentative="1">
      <w:start w:val="1"/>
      <w:numFmt w:val="bullet"/>
      <w:lvlText w:val=""/>
      <w:lvlJc w:val="left"/>
      <w:pPr>
        <w:ind w:left="4518" w:hanging="360"/>
      </w:pPr>
      <w:rPr>
        <w:rFonts w:ascii="Wingdings" w:hAnsi="Wingdings" w:hint="default"/>
      </w:rPr>
    </w:lvl>
    <w:lvl w:ilvl="6" w:tplc="04270001" w:tentative="1">
      <w:start w:val="1"/>
      <w:numFmt w:val="bullet"/>
      <w:lvlText w:val=""/>
      <w:lvlJc w:val="left"/>
      <w:pPr>
        <w:ind w:left="5238" w:hanging="360"/>
      </w:pPr>
      <w:rPr>
        <w:rFonts w:ascii="Symbol" w:hAnsi="Symbol" w:hint="default"/>
      </w:rPr>
    </w:lvl>
    <w:lvl w:ilvl="7" w:tplc="04270003" w:tentative="1">
      <w:start w:val="1"/>
      <w:numFmt w:val="bullet"/>
      <w:lvlText w:val="o"/>
      <w:lvlJc w:val="left"/>
      <w:pPr>
        <w:ind w:left="5958" w:hanging="360"/>
      </w:pPr>
      <w:rPr>
        <w:rFonts w:ascii="Courier New" w:hAnsi="Courier New" w:cs="Courier New" w:hint="default"/>
      </w:rPr>
    </w:lvl>
    <w:lvl w:ilvl="8" w:tplc="04270005" w:tentative="1">
      <w:start w:val="1"/>
      <w:numFmt w:val="bullet"/>
      <w:lvlText w:val=""/>
      <w:lvlJc w:val="left"/>
      <w:pPr>
        <w:ind w:left="6678" w:hanging="360"/>
      </w:pPr>
      <w:rPr>
        <w:rFonts w:ascii="Wingdings" w:hAnsi="Wingdings" w:hint="default"/>
      </w:r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6"/>
  </w:num>
  <w:num w:numId="2" w16cid:durableId="536771173">
    <w:abstractNumId w:val="3"/>
  </w:num>
  <w:num w:numId="3" w16cid:durableId="2027049455">
    <w:abstractNumId w:val="1"/>
  </w:num>
  <w:num w:numId="4" w16cid:durableId="495993862">
    <w:abstractNumId w:val="5"/>
  </w:num>
  <w:num w:numId="5" w16cid:durableId="828328544">
    <w:abstractNumId w:val="2"/>
  </w:num>
  <w:num w:numId="6" w16cid:durableId="1467427303">
    <w:abstractNumId w:val="4"/>
  </w:num>
  <w:num w:numId="7" w16cid:durableId="96157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22E7C"/>
    <w:rsid w:val="00051663"/>
    <w:rsid w:val="0006194A"/>
    <w:rsid w:val="0007364A"/>
    <w:rsid w:val="00073BF2"/>
    <w:rsid w:val="00073DDD"/>
    <w:rsid w:val="00074879"/>
    <w:rsid w:val="0008474E"/>
    <w:rsid w:val="00084934"/>
    <w:rsid w:val="00087142"/>
    <w:rsid w:val="00092C15"/>
    <w:rsid w:val="0009563B"/>
    <w:rsid w:val="00096318"/>
    <w:rsid w:val="000B324F"/>
    <w:rsid w:val="000B46B5"/>
    <w:rsid w:val="000B7F26"/>
    <w:rsid w:val="000C2B4D"/>
    <w:rsid w:val="000D2AC3"/>
    <w:rsid w:val="000D37F3"/>
    <w:rsid w:val="000F634B"/>
    <w:rsid w:val="0010193F"/>
    <w:rsid w:val="00125AB0"/>
    <w:rsid w:val="001310D3"/>
    <w:rsid w:val="001337C6"/>
    <w:rsid w:val="001428B7"/>
    <w:rsid w:val="00143C06"/>
    <w:rsid w:val="001443A3"/>
    <w:rsid w:val="00145C0A"/>
    <w:rsid w:val="00151570"/>
    <w:rsid w:val="001701C1"/>
    <w:rsid w:val="00176AF3"/>
    <w:rsid w:val="00193440"/>
    <w:rsid w:val="001A071A"/>
    <w:rsid w:val="001B614D"/>
    <w:rsid w:val="001B78A0"/>
    <w:rsid w:val="001D0379"/>
    <w:rsid w:val="001D29A6"/>
    <w:rsid w:val="001E7EA9"/>
    <w:rsid w:val="00207E8C"/>
    <w:rsid w:val="002174E0"/>
    <w:rsid w:val="00232799"/>
    <w:rsid w:val="00236BFC"/>
    <w:rsid w:val="00242345"/>
    <w:rsid w:val="00243222"/>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1384"/>
    <w:rsid w:val="003563AD"/>
    <w:rsid w:val="003813FD"/>
    <w:rsid w:val="00381F67"/>
    <w:rsid w:val="003848AE"/>
    <w:rsid w:val="00390E93"/>
    <w:rsid w:val="003936CA"/>
    <w:rsid w:val="003B3917"/>
    <w:rsid w:val="003D0BFF"/>
    <w:rsid w:val="003D2219"/>
    <w:rsid w:val="003E45ED"/>
    <w:rsid w:val="003F77EB"/>
    <w:rsid w:val="00407BD5"/>
    <w:rsid w:val="00422F5A"/>
    <w:rsid w:val="00426865"/>
    <w:rsid w:val="00435CFB"/>
    <w:rsid w:val="00436708"/>
    <w:rsid w:val="00443603"/>
    <w:rsid w:val="00447B75"/>
    <w:rsid w:val="00464F52"/>
    <w:rsid w:val="00471163"/>
    <w:rsid w:val="004757D6"/>
    <w:rsid w:val="0048021C"/>
    <w:rsid w:val="00484614"/>
    <w:rsid w:val="0048718B"/>
    <w:rsid w:val="00493BD3"/>
    <w:rsid w:val="00494714"/>
    <w:rsid w:val="00497035"/>
    <w:rsid w:val="004A69BE"/>
    <w:rsid w:val="004B4664"/>
    <w:rsid w:val="004C3784"/>
    <w:rsid w:val="004C668F"/>
    <w:rsid w:val="004E7084"/>
    <w:rsid w:val="004F0975"/>
    <w:rsid w:val="004F1065"/>
    <w:rsid w:val="005022BD"/>
    <w:rsid w:val="00502793"/>
    <w:rsid w:val="00503D75"/>
    <w:rsid w:val="00504DC3"/>
    <w:rsid w:val="005063CB"/>
    <w:rsid w:val="00507E28"/>
    <w:rsid w:val="00513170"/>
    <w:rsid w:val="005361DA"/>
    <w:rsid w:val="00567307"/>
    <w:rsid w:val="0057083E"/>
    <w:rsid w:val="005749FE"/>
    <w:rsid w:val="00582D47"/>
    <w:rsid w:val="0058424F"/>
    <w:rsid w:val="00586272"/>
    <w:rsid w:val="005874D2"/>
    <w:rsid w:val="005919DE"/>
    <w:rsid w:val="005B2995"/>
    <w:rsid w:val="005B3262"/>
    <w:rsid w:val="005C4C18"/>
    <w:rsid w:val="005C6BB5"/>
    <w:rsid w:val="005D2C1D"/>
    <w:rsid w:val="005D725F"/>
    <w:rsid w:val="005E041E"/>
    <w:rsid w:val="005E2575"/>
    <w:rsid w:val="005E28A6"/>
    <w:rsid w:val="005E4C58"/>
    <w:rsid w:val="005E7D0E"/>
    <w:rsid w:val="005F4213"/>
    <w:rsid w:val="005F75BD"/>
    <w:rsid w:val="00600427"/>
    <w:rsid w:val="00602D74"/>
    <w:rsid w:val="0062016C"/>
    <w:rsid w:val="0062765C"/>
    <w:rsid w:val="00636268"/>
    <w:rsid w:val="006519D0"/>
    <w:rsid w:val="00670C15"/>
    <w:rsid w:val="00682AF4"/>
    <w:rsid w:val="00684216"/>
    <w:rsid w:val="006965DB"/>
    <w:rsid w:val="006A5295"/>
    <w:rsid w:val="006B621E"/>
    <w:rsid w:val="006C1BF4"/>
    <w:rsid w:val="006C77CA"/>
    <w:rsid w:val="006D5354"/>
    <w:rsid w:val="006E0399"/>
    <w:rsid w:val="00700B8D"/>
    <w:rsid w:val="00710BB0"/>
    <w:rsid w:val="00723C32"/>
    <w:rsid w:val="0072611D"/>
    <w:rsid w:val="00726270"/>
    <w:rsid w:val="00731F1F"/>
    <w:rsid w:val="00743612"/>
    <w:rsid w:val="00774E03"/>
    <w:rsid w:val="00776EF1"/>
    <w:rsid w:val="0078302C"/>
    <w:rsid w:val="0079199D"/>
    <w:rsid w:val="007944A6"/>
    <w:rsid w:val="00796FC0"/>
    <w:rsid w:val="00797CB9"/>
    <w:rsid w:val="007B4C14"/>
    <w:rsid w:val="007B7480"/>
    <w:rsid w:val="007C4B4B"/>
    <w:rsid w:val="007C76BD"/>
    <w:rsid w:val="007D47DB"/>
    <w:rsid w:val="007D7756"/>
    <w:rsid w:val="007E3084"/>
    <w:rsid w:val="007E7679"/>
    <w:rsid w:val="007F4EB3"/>
    <w:rsid w:val="007F536A"/>
    <w:rsid w:val="007F5ACB"/>
    <w:rsid w:val="00805393"/>
    <w:rsid w:val="00811D4C"/>
    <w:rsid w:val="00814FFD"/>
    <w:rsid w:val="0082112A"/>
    <w:rsid w:val="00821B63"/>
    <w:rsid w:val="0083707B"/>
    <w:rsid w:val="008457F2"/>
    <w:rsid w:val="00857222"/>
    <w:rsid w:val="00860DD0"/>
    <w:rsid w:val="00870ADD"/>
    <w:rsid w:val="00885BFE"/>
    <w:rsid w:val="00885C54"/>
    <w:rsid w:val="008964BC"/>
    <w:rsid w:val="008B2FB1"/>
    <w:rsid w:val="008C0AA1"/>
    <w:rsid w:val="008C29B4"/>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86E49"/>
    <w:rsid w:val="0099191E"/>
    <w:rsid w:val="00992543"/>
    <w:rsid w:val="009A2F9A"/>
    <w:rsid w:val="009B5142"/>
    <w:rsid w:val="009B5A18"/>
    <w:rsid w:val="009C08A6"/>
    <w:rsid w:val="009C22C2"/>
    <w:rsid w:val="009C344C"/>
    <w:rsid w:val="009C4088"/>
    <w:rsid w:val="009D3D0C"/>
    <w:rsid w:val="009E1237"/>
    <w:rsid w:val="009E1C94"/>
    <w:rsid w:val="009E2B98"/>
    <w:rsid w:val="009F1325"/>
    <w:rsid w:val="009F4E9E"/>
    <w:rsid w:val="00A0322D"/>
    <w:rsid w:val="00A24D9F"/>
    <w:rsid w:val="00A31A93"/>
    <w:rsid w:val="00A324BA"/>
    <w:rsid w:val="00A3798A"/>
    <w:rsid w:val="00A424D9"/>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B4C5C"/>
    <w:rsid w:val="00AB5871"/>
    <w:rsid w:val="00AC2862"/>
    <w:rsid w:val="00AC5DDC"/>
    <w:rsid w:val="00AD683C"/>
    <w:rsid w:val="00AF06E6"/>
    <w:rsid w:val="00AF54CB"/>
    <w:rsid w:val="00B061BD"/>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4543D"/>
    <w:rsid w:val="00C51BF6"/>
    <w:rsid w:val="00C53DC3"/>
    <w:rsid w:val="00C6587B"/>
    <w:rsid w:val="00C76473"/>
    <w:rsid w:val="00C944D2"/>
    <w:rsid w:val="00C979E3"/>
    <w:rsid w:val="00CA0B53"/>
    <w:rsid w:val="00CA641E"/>
    <w:rsid w:val="00CB283D"/>
    <w:rsid w:val="00CD1ACE"/>
    <w:rsid w:val="00CD2DB1"/>
    <w:rsid w:val="00CE0510"/>
    <w:rsid w:val="00D026F1"/>
    <w:rsid w:val="00D03A4D"/>
    <w:rsid w:val="00D1550E"/>
    <w:rsid w:val="00D27949"/>
    <w:rsid w:val="00D37A9B"/>
    <w:rsid w:val="00D532B1"/>
    <w:rsid w:val="00D75DAD"/>
    <w:rsid w:val="00D9086E"/>
    <w:rsid w:val="00DA50CB"/>
    <w:rsid w:val="00DA61C2"/>
    <w:rsid w:val="00DC01CD"/>
    <w:rsid w:val="00DD3774"/>
    <w:rsid w:val="00DD5562"/>
    <w:rsid w:val="00DD7022"/>
    <w:rsid w:val="00DE2461"/>
    <w:rsid w:val="00DE68AD"/>
    <w:rsid w:val="00DF04E0"/>
    <w:rsid w:val="00DF0E54"/>
    <w:rsid w:val="00DF7177"/>
    <w:rsid w:val="00E00372"/>
    <w:rsid w:val="00E17847"/>
    <w:rsid w:val="00E2701C"/>
    <w:rsid w:val="00E37C9C"/>
    <w:rsid w:val="00E46767"/>
    <w:rsid w:val="00E5319D"/>
    <w:rsid w:val="00E554E2"/>
    <w:rsid w:val="00E61EAF"/>
    <w:rsid w:val="00E6250F"/>
    <w:rsid w:val="00E641E8"/>
    <w:rsid w:val="00E93E65"/>
    <w:rsid w:val="00E96845"/>
    <w:rsid w:val="00EA7115"/>
    <w:rsid w:val="00EC1AE6"/>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 w:val="00FF6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4C5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1AE6"/>
    <w:rPr>
      <w:color w:val="605E5C"/>
      <w:shd w:val="clear" w:color="auto" w:fill="E1DFDD"/>
    </w:rPr>
  </w:style>
  <w:style w:type="paragraph" w:styleId="Sraopastraipa">
    <w:name w:val="List Paragraph"/>
    <w:basedOn w:val="prastasis"/>
    <w:link w:val="SraopastraipaDiagrama"/>
    <w:uiPriority w:val="34"/>
    <w:qFormat/>
    <w:rsid w:val="000B324F"/>
    <w:pPr>
      <w:ind w:left="720"/>
      <w:contextualSpacing/>
    </w:pPr>
  </w:style>
  <w:style w:type="character" w:customStyle="1" w:styleId="SraopastraipaDiagrama">
    <w:name w:val="Sąrašo pastraipa Diagrama"/>
    <w:link w:val="Sraopastraipa"/>
    <w:uiPriority w:val="34"/>
    <w:qFormat/>
    <w:rsid w:val="00870A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4243</Words>
  <Characters>2420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Lukas Bajalis</cp:lastModifiedBy>
  <cp:revision>3</cp:revision>
  <cp:lastPrinted>2021-03-17T12:52:00Z</cp:lastPrinted>
  <dcterms:created xsi:type="dcterms:W3CDTF">2025-05-13T08:32:00Z</dcterms:created>
  <dcterms:modified xsi:type="dcterms:W3CDTF">2025-05-13T08:34:00Z</dcterms:modified>
</cp:coreProperties>
</file>