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3D35D" w14:textId="77777777" w:rsidR="00B90DEB" w:rsidRDefault="00B90DEB" w:rsidP="00B90DEB">
      <w:pPr>
        <w:jc w:val="right"/>
        <w:rPr>
          <w:rFonts w:eastAsia="Calibri"/>
          <w:color w:val="000000" w:themeColor="text1"/>
        </w:rPr>
      </w:pPr>
      <w:bookmarkStart w:id="0" w:name="_Hlk61247335"/>
      <w:bookmarkStart w:id="1" w:name="_Hlk160104875"/>
      <w:r>
        <w:rPr>
          <w:rFonts w:eastAsia="Calibri"/>
          <w:color w:val="000000" w:themeColor="text1"/>
        </w:rPr>
        <w:t>Pirkimo sąlygų 2 priedas „Techninė specifikacija“</w:t>
      </w:r>
    </w:p>
    <w:p w14:paraId="3E59D924" w14:textId="77777777" w:rsidR="00B90DEB" w:rsidRDefault="00B90DEB" w:rsidP="00B90DEB">
      <w:pPr>
        <w:jc w:val="right"/>
        <w:rPr>
          <w:rFonts w:eastAsia="Calibri"/>
          <w:color w:val="000000" w:themeColor="text1"/>
        </w:rPr>
      </w:pPr>
    </w:p>
    <w:p w14:paraId="1FA6F277" w14:textId="1269ED51" w:rsidR="00A45FBB" w:rsidRPr="002C5894" w:rsidRDefault="008C341B" w:rsidP="00A45FBB">
      <w:pPr>
        <w:jc w:val="center"/>
        <w:rPr>
          <w:b/>
          <w:bCs/>
          <w:color w:val="000000"/>
          <w:sz w:val="28"/>
          <w:szCs w:val="28"/>
        </w:rPr>
      </w:pPr>
      <w:r>
        <w:rPr>
          <w:b/>
          <w:bCs/>
          <w:sz w:val="28"/>
          <w:szCs w:val="28"/>
        </w:rPr>
        <w:t>KRAUJO KREŠUMO</w:t>
      </w:r>
      <w:r w:rsidR="00A45FBB">
        <w:rPr>
          <w:b/>
          <w:bCs/>
          <w:sz w:val="28"/>
          <w:szCs w:val="28"/>
        </w:rPr>
        <w:t xml:space="preserve"> TYRIMAMS </w:t>
      </w:r>
      <w:r>
        <w:rPr>
          <w:b/>
          <w:bCs/>
          <w:color w:val="000000"/>
          <w:sz w:val="28"/>
          <w:szCs w:val="28"/>
        </w:rPr>
        <w:t xml:space="preserve">KREŠĖJIMO </w:t>
      </w:r>
      <w:r w:rsidR="00A45FBB" w:rsidRPr="002C5894">
        <w:rPr>
          <w:b/>
          <w:bCs/>
          <w:color w:val="000000"/>
          <w:sz w:val="28"/>
          <w:szCs w:val="28"/>
        </w:rPr>
        <w:t>ANALIZATORI</w:t>
      </w:r>
      <w:r w:rsidR="00A45FBB">
        <w:rPr>
          <w:b/>
          <w:bCs/>
          <w:color w:val="000000"/>
          <w:sz w:val="28"/>
          <w:szCs w:val="28"/>
        </w:rPr>
        <w:t>AUS</w:t>
      </w:r>
    </w:p>
    <w:p w14:paraId="62B075DA" w14:textId="77777777" w:rsidR="00A45FBB" w:rsidRDefault="00A45FBB" w:rsidP="00A45FBB">
      <w:pPr>
        <w:jc w:val="center"/>
        <w:rPr>
          <w:b/>
          <w:bCs/>
          <w:sz w:val="28"/>
          <w:szCs w:val="28"/>
          <w:lang w:eastAsia="en-US"/>
        </w:rPr>
      </w:pPr>
      <w:r w:rsidRPr="00ED65AC">
        <w:rPr>
          <w:b/>
          <w:bCs/>
          <w:sz w:val="28"/>
          <w:szCs w:val="28"/>
        </w:rPr>
        <w:t>PANAUDOS</w:t>
      </w:r>
      <w:r w:rsidRPr="00ED65AC">
        <w:rPr>
          <w:rFonts w:eastAsia="Calibri"/>
          <w:b/>
          <w:szCs w:val="20"/>
        </w:rPr>
        <w:t xml:space="preserve"> </w:t>
      </w:r>
      <w:r w:rsidRPr="0031539F">
        <w:rPr>
          <w:b/>
          <w:bCs/>
          <w:sz w:val="28"/>
          <w:szCs w:val="28"/>
          <w:lang w:eastAsia="en-US"/>
        </w:rPr>
        <w:t>TECHNINĖ SPECIFIKACIJA</w:t>
      </w:r>
    </w:p>
    <w:p w14:paraId="678E1C53" w14:textId="77777777" w:rsidR="00D53441" w:rsidRPr="00103308" w:rsidRDefault="00D53441" w:rsidP="00D53441">
      <w:pPr>
        <w:jc w:val="center"/>
        <w:rPr>
          <w:b/>
          <w:bCs/>
          <w:sz w:val="28"/>
          <w:szCs w:val="28"/>
          <w:lang w:eastAsia="en-US"/>
        </w:rPr>
      </w:pPr>
    </w:p>
    <w:bookmarkEnd w:id="0"/>
    <w:p w14:paraId="51E18BF2" w14:textId="77777777" w:rsidR="00D53441" w:rsidRPr="00B65BEE" w:rsidRDefault="00D53441" w:rsidP="00D53441">
      <w:pPr>
        <w:tabs>
          <w:tab w:val="left" w:pos="1350"/>
          <w:tab w:val="left" w:pos="1440"/>
        </w:tabs>
        <w:suppressAutoHyphens/>
        <w:ind w:left="450" w:hanging="90"/>
        <w:jc w:val="right"/>
        <w:rPr>
          <w:b/>
          <w:bCs/>
          <w:sz w:val="22"/>
          <w:lang w:eastAsia="ar-SA"/>
        </w:rPr>
      </w:pPr>
      <w:r>
        <w:rPr>
          <w:b/>
          <w:bCs/>
          <w:sz w:val="22"/>
          <w:lang w:eastAsia="ar-SA"/>
        </w:rPr>
        <w:t>1 lentelė</w:t>
      </w:r>
    </w:p>
    <w:tbl>
      <w:tblPr>
        <w:tblStyle w:val="Lentelstinklelis"/>
        <w:tblW w:w="14652" w:type="dxa"/>
        <w:tblLook w:val="04A0" w:firstRow="1" w:lastRow="0" w:firstColumn="1" w:lastColumn="0" w:noHBand="0" w:noVBand="1"/>
      </w:tblPr>
      <w:tblGrid>
        <w:gridCol w:w="570"/>
        <w:gridCol w:w="1843"/>
        <w:gridCol w:w="6460"/>
        <w:gridCol w:w="6"/>
        <w:gridCol w:w="2541"/>
        <w:gridCol w:w="3232"/>
      </w:tblGrid>
      <w:tr w:rsidR="009B5C9B" w:rsidRPr="00D53441" w14:paraId="53BF1852" w14:textId="135306C3" w:rsidTr="009B5C9B">
        <w:trPr>
          <w:trHeight w:val="4968"/>
        </w:trPr>
        <w:tc>
          <w:tcPr>
            <w:tcW w:w="570" w:type="dxa"/>
            <w:hideMark/>
          </w:tcPr>
          <w:bookmarkEnd w:id="1"/>
          <w:p w14:paraId="368197E6" w14:textId="77777777" w:rsidR="009B5C9B" w:rsidRPr="00D53441" w:rsidRDefault="009B5C9B" w:rsidP="00A32BC6">
            <w:pPr>
              <w:ind w:left="7205" w:hanging="7205"/>
              <w:jc w:val="center"/>
              <w:rPr>
                <w:b/>
                <w:bCs/>
                <w:color w:val="000000"/>
              </w:rPr>
            </w:pPr>
            <w:r w:rsidRPr="00D53441">
              <w:rPr>
                <w:b/>
                <w:bCs/>
                <w:color w:val="000000"/>
              </w:rPr>
              <w:t>Eil.</w:t>
            </w:r>
          </w:p>
          <w:p w14:paraId="6A9D7754" w14:textId="24AD28B9" w:rsidR="009B5C9B" w:rsidRPr="00D53441" w:rsidRDefault="009B5C9B" w:rsidP="00077125">
            <w:pPr>
              <w:jc w:val="center"/>
              <w:rPr>
                <w:b/>
                <w:bCs/>
                <w:color w:val="000000"/>
              </w:rPr>
            </w:pPr>
            <w:r w:rsidRPr="00D53441">
              <w:rPr>
                <w:b/>
                <w:bCs/>
                <w:color w:val="000000"/>
              </w:rPr>
              <w:t>Nr.</w:t>
            </w:r>
          </w:p>
        </w:tc>
        <w:tc>
          <w:tcPr>
            <w:tcW w:w="1843" w:type="dxa"/>
            <w:hideMark/>
          </w:tcPr>
          <w:p w14:paraId="35F7C7E7" w14:textId="77777777" w:rsidR="009B5C9B" w:rsidRPr="00D53441" w:rsidRDefault="009B5C9B" w:rsidP="00D53441">
            <w:pPr>
              <w:jc w:val="center"/>
              <w:rPr>
                <w:b/>
                <w:bCs/>
                <w:color w:val="000000"/>
              </w:rPr>
            </w:pPr>
            <w:r w:rsidRPr="00D53441">
              <w:rPr>
                <w:b/>
                <w:bCs/>
                <w:color w:val="000000"/>
              </w:rPr>
              <w:t>Techniniai parametrai arba reikalavimai</w:t>
            </w:r>
          </w:p>
        </w:tc>
        <w:tc>
          <w:tcPr>
            <w:tcW w:w="6460" w:type="dxa"/>
            <w:hideMark/>
          </w:tcPr>
          <w:p w14:paraId="4D7CDEAA" w14:textId="252B7B20" w:rsidR="009B5C9B" w:rsidRPr="00D53441" w:rsidRDefault="009B5C9B" w:rsidP="00D53441">
            <w:pPr>
              <w:jc w:val="center"/>
              <w:rPr>
                <w:b/>
                <w:bCs/>
                <w:color w:val="000000"/>
              </w:rPr>
            </w:pPr>
            <w:r w:rsidRPr="00D53441">
              <w:rPr>
                <w:b/>
                <w:bCs/>
                <w:color w:val="000000"/>
              </w:rPr>
              <w:t>Techninio parametro reikšmė arba reikalavimų aprašymas</w:t>
            </w:r>
          </w:p>
        </w:tc>
        <w:tc>
          <w:tcPr>
            <w:tcW w:w="2547" w:type="dxa"/>
            <w:gridSpan w:val="2"/>
            <w:hideMark/>
          </w:tcPr>
          <w:p w14:paraId="75F4FAD9" w14:textId="77777777" w:rsidR="009B5C9B" w:rsidRPr="008C341B" w:rsidRDefault="009B5C9B" w:rsidP="008C341B">
            <w:pPr>
              <w:jc w:val="center"/>
              <w:rPr>
                <w:b/>
                <w:bCs/>
                <w:color w:val="000000"/>
              </w:rPr>
            </w:pPr>
            <w:r w:rsidRPr="008C341B">
              <w:rPr>
                <w:b/>
                <w:bCs/>
                <w:color w:val="000000"/>
              </w:rPr>
              <w:t>Atitikimas reikalavimui</w:t>
            </w:r>
          </w:p>
          <w:p w14:paraId="4A7709C8" w14:textId="524841FB" w:rsidR="009B5C9B" w:rsidRPr="00D53441" w:rsidRDefault="009B5C9B" w:rsidP="008C341B">
            <w:pPr>
              <w:jc w:val="center"/>
              <w:rPr>
                <w:b/>
                <w:bCs/>
                <w:color w:val="000000"/>
              </w:rPr>
            </w:pPr>
            <w:r w:rsidRPr="008C341B">
              <w:rPr>
                <w:b/>
                <w:bCs/>
                <w:color w:val="000000"/>
              </w:rPr>
              <w:t>Siūloma techninio parametro reikšmė (tiekėjas privalo aprašyti siūlomos prekės atitiktį reikalaujamiems parametrams, nurodant konkrečias reikšmes nepaliekant žodžių „turi būti“, „ne mažiau“, „ne daugiau“ ir pan., įrašyti „Taip“, „Atitinka“ draudžiama</w:t>
            </w:r>
            <w:r w:rsidRPr="00D53441">
              <w:rPr>
                <w:b/>
                <w:bCs/>
                <w:i/>
                <w:iCs/>
                <w:color w:val="000000"/>
                <w:u w:val="single"/>
              </w:rPr>
              <w:t>)</w:t>
            </w:r>
          </w:p>
        </w:tc>
        <w:tc>
          <w:tcPr>
            <w:tcW w:w="3232" w:type="dxa"/>
          </w:tcPr>
          <w:p w14:paraId="733720AF" w14:textId="34D3D775" w:rsidR="009B5C9B" w:rsidRPr="00D53441" w:rsidRDefault="009B5C9B" w:rsidP="00D53441">
            <w:pPr>
              <w:jc w:val="center"/>
              <w:rPr>
                <w:b/>
                <w:bCs/>
                <w:color w:val="000000"/>
              </w:rPr>
            </w:pPr>
            <w:r w:rsidRPr="008C341B">
              <w:rPr>
                <w:b/>
                <w:bCs/>
                <w:color w:val="000000"/>
              </w:rPr>
              <w:t xml:space="preserve">Reikalavimų atitikimas (tiksliai pažymimas techninis parametras gamintojo parengtoje  dokumentacijoje ir vertimuose į lietuvių kalbą. Būtina pateikti nuorodą į konkretų psl., pažymėti siūlomą parametrą ir nurodyti jo eil. </w:t>
            </w:r>
            <w:proofErr w:type="spellStart"/>
            <w:r w:rsidRPr="008C341B">
              <w:rPr>
                <w:b/>
                <w:bCs/>
                <w:color w:val="000000"/>
              </w:rPr>
              <w:t>nr</w:t>
            </w:r>
            <w:proofErr w:type="spellEnd"/>
            <w:r w:rsidRPr="008C341B">
              <w:rPr>
                <w:b/>
                <w:bCs/>
                <w:color w:val="000000"/>
              </w:rPr>
              <w:t>, esantį techninėje specifikacijoje (t. y. spalvotai pažymėti ir/ar nurodyti rodyklėmis ir/ar pabraukti konkrečias teikiamų dokumentų vietas, kur nurodoma atitiktis reikalaujamiems kokybiniams ir techniniams reikalavimams)</w:t>
            </w:r>
          </w:p>
        </w:tc>
      </w:tr>
      <w:tr w:rsidR="00A83757" w:rsidRPr="00A83757" w14:paraId="43B8BD4D" w14:textId="57267670" w:rsidTr="009B5C9B">
        <w:trPr>
          <w:trHeight w:val="248"/>
        </w:trPr>
        <w:tc>
          <w:tcPr>
            <w:tcW w:w="570" w:type="dxa"/>
            <w:hideMark/>
          </w:tcPr>
          <w:p w14:paraId="04560A2F" w14:textId="77777777" w:rsidR="00A32BC6" w:rsidRPr="00DC0ABC" w:rsidRDefault="00A32BC6" w:rsidP="008C341B">
            <w:pPr>
              <w:jc w:val="center"/>
            </w:pPr>
            <w:r w:rsidRPr="00DC0ABC">
              <w:t>1.</w:t>
            </w:r>
          </w:p>
        </w:tc>
        <w:tc>
          <w:tcPr>
            <w:tcW w:w="1843" w:type="dxa"/>
            <w:hideMark/>
          </w:tcPr>
          <w:p w14:paraId="73D16A70" w14:textId="7DEADEBD" w:rsidR="00A32BC6" w:rsidRPr="00DC0ABC" w:rsidRDefault="00A32BC6" w:rsidP="008C341B">
            <w:pPr>
              <w:jc w:val="both"/>
            </w:pPr>
            <w:r w:rsidRPr="00DC0ABC">
              <w:rPr>
                <w:bCs/>
              </w:rPr>
              <w:t>Prietaiso apibūdinimas</w:t>
            </w:r>
          </w:p>
        </w:tc>
        <w:tc>
          <w:tcPr>
            <w:tcW w:w="6460" w:type="dxa"/>
            <w:hideMark/>
          </w:tcPr>
          <w:p w14:paraId="4EDDCE80" w14:textId="77777777" w:rsidR="00A32BC6" w:rsidRPr="00DC0ABC" w:rsidRDefault="00A32BC6" w:rsidP="008C341B">
            <w:pPr>
              <w:jc w:val="both"/>
            </w:pPr>
            <w:r w:rsidRPr="00DC0ABC">
              <w:t>Automatinis analizatorius</w:t>
            </w:r>
          </w:p>
          <w:p w14:paraId="00030E4D" w14:textId="7A7753FB" w:rsidR="00A32BC6" w:rsidRPr="00DC0ABC" w:rsidRDefault="00A32BC6" w:rsidP="008C341B">
            <w:pPr>
              <w:jc w:val="center"/>
              <w:rPr>
                <w:i/>
                <w:iCs/>
              </w:rPr>
            </w:pPr>
            <w:r w:rsidRPr="00DC0ABC">
              <w:rPr>
                <w:i/>
                <w:iCs/>
              </w:rPr>
              <w:t> </w:t>
            </w:r>
          </w:p>
        </w:tc>
        <w:tc>
          <w:tcPr>
            <w:tcW w:w="2547" w:type="dxa"/>
            <w:gridSpan w:val="2"/>
            <w:hideMark/>
          </w:tcPr>
          <w:p w14:paraId="104860DD" w14:textId="77777777" w:rsidR="00A32BC6" w:rsidRPr="00DC0ABC" w:rsidRDefault="00A32BC6" w:rsidP="008C341B">
            <w:r w:rsidRPr="00DC0ABC">
              <w:t> </w:t>
            </w:r>
          </w:p>
        </w:tc>
        <w:tc>
          <w:tcPr>
            <w:tcW w:w="3232" w:type="dxa"/>
          </w:tcPr>
          <w:p w14:paraId="799A9A26" w14:textId="77777777" w:rsidR="00A32BC6" w:rsidRPr="00DC0ABC" w:rsidRDefault="00A32BC6" w:rsidP="008C341B"/>
        </w:tc>
      </w:tr>
      <w:tr w:rsidR="00A32BC6" w:rsidRPr="00D53441" w14:paraId="53191012" w14:textId="3B18A07C" w:rsidTr="009B5C9B">
        <w:trPr>
          <w:trHeight w:val="536"/>
        </w:trPr>
        <w:tc>
          <w:tcPr>
            <w:tcW w:w="570" w:type="dxa"/>
            <w:hideMark/>
          </w:tcPr>
          <w:p w14:paraId="2143116C" w14:textId="77777777" w:rsidR="00A32BC6" w:rsidRPr="00D53441" w:rsidRDefault="00A32BC6" w:rsidP="00E13201">
            <w:pPr>
              <w:jc w:val="center"/>
              <w:rPr>
                <w:color w:val="000000"/>
              </w:rPr>
            </w:pPr>
            <w:r w:rsidRPr="00D53441">
              <w:rPr>
                <w:color w:val="000000"/>
              </w:rPr>
              <w:t>2.</w:t>
            </w:r>
          </w:p>
        </w:tc>
        <w:tc>
          <w:tcPr>
            <w:tcW w:w="1843" w:type="dxa"/>
            <w:hideMark/>
          </w:tcPr>
          <w:p w14:paraId="25002152" w14:textId="7B5014C1" w:rsidR="00A32BC6" w:rsidRPr="00D53441" w:rsidRDefault="00A32BC6" w:rsidP="008C341B">
            <w:pPr>
              <w:jc w:val="both"/>
              <w:rPr>
                <w:color w:val="000000"/>
              </w:rPr>
            </w:pPr>
            <w:r w:rsidRPr="008F4F19">
              <w:rPr>
                <w:color w:val="000000"/>
              </w:rPr>
              <w:t>Matavimo principas</w:t>
            </w:r>
          </w:p>
        </w:tc>
        <w:tc>
          <w:tcPr>
            <w:tcW w:w="6460" w:type="dxa"/>
            <w:hideMark/>
          </w:tcPr>
          <w:p w14:paraId="73388093" w14:textId="77777777" w:rsidR="00A32BC6" w:rsidRPr="00DC0ABC" w:rsidRDefault="00A32BC6" w:rsidP="008C341B">
            <w:pPr>
              <w:rPr>
                <w:rFonts w:eastAsia="Calibri"/>
                <w:lang w:eastAsia="en-US"/>
              </w:rPr>
            </w:pPr>
            <w:r w:rsidRPr="00DC0ABC">
              <w:rPr>
                <w:rFonts w:eastAsia="Calibri"/>
                <w:lang w:eastAsia="en-US"/>
              </w:rPr>
              <w:t xml:space="preserve">1. Chronometrinis: elektromagnetinis mechaninis arba lygiavertis, leidžiantis išmatuoti normalias, bet kokio lygio  </w:t>
            </w:r>
            <w:proofErr w:type="spellStart"/>
            <w:r w:rsidRPr="00DC0ABC">
              <w:rPr>
                <w:rFonts w:eastAsia="Calibri"/>
                <w:lang w:eastAsia="en-US"/>
              </w:rPr>
              <w:t>lipemines</w:t>
            </w:r>
            <w:proofErr w:type="spellEnd"/>
            <w:r w:rsidRPr="00DC0ABC">
              <w:rPr>
                <w:rFonts w:eastAsia="Calibri"/>
                <w:lang w:eastAsia="en-US"/>
              </w:rPr>
              <w:t xml:space="preserve">, </w:t>
            </w:r>
            <w:proofErr w:type="spellStart"/>
            <w:r w:rsidRPr="00DC0ABC">
              <w:rPr>
                <w:rFonts w:eastAsia="Calibri"/>
                <w:lang w:eastAsia="en-US"/>
              </w:rPr>
              <w:t>hemolizuotas</w:t>
            </w:r>
            <w:proofErr w:type="spellEnd"/>
            <w:r w:rsidRPr="00DC0ABC">
              <w:rPr>
                <w:rFonts w:eastAsia="Calibri"/>
                <w:lang w:eastAsia="en-US"/>
              </w:rPr>
              <w:t xml:space="preserve"> plazmas be papildomų procedūrų  </w:t>
            </w:r>
          </w:p>
          <w:p w14:paraId="57BE5750" w14:textId="77777777" w:rsidR="00A32BC6" w:rsidRPr="00343A21" w:rsidRDefault="00A32BC6" w:rsidP="008C341B">
            <w:pPr>
              <w:jc w:val="both"/>
              <w:rPr>
                <w:color w:val="000000"/>
              </w:rPr>
            </w:pPr>
            <w:r w:rsidRPr="00DC0ABC">
              <w:rPr>
                <w:rFonts w:eastAsia="Calibri"/>
                <w:lang w:eastAsia="en-US"/>
              </w:rPr>
              <w:t xml:space="preserve">2. </w:t>
            </w:r>
            <w:proofErr w:type="spellStart"/>
            <w:r w:rsidRPr="00DC0ABC">
              <w:rPr>
                <w:rFonts w:eastAsia="Calibri"/>
                <w:lang w:eastAsia="en-US"/>
              </w:rPr>
              <w:t>Imunoturbidimetrinis</w:t>
            </w:r>
            <w:proofErr w:type="spellEnd"/>
          </w:p>
          <w:p w14:paraId="6FE77513" w14:textId="59A98774" w:rsidR="00A32BC6" w:rsidRPr="00343A21" w:rsidRDefault="00A32BC6" w:rsidP="008C341B">
            <w:pPr>
              <w:rPr>
                <w:i/>
                <w:iCs/>
                <w:color w:val="000000"/>
              </w:rPr>
            </w:pPr>
            <w:r w:rsidRPr="00343A21">
              <w:rPr>
                <w:i/>
                <w:iCs/>
                <w:color w:val="000000"/>
              </w:rPr>
              <w:t> </w:t>
            </w:r>
          </w:p>
        </w:tc>
        <w:tc>
          <w:tcPr>
            <w:tcW w:w="2547" w:type="dxa"/>
            <w:gridSpan w:val="2"/>
            <w:hideMark/>
          </w:tcPr>
          <w:p w14:paraId="1D8359CF" w14:textId="231B5A5B" w:rsidR="00A32BC6" w:rsidRPr="00D53441" w:rsidRDefault="00A32BC6" w:rsidP="008C341B">
            <w:pPr>
              <w:rPr>
                <w:color w:val="000000"/>
              </w:rPr>
            </w:pPr>
            <w:r w:rsidRPr="00D53441">
              <w:rPr>
                <w:color w:val="000000"/>
              </w:rPr>
              <w:t> </w:t>
            </w:r>
          </w:p>
        </w:tc>
        <w:tc>
          <w:tcPr>
            <w:tcW w:w="3232" w:type="dxa"/>
          </w:tcPr>
          <w:p w14:paraId="3AD1987A" w14:textId="77777777" w:rsidR="00A32BC6" w:rsidRPr="00D53441" w:rsidRDefault="00A32BC6" w:rsidP="008C341B">
            <w:pPr>
              <w:rPr>
                <w:color w:val="000000"/>
              </w:rPr>
            </w:pPr>
          </w:p>
        </w:tc>
      </w:tr>
      <w:tr w:rsidR="00A32BC6" w:rsidRPr="00B113E8" w14:paraId="7DDAF314" w14:textId="15D35B96" w:rsidTr="009B5C9B">
        <w:trPr>
          <w:trHeight w:val="536"/>
        </w:trPr>
        <w:tc>
          <w:tcPr>
            <w:tcW w:w="570" w:type="dxa"/>
            <w:hideMark/>
          </w:tcPr>
          <w:p w14:paraId="038A7363" w14:textId="77777777" w:rsidR="00A32BC6" w:rsidRPr="00B113E8" w:rsidRDefault="00A32BC6" w:rsidP="00E13201">
            <w:pPr>
              <w:jc w:val="center"/>
              <w:rPr>
                <w:color w:val="000000"/>
              </w:rPr>
            </w:pPr>
            <w:r w:rsidRPr="00B113E8">
              <w:rPr>
                <w:color w:val="000000"/>
              </w:rPr>
              <w:t>3.</w:t>
            </w:r>
          </w:p>
        </w:tc>
        <w:tc>
          <w:tcPr>
            <w:tcW w:w="1843" w:type="dxa"/>
            <w:hideMark/>
          </w:tcPr>
          <w:p w14:paraId="71793F34" w14:textId="50127213" w:rsidR="00A32BC6" w:rsidRPr="00B113E8" w:rsidRDefault="00A32BC6" w:rsidP="008C341B">
            <w:pPr>
              <w:jc w:val="both"/>
              <w:rPr>
                <w:color w:val="000000"/>
              </w:rPr>
            </w:pPr>
            <w:r w:rsidRPr="00B113E8">
              <w:rPr>
                <w:bCs/>
                <w:color w:val="000000"/>
              </w:rPr>
              <w:t>Tiriamieji mėginiai</w:t>
            </w:r>
          </w:p>
        </w:tc>
        <w:tc>
          <w:tcPr>
            <w:tcW w:w="6460" w:type="dxa"/>
            <w:noWrap/>
            <w:hideMark/>
          </w:tcPr>
          <w:p w14:paraId="67B35C35" w14:textId="77777777" w:rsidR="00A32BC6" w:rsidRPr="00B113E8" w:rsidRDefault="00A32BC6" w:rsidP="008C341B">
            <w:pPr>
              <w:rPr>
                <w:rFonts w:eastAsia="Calibri"/>
                <w:lang w:eastAsia="en-US"/>
              </w:rPr>
            </w:pPr>
            <w:r w:rsidRPr="00B113E8">
              <w:rPr>
                <w:rFonts w:eastAsia="Calibri"/>
                <w:lang w:eastAsia="en-US"/>
              </w:rPr>
              <w:t xml:space="preserve">Atliekant tyrimus, analizatorius turi ištirti visus </w:t>
            </w:r>
            <w:proofErr w:type="spellStart"/>
            <w:r w:rsidRPr="00B113E8">
              <w:rPr>
                <w:rFonts w:eastAsia="Calibri"/>
                <w:lang w:eastAsia="en-US"/>
              </w:rPr>
              <w:t>citruotos</w:t>
            </w:r>
            <w:proofErr w:type="spellEnd"/>
            <w:r w:rsidRPr="00B113E8">
              <w:rPr>
                <w:rFonts w:eastAsia="Calibri"/>
                <w:lang w:eastAsia="en-US"/>
              </w:rPr>
              <w:t xml:space="preserve"> plazmos mėginius: normalius, bet kokio lygio </w:t>
            </w:r>
            <w:proofErr w:type="spellStart"/>
            <w:r w:rsidRPr="00B113E8">
              <w:rPr>
                <w:rFonts w:eastAsia="Calibri"/>
                <w:lang w:eastAsia="en-US"/>
              </w:rPr>
              <w:t>lipeminius</w:t>
            </w:r>
            <w:proofErr w:type="spellEnd"/>
            <w:r w:rsidRPr="00B113E8">
              <w:rPr>
                <w:rFonts w:eastAsia="Calibri"/>
                <w:lang w:eastAsia="en-US"/>
              </w:rPr>
              <w:t xml:space="preserve">, </w:t>
            </w:r>
            <w:proofErr w:type="spellStart"/>
            <w:r w:rsidRPr="00B113E8">
              <w:rPr>
                <w:rFonts w:eastAsia="Calibri"/>
                <w:lang w:eastAsia="en-US"/>
              </w:rPr>
              <w:t>hemolizuotus</w:t>
            </w:r>
            <w:proofErr w:type="spellEnd"/>
            <w:r w:rsidRPr="00B113E8">
              <w:rPr>
                <w:rFonts w:eastAsia="Calibri"/>
                <w:lang w:eastAsia="en-US"/>
              </w:rPr>
              <w:t xml:space="preserve">, </w:t>
            </w:r>
            <w:proofErr w:type="spellStart"/>
            <w:r w:rsidRPr="00B113E8">
              <w:rPr>
                <w:rFonts w:eastAsia="Calibri"/>
                <w:lang w:eastAsia="en-US"/>
              </w:rPr>
              <w:t>ikterinius</w:t>
            </w:r>
            <w:proofErr w:type="spellEnd"/>
            <w:r w:rsidRPr="00B113E8">
              <w:rPr>
                <w:rFonts w:eastAsia="Calibri"/>
                <w:lang w:eastAsia="en-US"/>
              </w:rPr>
              <w:t xml:space="preserve"> be papildomų procedūrų.</w:t>
            </w:r>
          </w:p>
          <w:p w14:paraId="66E556B6" w14:textId="77777777" w:rsidR="00A32BC6" w:rsidRPr="00B113E8" w:rsidRDefault="00A32BC6" w:rsidP="008C341B">
            <w:pPr>
              <w:rPr>
                <w:rFonts w:eastAsia="Calibri"/>
                <w:lang w:eastAsia="en-US"/>
              </w:rPr>
            </w:pPr>
            <w:r w:rsidRPr="00B113E8">
              <w:rPr>
                <w:rFonts w:eastAsia="Calibri"/>
                <w:lang w:eastAsia="en-US"/>
              </w:rPr>
              <w:lastRenderedPageBreak/>
              <w:t>Būtinas automatinis mėginio praskiedimas.</w:t>
            </w:r>
          </w:p>
          <w:p w14:paraId="34741494" w14:textId="77777777" w:rsidR="00A32BC6" w:rsidRPr="00B113E8" w:rsidRDefault="00A32BC6" w:rsidP="008C341B">
            <w:pPr>
              <w:jc w:val="both"/>
              <w:rPr>
                <w:color w:val="000000"/>
              </w:rPr>
            </w:pPr>
            <w:r w:rsidRPr="00B113E8">
              <w:rPr>
                <w:rFonts w:eastAsia="Calibri"/>
                <w:lang w:eastAsia="en-US"/>
              </w:rPr>
              <w:t>Mėginių talpa: ne mažiau 20 vietų</w:t>
            </w:r>
          </w:p>
          <w:p w14:paraId="2483FFBF" w14:textId="073C6ED2" w:rsidR="00A32BC6" w:rsidRPr="00B113E8" w:rsidRDefault="00A32BC6" w:rsidP="008C341B">
            <w:pPr>
              <w:rPr>
                <w:color w:val="000000"/>
              </w:rPr>
            </w:pPr>
            <w:r w:rsidRPr="00B113E8">
              <w:rPr>
                <w:color w:val="000000"/>
              </w:rPr>
              <w:t> </w:t>
            </w:r>
          </w:p>
        </w:tc>
        <w:tc>
          <w:tcPr>
            <w:tcW w:w="2547" w:type="dxa"/>
            <w:gridSpan w:val="2"/>
            <w:hideMark/>
          </w:tcPr>
          <w:p w14:paraId="76F7072B" w14:textId="77777777" w:rsidR="00A32BC6" w:rsidRPr="00B113E8" w:rsidRDefault="00A32BC6" w:rsidP="008C341B">
            <w:pPr>
              <w:rPr>
                <w:color w:val="000000"/>
              </w:rPr>
            </w:pPr>
            <w:r w:rsidRPr="00B113E8">
              <w:rPr>
                <w:color w:val="000000"/>
              </w:rPr>
              <w:lastRenderedPageBreak/>
              <w:t> </w:t>
            </w:r>
          </w:p>
        </w:tc>
        <w:tc>
          <w:tcPr>
            <w:tcW w:w="3232" w:type="dxa"/>
          </w:tcPr>
          <w:p w14:paraId="686D461B" w14:textId="77777777" w:rsidR="00A32BC6" w:rsidRPr="00B113E8" w:rsidRDefault="00A32BC6" w:rsidP="008C341B">
            <w:pPr>
              <w:rPr>
                <w:color w:val="000000"/>
              </w:rPr>
            </w:pPr>
          </w:p>
        </w:tc>
      </w:tr>
      <w:tr w:rsidR="00A32BC6" w:rsidRPr="00D53441" w14:paraId="2FBDAF0C" w14:textId="432777FD" w:rsidTr="009B5C9B">
        <w:trPr>
          <w:trHeight w:val="272"/>
        </w:trPr>
        <w:tc>
          <w:tcPr>
            <w:tcW w:w="570" w:type="dxa"/>
            <w:hideMark/>
          </w:tcPr>
          <w:p w14:paraId="53AC4D36" w14:textId="77777777" w:rsidR="00A32BC6" w:rsidRPr="00D53441" w:rsidRDefault="00A32BC6" w:rsidP="00E13201">
            <w:pPr>
              <w:jc w:val="center"/>
              <w:rPr>
                <w:color w:val="000000"/>
              </w:rPr>
            </w:pPr>
            <w:r w:rsidRPr="00D53441">
              <w:rPr>
                <w:color w:val="000000"/>
              </w:rPr>
              <w:t>4.</w:t>
            </w:r>
          </w:p>
        </w:tc>
        <w:tc>
          <w:tcPr>
            <w:tcW w:w="1843" w:type="dxa"/>
            <w:hideMark/>
          </w:tcPr>
          <w:p w14:paraId="141AEFB4" w14:textId="371983AC" w:rsidR="00A32BC6" w:rsidRPr="00D53441" w:rsidRDefault="00A32BC6" w:rsidP="008C341B">
            <w:pPr>
              <w:jc w:val="both"/>
              <w:rPr>
                <w:color w:val="000000"/>
              </w:rPr>
            </w:pPr>
            <w:r w:rsidRPr="008F4F19">
              <w:t>Matavimo sistema</w:t>
            </w:r>
          </w:p>
        </w:tc>
        <w:tc>
          <w:tcPr>
            <w:tcW w:w="6460" w:type="dxa"/>
            <w:hideMark/>
          </w:tcPr>
          <w:p w14:paraId="291B8C05" w14:textId="77777777" w:rsidR="00A32BC6" w:rsidRPr="00ED65AC" w:rsidRDefault="00A32BC6" w:rsidP="008C341B">
            <w:pPr>
              <w:jc w:val="both"/>
            </w:pPr>
            <w:r w:rsidRPr="00ED65AC">
              <w:t>Atliekant chronometrinius tyrimus, rezultatas turi būti gaunamas iš vieno matavimo be papildomų procedūrų. Vienam tyrimui naudojama viena matavimo laikmena (viena kiuvetė). Analizatorius turi išduoti patikimą rezultatą, reakcijos metu susidarius tiek normalios, tiek silpnos struktūros krešuliui (</w:t>
            </w:r>
            <w:proofErr w:type="spellStart"/>
            <w:r w:rsidRPr="00ED65AC">
              <w:t>disfibrinogenemijos</w:t>
            </w:r>
            <w:proofErr w:type="spellEnd"/>
            <w:r w:rsidRPr="00ED65AC">
              <w:t>, antikoaguliantų perdozavimo, kepenų nepakankamumo, bei kitais atvejais.</w:t>
            </w:r>
          </w:p>
          <w:p w14:paraId="5B9AF815" w14:textId="43297934" w:rsidR="00A32BC6" w:rsidRPr="00D53441" w:rsidRDefault="00A32BC6" w:rsidP="008C341B">
            <w:pPr>
              <w:rPr>
                <w:color w:val="000000"/>
              </w:rPr>
            </w:pPr>
            <w:r w:rsidRPr="00D53441">
              <w:rPr>
                <w:color w:val="000000"/>
              </w:rPr>
              <w:t> </w:t>
            </w:r>
          </w:p>
        </w:tc>
        <w:tc>
          <w:tcPr>
            <w:tcW w:w="2547" w:type="dxa"/>
            <w:gridSpan w:val="2"/>
            <w:hideMark/>
          </w:tcPr>
          <w:p w14:paraId="632C2614" w14:textId="77777777" w:rsidR="00A32BC6" w:rsidRPr="00D53441" w:rsidRDefault="00A32BC6" w:rsidP="008C341B">
            <w:pPr>
              <w:rPr>
                <w:color w:val="000000"/>
              </w:rPr>
            </w:pPr>
            <w:r w:rsidRPr="00D53441">
              <w:rPr>
                <w:color w:val="000000"/>
              </w:rPr>
              <w:t> </w:t>
            </w:r>
          </w:p>
        </w:tc>
        <w:tc>
          <w:tcPr>
            <w:tcW w:w="3232" w:type="dxa"/>
          </w:tcPr>
          <w:p w14:paraId="5C32FA41" w14:textId="77777777" w:rsidR="00A32BC6" w:rsidRPr="00D53441" w:rsidRDefault="00A32BC6" w:rsidP="008C341B">
            <w:pPr>
              <w:rPr>
                <w:color w:val="000000"/>
              </w:rPr>
            </w:pPr>
          </w:p>
        </w:tc>
      </w:tr>
      <w:tr w:rsidR="00A32BC6" w:rsidRPr="00B113E8" w14:paraId="38BCDA41" w14:textId="2AB7652F" w:rsidTr="009B5C9B">
        <w:trPr>
          <w:trHeight w:val="536"/>
        </w:trPr>
        <w:tc>
          <w:tcPr>
            <w:tcW w:w="570" w:type="dxa"/>
            <w:hideMark/>
          </w:tcPr>
          <w:p w14:paraId="1AF13AC6" w14:textId="77777777" w:rsidR="00A32BC6" w:rsidRPr="00B113E8" w:rsidRDefault="00A32BC6" w:rsidP="00E13201">
            <w:pPr>
              <w:jc w:val="center"/>
              <w:rPr>
                <w:color w:val="000000"/>
              </w:rPr>
            </w:pPr>
            <w:r w:rsidRPr="00B113E8">
              <w:rPr>
                <w:color w:val="000000"/>
              </w:rPr>
              <w:t>5.</w:t>
            </w:r>
          </w:p>
        </w:tc>
        <w:tc>
          <w:tcPr>
            <w:tcW w:w="1843" w:type="dxa"/>
            <w:hideMark/>
          </w:tcPr>
          <w:p w14:paraId="3368887C" w14:textId="46EB0970" w:rsidR="00A32BC6" w:rsidRPr="00B113E8" w:rsidRDefault="00A32BC6" w:rsidP="008C341B">
            <w:pPr>
              <w:jc w:val="both"/>
              <w:rPr>
                <w:color w:val="000000"/>
              </w:rPr>
            </w:pPr>
            <w:r w:rsidRPr="00B113E8">
              <w:t>Reagentų ir matavimo laikmenų valdymas</w:t>
            </w:r>
          </w:p>
        </w:tc>
        <w:tc>
          <w:tcPr>
            <w:tcW w:w="6466" w:type="dxa"/>
            <w:gridSpan w:val="2"/>
            <w:hideMark/>
          </w:tcPr>
          <w:p w14:paraId="5F06E4A9" w14:textId="77777777" w:rsidR="00A32BC6" w:rsidRPr="00B113E8" w:rsidRDefault="00A32BC6" w:rsidP="008C341B">
            <w:pPr>
              <w:rPr>
                <w:rFonts w:eastAsia="Calibri"/>
                <w:lang w:eastAsia="en-US"/>
              </w:rPr>
            </w:pPr>
            <w:r w:rsidRPr="00B113E8">
              <w:rPr>
                <w:rFonts w:eastAsia="Calibri"/>
                <w:lang w:eastAsia="en-US"/>
              </w:rPr>
              <w:t>Būtinas funkcionalumas:</w:t>
            </w:r>
          </w:p>
          <w:p w14:paraId="267F152B" w14:textId="77777777" w:rsidR="00A32BC6" w:rsidRPr="00B113E8" w:rsidRDefault="00A32BC6" w:rsidP="008C341B">
            <w:pPr>
              <w:rPr>
                <w:rFonts w:eastAsia="Calibri"/>
                <w:lang w:eastAsia="en-US"/>
              </w:rPr>
            </w:pPr>
            <w:r w:rsidRPr="00B113E8">
              <w:rPr>
                <w:rFonts w:eastAsia="Calibri"/>
                <w:lang w:eastAsia="en-US"/>
              </w:rPr>
              <w:t>- reagentų patalpinimas į bet kurią reagentų talpos poziciją, užtikrinantis nenutrūkstamą ištyrimo procesą.</w:t>
            </w:r>
          </w:p>
          <w:p w14:paraId="0063D7E7" w14:textId="77777777" w:rsidR="00A32BC6" w:rsidRPr="00B113E8" w:rsidRDefault="00A32BC6" w:rsidP="008C341B">
            <w:pPr>
              <w:jc w:val="both"/>
              <w:rPr>
                <w:color w:val="000000"/>
              </w:rPr>
            </w:pPr>
            <w:r w:rsidRPr="00B113E8">
              <w:rPr>
                <w:rFonts w:eastAsia="Calibri"/>
                <w:lang w:eastAsia="en-US"/>
              </w:rPr>
              <w:t>- pastovus reagentų, skysčių, matavimo laikmenų kiekio sekimas ir vartotojo informavimas apie jų trūkumą.</w:t>
            </w:r>
          </w:p>
          <w:p w14:paraId="1FDEC5DB" w14:textId="745BCA11" w:rsidR="00A32BC6" w:rsidRPr="00B113E8" w:rsidRDefault="00A32BC6" w:rsidP="008C341B">
            <w:pPr>
              <w:rPr>
                <w:color w:val="000000"/>
              </w:rPr>
            </w:pPr>
            <w:r w:rsidRPr="00B113E8">
              <w:rPr>
                <w:color w:val="000000"/>
              </w:rPr>
              <w:t> </w:t>
            </w:r>
          </w:p>
        </w:tc>
        <w:tc>
          <w:tcPr>
            <w:tcW w:w="2541" w:type="dxa"/>
            <w:hideMark/>
          </w:tcPr>
          <w:p w14:paraId="40593115" w14:textId="77777777" w:rsidR="00A32BC6" w:rsidRPr="00B113E8" w:rsidRDefault="00A32BC6" w:rsidP="008C341B">
            <w:pPr>
              <w:rPr>
                <w:color w:val="000000"/>
              </w:rPr>
            </w:pPr>
            <w:r w:rsidRPr="00B113E8">
              <w:rPr>
                <w:color w:val="000000"/>
              </w:rPr>
              <w:t> </w:t>
            </w:r>
          </w:p>
        </w:tc>
        <w:tc>
          <w:tcPr>
            <w:tcW w:w="3232" w:type="dxa"/>
          </w:tcPr>
          <w:p w14:paraId="58B1802F" w14:textId="77777777" w:rsidR="00A32BC6" w:rsidRPr="00B113E8" w:rsidRDefault="00A32BC6" w:rsidP="008C341B">
            <w:pPr>
              <w:rPr>
                <w:color w:val="000000"/>
              </w:rPr>
            </w:pPr>
          </w:p>
        </w:tc>
      </w:tr>
      <w:tr w:rsidR="00A32BC6" w:rsidRPr="00D53441" w14:paraId="6DA97C41" w14:textId="2C8F6930" w:rsidTr="009B5C9B">
        <w:trPr>
          <w:trHeight w:val="536"/>
        </w:trPr>
        <w:tc>
          <w:tcPr>
            <w:tcW w:w="570" w:type="dxa"/>
            <w:hideMark/>
          </w:tcPr>
          <w:p w14:paraId="400DD178" w14:textId="77777777" w:rsidR="00A32BC6" w:rsidRPr="00D53441" w:rsidRDefault="00A32BC6" w:rsidP="00E13201">
            <w:pPr>
              <w:jc w:val="center"/>
              <w:rPr>
                <w:color w:val="000000"/>
              </w:rPr>
            </w:pPr>
            <w:r w:rsidRPr="00D53441">
              <w:rPr>
                <w:color w:val="000000"/>
              </w:rPr>
              <w:t>6.</w:t>
            </w:r>
          </w:p>
        </w:tc>
        <w:tc>
          <w:tcPr>
            <w:tcW w:w="1843" w:type="dxa"/>
            <w:hideMark/>
          </w:tcPr>
          <w:p w14:paraId="6D29CAF9" w14:textId="7CBFF0F1" w:rsidR="00A32BC6" w:rsidRPr="00D53441" w:rsidRDefault="00A32BC6" w:rsidP="008C341B">
            <w:pPr>
              <w:jc w:val="both"/>
              <w:rPr>
                <w:color w:val="000000"/>
              </w:rPr>
            </w:pPr>
            <w:r w:rsidRPr="001F1F9E">
              <w:t>Vienkartinės matavimo laikmenos</w:t>
            </w:r>
          </w:p>
        </w:tc>
        <w:tc>
          <w:tcPr>
            <w:tcW w:w="6466" w:type="dxa"/>
            <w:gridSpan w:val="2"/>
            <w:noWrap/>
            <w:hideMark/>
          </w:tcPr>
          <w:p w14:paraId="69638563" w14:textId="77777777" w:rsidR="00A32BC6" w:rsidRPr="008C341B" w:rsidRDefault="00A32BC6" w:rsidP="008C341B">
            <w:pPr>
              <w:jc w:val="both"/>
              <w:rPr>
                <w:color w:val="000000"/>
              </w:rPr>
            </w:pPr>
            <w:r w:rsidRPr="008C341B">
              <w:t>Vienkartinės matavimo laikmenos turi būti analizatoriaus gamintojo, pastovus kiekio sekimas, talpinamos į analizatorių ne mažiau kaip po 200 vnt.</w:t>
            </w:r>
          </w:p>
          <w:p w14:paraId="37565090" w14:textId="78C99B9B" w:rsidR="00A32BC6" w:rsidRPr="008C341B" w:rsidRDefault="00A32BC6" w:rsidP="008C341B">
            <w:pPr>
              <w:rPr>
                <w:color w:val="000000"/>
              </w:rPr>
            </w:pPr>
            <w:r w:rsidRPr="008C341B">
              <w:rPr>
                <w:color w:val="000000"/>
              </w:rPr>
              <w:t> </w:t>
            </w:r>
          </w:p>
        </w:tc>
        <w:tc>
          <w:tcPr>
            <w:tcW w:w="2541" w:type="dxa"/>
            <w:hideMark/>
          </w:tcPr>
          <w:p w14:paraId="055D76F6" w14:textId="77777777" w:rsidR="00A32BC6" w:rsidRPr="00D53441" w:rsidRDefault="00A32BC6" w:rsidP="008C341B">
            <w:pPr>
              <w:rPr>
                <w:color w:val="000000"/>
              </w:rPr>
            </w:pPr>
            <w:r w:rsidRPr="00D53441">
              <w:rPr>
                <w:color w:val="000000"/>
              </w:rPr>
              <w:t> </w:t>
            </w:r>
          </w:p>
        </w:tc>
        <w:tc>
          <w:tcPr>
            <w:tcW w:w="3232" w:type="dxa"/>
          </w:tcPr>
          <w:p w14:paraId="14C30F50" w14:textId="77777777" w:rsidR="00A32BC6" w:rsidRPr="00D53441" w:rsidRDefault="00A32BC6" w:rsidP="008C341B">
            <w:pPr>
              <w:rPr>
                <w:color w:val="000000"/>
              </w:rPr>
            </w:pPr>
          </w:p>
        </w:tc>
      </w:tr>
      <w:tr w:rsidR="00A32BC6" w:rsidRPr="00D53441" w14:paraId="57C98E81" w14:textId="1A2F1E5F" w:rsidTr="009B5C9B">
        <w:trPr>
          <w:trHeight w:val="536"/>
        </w:trPr>
        <w:tc>
          <w:tcPr>
            <w:tcW w:w="570" w:type="dxa"/>
            <w:hideMark/>
          </w:tcPr>
          <w:p w14:paraId="1A10AEFE" w14:textId="77777777" w:rsidR="00A32BC6" w:rsidRPr="00D53441" w:rsidRDefault="00A32BC6" w:rsidP="00E13201">
            <w:pPr>
              <w:jc w:val="center"/>
              <w:rPr>
                <w:color w:val="000000"/>
              </w:rPr>
            </w:pPr>
            <w:r w:rsidRPr="00D53441">
              <w:rPr>
                <w:color w:val="000000"/>
              </w:rPr>
              <w:t>7.</w:t>
            </w:r>
          </w:p>
        </w:tc>
        <w:tc>
          <w:tcPr>
            <w:tcW w:w="1843" w:type="dxa"/>
            <w:hideMark/>
          </w:tcPr>
          <w:p w14:paraId="0D1616FA" w14:textId="1E104020" w:rsidR="00A32BC6" w:rsidRPr="00D53441" w:rsidRDefault="00A32BC6" w:rsidP="008C341B">
            <w:pPr>
              <w:jc w:val="both"/>
              <w:rPr>
                <w:color w:val="000000"/>
              </w:rPr>
            </w:pPr>
            <w:r w:rsidRPr="001F1F9E">
              <w:t>Duomenų atsekamumas</w:t>
            </w:r>
          </w:p>
        </w:tc>
        <w:tc>
          <w:tcPr>
            <w:tcW w:w="6466" w:type="dxa"/>
            <w:gridSpan w:val="2"/>
            <w:noWrap/>
            <w:hideMark/>
          </w:tcPr>
          <w:p w14:paraId="3D0F8B20" w14:textId="77777777" w:rsidR="00A32BC6" w:rsidRPr="00D53441" w:rsidRDefault="00A32BC6" w:rsidP="008C341B">
            <w:pPr>
              <w:jc w:val="both"/>
              <w:rPr>
                <w:color w:val="000000"/>
              </w:rPr>
            </w:pPr>
            <w:r w:rsidRPr="001F1F9E">
              <w:t>Privalomas brūkšninių kodų skaitytuvas, identifikuojantis ne mažiau kaip šiuos parametrus: pavadinimą, kodą, partijos Nr., stabilumą analizatoriuje, galiojimo laiką, tūrį, kontrolinių medžiagų duomenis.</w:t>
            </w:r>
          </w:p>
          <w:p w14:paraId="6AFDB5FB" w14:textId="6E0B2822" w:rsidR="00A32BC6" w:rsidRPr="00D53441" w:rsidRDefault="00A32BC6" w:rsidP="008C341B">
            <w:pPr>
              <w:rPr>
                <w:color w:val="000000"/>
              </w:rPr>
            </w:pPr>
            <w:r w:rsidRPr="00D53441">
              <w:rPr>
                <w:color w:val="000000"/>
              </w:rPr>
              <w:t> </w:t>
            </w:r>
          </w:p>
        </w:tc>
        <w:tc>
          <w:tcPr>
            <w:tcW w:w="2541" w:type="dxa"/>
            <w:hideMark/>
          </w:tcPr>
          <w:p w14:paraId="223B4B6E" w14:textId="77777777" w:rsidR="00A32BC6" w:rsidRPr="00D53441" w:rsidRDefault="00A32BC6" w:rsidP="008C341B">
            <w:pPr>
              <w:rPr>
                <w:color w:val="000000"/>
              </w:rPr>
            </w:pPr>
            <w:r w:rsidRPr="00D53441">
              <w:rPr>
                <w:color w:val="000000"/>
              </w:rPr>
              <w:t> </w:t>
            </w:r>
          </w:p>
        </w:tc>
        <w:tc>
          <w:tcPr>
            <w:tcW w:w="3232" w:type="dxa"/>
          </w:tcPr>
          <w:p w14:paraId="1CACDFBB" w14:textId="77777777" w:rsidR="00A32BC6" w:rsidRPr="00D53441" w:rsidRDefault="00A32BC6" w:rsidP="008C341B">
            <w:pPr>
              <w:rPr>
                <w:color w:val="000000"/>
              </w:rPr>
            </w:pPr>
          </w:p>
        </w:tc>
      </w:tr>
      <w:tr w:rsidR="00A32BC6" w:rsidRPr="00B113E8" w14:paraId="4F1B1371" w14:textId="2F0FCBC5" w:rsidTr="009B5C9B">
        <w:trPr>
          <w:trHeight w:val="536"/>
        </w:trPr>
        <w:tc>
          <w:tcPr>
            <w:tcW w:w="570" w:type="dxa"/>
            <w:hideMark/>
          </w:tcPr>
          <w:p w14:paraId="6A6CD901" w14:textId="77777777" w:rsidR="00A32BC6" w:rsidRPr="00B113E8" w:rsidRDefault="00A32BC6" w:rsidP="00E13201">
            <w:pPr>
              <w:jc w:val="center"/>
              <w:rPr>
                <w:color w:val="000000"/>
              </w:rPr>
            </w:pPr>
            <w:r w:rsidRPr="00B113E8">
              <w:rPr>
                <w:color w:val="000000"/>
              </w:rPr>
              <w:t>8.</w:t>
            </w:r>
          </w:p>
        </w:tc>
        <w:tc>
          <w:tcPr>
            <w:tcW w:w="1843" w:type="dxa"/>
            <w:hideMark/>
          </w:tcPr>
          <w:p w14:paraId="6CCDFC03" w14:textId="2F05E713" w:rsidR="00A32BC6" w:rsidRPr="00B113E8" w:rsidRDefault="00A32BC6" w:rsidP="008C341B">
            <w:pPr>
              <w:jc w:val="both"/>
              <w:rPr>
                <w:color w:val="000000"/>
              </w:rPr>
            </w:pPr>
            <w:r w:rsidRPr="00B113E8">
              <w:t>Iš analizatoriaus į laboratorinę sistemą automatiniu būdu perduodami duomenys</w:t>
            </w:r>
          </w:p>
        </w:tc>
        <w:tc>
          <w:tcPr>
            <w:tcW w:w="6466" w:type="dxa"/>
            <w:gridSpan w:val="2"/>
            <w:hideMark/>
          </w:tcPr>
          <w:p w14:paraId="49FE0AE3" w14:textId="77777777" w:rsidR="00A32BC6" w:rsidRPr="00B113E8" w:rsidRDefault="00A32BC6" w:rsidP="008C341B">
            <w:pPr>
              <w:rPr>
                <w:rFonts w:eastAsia="Calibri"/>
                <w:lang w:eastAsia="en-US"/>
              </w:rPr>
            </w:pPr>
            <w:r w:rsidRPr="00B113E8">
              <w:rPr>
                <w:rFonts w:eastAsia="Calibri"/>
                <w:lang w:eastAsia="en-US"/>
              </w:rPr>
              <w:t xml:space="preserve">Paciento ID (gaunamas nuskaičius brūkšninį kodą), </w:t>
            </w:r>
          </w:p>
          <w:p w14:paraId="31F47EBB" w14:textId="77777777" w:rsidR="00A32BC6" w:rsidRPr="00B113E8" w:rsidRDefault="00A32BC6" w:rsidP="008C341B">
            <w:pPr>
              <w:rPr>
                <w:rFonts w:eastAsia="Calibri"/>
                <w:lang w:eastAsia="en-US"/>
              </w:rPr>
            </w:pPr>
            <w:r w:rsidRPr="00B113E8">
              <w:rPr>
                <w:rFonts w:eastAsia="Calibri"/>
                <w:lang w:eastAsia="en-US"/>
              </w:rPr>
              <w:t xml:space="preserve">tyrimo kodas, tyrimo rezultatas, kokybės kontrolės </w:t>
            </w:r>
          </w:p>
          <w:p w14:paraId="0BAEA4BA" w14:textId="77777777" w:rsidR="00A32BC6" w:rsidRPr="00B113E8" w:rsidRDefault="00A32BC6" w:rsidP="008C341B">
            <w:pPr>
              <w:rPr>
                <w:rFonts w:eastAsia="Calibri"/>
                <w:lang w:eastAsia="en-US"/>
              </w:rPr>
            </w:pPr>
            <w:r w:rsidRPr="00B113E8">
              <w:rPr>
                <w:rFonts w:eastAsia="Calibri"/>
                <w:lang w:eastAsia="en-US"/>
              </w:rPr>
              <w:t>apibrėžimas (žymuo), kokybės kontrolės tipas,</w:t>
            </w:r>
          </w:p>
          <w:p w14:paraId="773818DD" w14:textId="77777777" w:rsidR="00A32BC6" w:rsidRPr="00B113E8" w:rsidRDefault="00A32BC6" w:rsidP="008C341B">
            <w:pPr>
              <w:jc w:val="both"/>
              <w:rPr>
                <w:color w:val="000000"/>
              </w:rPr>
            </w:pPr>
            <w:r w:rsidRPr="00B113E8">
              <w:rPr>
                <w:rFonts w:eastAsia="Calibri"/>
                <w:lang w:eastAsia="en-US"/>
              </w:rPr>
              <w:t>kokybės kontrolės rezultatas.</w:t>
            </w:r>
          </w:p>
          <w:p w14:paraId="721E9A10" w14:textId="45F23069" w:rsidR="00A32BC6" w:rsidRPr="00B113E8" w:rsidRDefault="00A32BC6" w:rsidP="008C341B">
            <w:pPr>
              <w:rPr>
                <w:color w:val="000000"/>
              </w:rPr>
            </w:pPr>
            <w:r w:rsidRPr="00B113E8">
              <w:rPr>
                <w:color w:val="000000"/>
              </w:rPr>
              <w:t> </w:t>
            </w:r>
          </w:p>
        </w:tc>
        <w:tc>
          <w:tcPr>
            <w:tcW w:w="2541" w:type="dxa"/>
            <w:hideMark/>
          </w:tcPr>
          <w:p w14:paraId="1B094EA7" w14:textId="77777777" w:rsidR="00A32BC6" w:rsidRPr="00B113E8" w:rsidRDefault="00A32BC6" w:rsidP="008C341B">
            <w:pPr>
              <w:rPr>
                <w:color w:val="000000"/>
              </w:rPr>
            </w:pPr>
            <w:r w:rsidRPr="00B113E8">
              <w:rPr>
                <w:color w:val="000000"/>
              </w:rPr>
              <w:t> </w:t>
            </w:r>
          </w:p>
        </w:tc>
        <w:tc>
          <w:tcPr>
            <w:tcW w:w="3232" w:type="dxa"/>
          </w:tcPr>
          <w:p w14:paraId="0C091F4F" w14:textId="77777777" w:rsidR="00A32BC6" w:rsidRPr="00B113E8" w:rsidRDefault="00A32BC6" w:rsidP="008C341B">
            <w:pPr>
              <w:rPr>
                <w:color w:val="000000"/>
              </w:rPr>
            </w:pPr>
          </w:p>
        </w:tc>
      </w:tr>
      <w:tr w:rsidR="00A1688C" w:rsidRPr="00B113E8" w14:paraId="2DD493F9" w14:textId="77777777" w:rsidTr="009B5C9B">
        <w:trPr>
          <w:trHeight w:val="536"/>
        </w:trPr>
        <w:tc>
          <w:tcPr>
            <w:tcW w:w="570" w:type="dxa"/>
          </w:tcPr>
          <w:p w14:paraId="605CB65D" w14:textId="15D03D48" w:rsidR="00A1688C" w:rsidRPr="00B113E8" w:rsidRDefault="00A1688C" w:rsidP="00E13201">
            <w:pPr>
              <w:jc w:val="center"/>
              <w:rPr>
                <w:color w:val="000000"/>
              </w:rPr>
            </w:pPr>
            <w:r w:rsidRPr="00B113E8">
              <w:rPr>
                <w:color w:val="000000"/>
              </w:rPr>
              <w:lastRenderedPageBreak/>
              <w:t>9.</w:t>
            </w:r>
          </w:p>
        </w:tc>
        <w:tc>
          <w:tcPr>
            <w:tcW w:w="1843" w:type="dxa"/>
          </w:tcPr>
          <w:p w14:paraId="75327CDA" w14:textId="73BA837E" w:rsidR="00A1688C" w:rsidRPr="00B113E8" w:rsidRDefault="00A1688C" w:rsidP="00A1688C">
            <w:pPr>
              <w:rPr>
                <w:rFonts w:eastAsia="Calibri"/>
                <w:lang w:eastAsia="en-US"/>
              </w:rPr>
            </w:pPr>
            <w:r w:rsidRPr="00B113E8">
              <w:rPr>
                <w:rFonts w:eastAsia="Calibri"/>
                <w:lang w:eastAsia="en-US"/>
              </w:rPr>
              <w:t>Programinės įrangos funkcionaluma</w:t>
            </w:r>
            <w:r w:rsidR="005D6094" w:rsidRPr="00B113E8">
              <w:rPr>
                <w:rFonts w:eastAsia="Calibri"/>
                <w:lang w:eastAsia="en-US"/>
              </w:rPr>
              <w:t>s</w:t>
            </w:r>
          </w:p>
          <w:p w14:paraId="5FCCF0B0" w14:textId="77777777" w:rsidR="00A1688C" w:rsidRPr="00B113E8" w:rsidRDefault="00A1688C" w:rsidP="008C341B">
            <w:pPr>
              <w:jc w:val="both"/>
            </w:pPr>
          </w:p>
        </w:tc>
        <w:tc>
          <w:tcPr>
            <w:tcW w:w="6466" w:type="dxa"/>
            <w:gridSpan w:val="2"/>
          </w:tcPr>
          <w:p w14:paraId="543A8726" w14:textId="35BB97F6" w:rsidR="00A1688C" w:rsidRPr="00B113E8" w:rsidRDefault="00A1688C" w:rsidP="00A1688C">
            <w:pPr>
              <w:rPr>
                <w:rFonts w:eastAsia="Calibri"/>
                <w:lang w:eastAsia="en-US"/>
              </w:rPr>
            </w:pPr>
            <w:r w:rsidRPr="00B113E8">
              <w:rPr>
                <w:rFonts w:eastAsia="Calibri"/>
                <w:lang w:eastAsia="en-US"/>
              </w:rPr>
              <w:t>Programinė įranga turi turėti vidinės kokybės kontrolės rezultatų palyginimą su kitų laboratorijų kokybės kontrolės rezultatais realiu laiku.</w:t>
            </w:r>
          </w:p>
        </w:tc>
        <w:tc>
          <w:tcPr>
            <w:tcW w:w="2541" w:type="dxa"/>
          </w:tcPr>
          <w:p w14:paraId="645F9644" w14:textId="77777777" w:rsidR="00A1688C" w:rsidRPr="00B113E8" w:rsidRDefault="00A1688C" w:rsidP="008C341B">
            <w:pPr>
              <w:rPr>
                <w:color w:val="000000"/>
              </w:rPr>
            </w:pPr>
          </w:p>
        </w:tc>
        <w:tc>
          <w:tcPr>
            <w:tcW w:w="3232" w:type="dxa"/>
          </w:tcPr>
          <w:p w14:paraId="4214AA43" w14:textId="77777777" w:rsidR="00A1688C" w:rsidRPr="00B113E8" w:rsidRDefault="00A1688C" w:rsidP="008C341B">
            <w:pPr>
              <w:rPr>
                <w:color w:val="000000"/>
              </w:rPr>
            </w:pPr>
          </w:p>
        </w:tc>
      </w:tr>
      <w:tr w:rsidR="00A32BC6" w:rsidRPr="00D53441" w14:paraId="695FB2A7" w14:textId="5502CBE6" w:rsidTr="009B5C9B">
        <w:trPr>
          <w:trHeight w:val="715"/>
        </w:trPr>
        <w:tc>
          <w:tcPr>
            <w:tcW w:w="570" w:type="dxa"/>
            <w:hideMark/>
          </w:tcPr>
          <w:p w14:paraId="5CC5A76C" w14:textId="0D811EB4" w:rsidR="00A32BC6" w:rsidRPr="00D53441" w:rsidRDefault="00A1688C" w:rsidP="00E13201">
            <w:pPr>
              <w:jc w:val="center"/>
              <w:rPr>
                <w:color w:val="000000"/>
              </w:rPr>
            </w:pPr>
            <w:r>
              <w:rPr>
                <w:color w:val="000000"/>
              </w:rPr>
              <w:t>10.</w:t>
            </w:r>
          </w:p>
        </w:tc>
        <w:tc>
          <w:tcPr>
            <w:tcW w:w="1843" w:type="dxa"/>
            <w:hideMark/>
          </w:tcPr>
          <w:p w14:paraId="25B4BE1E" w14:textId="3D9695BA" w:rsidR="00A32BC6" w:rsidRPr="00D53441" w:rsidRDefault="00A32BC6" w:rsidP="008C341B">
            <w:pPr>
              <w:jc w:val="both"/>
              <w:rPr>
                <w:color w:val="000000"/>
              </w:rPr>
            </w:pPr>
            <w:r w:rsidRPr="001F1F9E">
              <w:t>Analizatoriaus komplektacija</w:t>
            </w:r>
          </w:p>
        </w:tc>
        <w:tc>
          <w:tcPr>
            <w:tcW w:w="6466" w:type="dxa"/>
            <w:gridSpan w:val="2"/>
            <w:hideMark/>
          </w:tcPr>
          <w:p w14:paraId="7F832493" w14:textId="77777777" w:rsidR="00A32BC6" w:rsidRPr="00D53441" w:rsidRDefault="00A32BC6" w:rsidP="008C341B">
            <w:pPr>
              <w:jc w:val="both"/>
              <w:rPr>
                <w:color w:val="000000"/>
              </w:rPr>
            </w:pPr>
            <w:r w:rsidRPr="001F1F9E">
              <w:t>Analizatorius, ekranas, brūkšninių kodų skaitytuvas, spausdintuvas, nepertraukiamos srovės šaltinis</w:t>
            </w:r>
          </w:p>
          <w:p w14:paraId="4BB06424" w14:textId="03F8EC05" w:rsidR="00A32BC6" w:rsidRPr="00D53441" w:rsidRDefault="00A32BC6" w:rsidP="008C341B">
            <w:pPr>
              <w:rPr>
                <w:color w:val="000000"/>
              </w:rPr>
            </w:pPr>
            <w:r w:rsidRPr="00D53441">
              <w:rPr>
                <w:color w:val="000000"/>
              </w:rPr>
              <w:t> </w:t>
            </w:r>
          </w:p>
        </w:tc>
        <w:tc>
          <w:tcPr>
            <w:tcW w:w="2541" w:type="dxa"/>
            <w:hideMark/>
          </w:tcPr>
          <w:p w14:paraId="48FE9324" w14:textId="77777777" w:rsidR="00A32BC6" w:rsidRPr="00D53441" w:rsidRDefault="00A32BC6" w:rsidP="008C341B">
            <w:pPr>
              <w:rPr>
                <w:color w:val="000000"/>
              </w:rPr>
            </w:pPr>
            <w:r w:rsidRPr="00D53441">
              <w:rPr>
                <w:color w:val="000000"/>
              </w:rPr>
              <w:t> </w:t>
            </w:r>
          </w:p>
        </w:tc>
        <w:tc>
          <w:tcPr>
            <w:tcW w:w="3232" w:type="dxa"/>
          </w:tcPr>
          <w:p w14:paraId="67552B37" w14:textId="77777777" w:rsidR="00A32BC6" w:rsidRPr="00D53441" w:rsidRDefault="00A32BC6" w:rsidP="008C341B">
            <w:pPr>
              <w:rPr>
                <w:color w:val="000000"/>
              </w:rPr>
            </w:pPr>
          </w:p>
        </w:tc>
      </w:tr>
    </w:tbl>
    <w:p w14:paraId="0BDA595B" w14:textId="77777777" w:rsidR="00C23C14" w:rsidRDefault="00C23C14"/>
    <w:p w14:paraId="30A441A1" w14:textId="77777777" w:rsidR="00E13201" w:rsidRDefault="00E13201"/>
    <w:p w14:paraId="01EAAF47" w14:textId="77777777" w:rsidR="005A4650" w:rsidRDefault="005A4650"/>
    <w:p w14:paraId="3F0C0994" w14:textId="77777777" w:rsidR="005A4650" w:rsidRDefault="005A4650" w:rsidP="00822522">
      <w:pPr>
        <w:jc w:val="both"/>
      </w:pPr>
    </w:p>
    <w:p w14:paraId="75BA00A7" w14:textId="5C6B0373" w:rsidR="005A4650" w:rsidRPr="00E063D5" w:rsidRDefault="005A4650" w:rsidP="00822522">
      <w:pPr>
        <w:jc w:val="both"/>
        <w:rPr>
          <w:b/>
          <w:bCs/>
        </w:rPr>
      </w:pPr>
      <w:r w:rsidRPr="00E063D5">
        <w:rPr>
          <w:b/>
          <w:bCs/>
          <w:u w:val="single"/>
        </w:rPr>
        <w:t xml:space="preserve">Bendrieji reikalavimai analizatorių </w:t>
      </w:r>
      <w:r w:rsidR="00591E49">
        <w:rPr>
          <w:b/>
          <w:bCs/>
          <w:u w:val="single"/>
        </w:rPr>
        <w:t xml:space="preserve">panaudai </w:t>
      </w:r>
      <w:r w:rsidRPr="00E063D5">
        <w:t>(</w:t>
      </w:r>
      <w:r w:rsidRPr="00E063D5">
        <w:rPr>
          <w:i/>
          <w:iCs/>
        </w:rPr>
        <w:t xml:space="preserve">taikoma tose pirkimo dalyse, kuriose medicinos įranga bus naudojama </w:t>
      </w:r>
      <w:r w:rsidRPr="00ED65AC">
        <w:rPr>
          <w:i/>
          <w:iCs/>
        </w:rPr>
        <w:t xml:space="preserve">panaudos </w:t>
      </w:r>
      <w:r w:rsidRPr="00E063D5">
        <w:rPr>
          <w:i/>
          <w:iCs/>
        </w:rPr>
        <w:t>pagrindais</w:t>
      </w:r>
      <w:r w:rsidRPr="00E063D5">
        <w:t>):</w:t>
      </w:r>
    </w:p>
    <w:p w14:paraId="7BB800A6" w14:textId="6F31F9D2" w:rsidR="005A4650" w:rsidRPr="00ED65AC" w:rsidRDefault="005A4650" w:rsidP="00822522">
      <w:pPr>
        <w:jc w:val="both"/>
        <w:rPr>
          <w:b/>
          <w:bCs/>
        </w:rPr>
      </w:pPr>
      <w:r w:rsidRPr="00E063D5">
        <w:rPr>
          <w:color w:val="000000"/>
        </w:rPr>
        <w:t>1. Analizatorius</w:t>
      </w:r>
      <w:r>
        <w:rPr>
          <w:color w:val="000000"/>
        </w:rPr>
        <w:t xml:space="preserve"> turi būti pažymėtas CE ženklu</w:t>
      </w:r>
      <w:r w:rsidR="00ED65AC">
        <w:rPr>
          <w:color w:val="000000"/>
        </w:rPr>
        <w:t xml:space="preserve">. </w:t>
      </w:r>
      <w:r w:rsidRPr="00AC6DEB">
        <w:rPr>
          <w:color w:val="000000"/>
        </w:rPr>
        <w:t xml:space="preserve">Tiekėjas privalo savo sąskaita užtikrinti </w:t>
      </w:r>
      <w:r w:rsidR="00A60BD0">
        <w:t>panaudai teikiamo</w:t>
      </w:r>
      <w:r w:rsidRPr="00ED65AC">
        <w:t xml:space="preserve"> analizatoriaus techninę priežiūrą, techninės būklės tikrinimą ir remontą visą </w:t>
      </w:r>
      <w:r w:rsidR="00DC0ABC">
        <w:t>sutarties galiojimo laikotarpį</w:t>
      </w:r>
      <w:r w:rsidR="003B7E40">
        <w:rPr>
          <w:rStyle w:val="Komentaronuoroda"/>
        </w:rPr>
        <w:t xml:space="preserve">. </w:t>
      </w:r>
    </w:p>
    <w:p w14:paraId="5CFDD56B" w14:textId="77777777" w:rsidR="005A4650" w:rsidRPr="00E063D5" w:rsidRDefault="005A4650" w:rsidP="00822522">
      <w:pPr>
        <w:jc w:val="both"/>
        <w:rPr>
          <w:b/>
          <w:bCs/>
        </w:rPr>
      </w:pPr>
      <w:r w:rsidRPr="00E063D5">
        <w:t>2.</w:t>
      </w:r>
      <w:r w:rsidRPr="00E063D5">
        <w:rPr>
          <w:b/>
          <w:bCs/>
        </w:rPr>
        <w:t xml:space="preserve"> </w:t>
      </w:r>
      <w:r w:rsidRPr="00E063D5">
        <w:rPr>
          <w:color w:val="000000"/>
        </w:rPr>
        <w:t xml:space="preserve">Tiekėjas privalo </w:t>
      </w:r>
      <w:r w:rsidRPr="00ED65AC">
        <w:t xml:space="preserve">panaudos </w:t>
      </w:r>
      <w:r w:rsidRPr="00E063D5">
        <w:rPr>
          <w:color w:val="000000"/>
        </w:rPr>
        <w:t>pagrindais suteikti Perkančiajai organizacijai naudotis analizatoriumi, atitinkančiu šioje techninėje specifikacijoje nustatytus reikalavimus tol, kol pagal prekių viešojo pirkimo – pardavimo sutartį bus perkami iš tiekėjo reagentai ir papildomos priemonės.</w:t>
      </w:r>
    </w:p>
    <w:p w14:paraId="7417E1F9" w14:textId="77777777" w:rsidR="00A32BC6" w:rsidRDefault="005A4650" w:rsidP="00822522">
      <w:pPr>
        <w:ind w:right="-6237"/>
        <w:jc w:val="both"/>
        <w:rPr>
          <w:color w:val="000000"/>
        </w:rPr>
      </w:pPr>
      <w:r>
        <w:t>3</w:t>
      </w:r>
      <w:r w:rsidRPr="00E063D5">
        <w:t>.</w:t>
      </w:r>
      <w:r w:rsidRPr="00E063D5">
        <w:rPr>
          <w:b/>
          <w:bCs/>
        </w:rPr>
        <w:t xml:space="preserve"> </w:t>
      </w:r>
      <w:r w:rsidRPr="00E063D5">
        <w:rPr>
          <w:color w:val="000000"/>
        </w:rPr>
        <w:t>Tiekėjas turės supažindinti Perkančiosios organizacijos personalą su</w:t>
      </w:r>
      <w:r w:rsidRPr="00ED65AC">
        <w:t xml:space="preserve"> </w:t>
      </w:r>
      <w:r w:rsidR="00A60BD0">
        <w:t>panaudai suteikto</w:t>
      </w:r>
      <w:r w:rsidRPr="00ED65AC">
        <w:t xml:space="preserve"> </w:t>
      </w:r>
      <w:r w:rsidRPr="00E063D5">
        <w:rPr>
          <w:color w:val="000000"/>
        </w:rPr>
        <w:t xml:space="preserve">analizatoriaus naudojimo ypatumais, perduoti analizatoriaus </w:t>
      </w:r>
    </w:p>
    <w:p w14:paraId="269C67F9" w14:textId="77777777" w:rsidR="00822522" w:rsidRDefault="005A4650" w:rsidP="00822522">
      <w:pPr>
        <w:ind w:right="-6237"/>
        <w:jc w:val="both"/>
        <w:rPr>
          <w:color w:val="000000"/>
        </w:rPr>
      </w:pPr>
      <w:r w:rsidRPr="00E063D5">
        <w:rPr>
          <w:color w:val="000000"/>
        </w:rPr>
        <w:t xml:space="preserve">naudojimosi instrukcijas (lietuvių kalba), Perkančiosios organizacijos prašymu ne vėliau kaip per 3 (tris) darbo dienas nuo prašymo gavimo dienos </w:t>
      </w:r>
    </w:p>
    <w:p w14:paraId="10F1401E" w14:textId="594D930C" w:rsidR="005A4650" w:rsidRPr="00822522" w:rsidRDefault="005A4650" w:rsidP="00822522">
      <w:pPr>
        <w:ind w:right="-6237"/>
        <w:jc w:val="both"/>
        <w:rPr>
          <w:color w:val="000000"/>
        </w:rPr>
      </w:pPr>
      <w:r w:rsidRPr="00E063D5">
        <w:rPr>
          <w:color w:val="000000"/>
        </w:rPr>
        <w:t xml:space="preserve">apmokyti Perkančiosios organizacijos personalą naudotis </w:t>
      </w:r>
      <w:r w:rsidR="00A60BD0">
        <w:t>panaudai suteiktu</w:t>
      </w:r>
      <w:r w:rsidRPr="00ED65AC">
        <w:t xml:space="preserve"> analizatoriumi</w:t>
      </w:r>
      <w:r>
        <w:rPr>
          <w:color w:val="000000"/>
        </w:rPr>
        <w:t>.</w:t>
      </w:r>
    </w:p>
    <w:p w14:paraId="12357500" w14:textId="77777777" w:rsidR="005A4650" w:rsidRPr="00E063D5" w:rsidRDefault="005A4650" w:rsidP="00822522">
      <w:pPr>
        <w:jc w:val="both"/>
      </w:pPr>
      <w:r>
        <w:rPr>
          <w:color w:val="000000"/>
        </w:rPr>
        <w:t>4</w:t>
      </w:r>
      <w:r w:rsidRPr="00E063D5">
        <w:rPr>
          <w:color w:val="000000"/>
        </w:rPr>
        <w:t xml:space="preserve">. Kartu su pasiūlymu turi būti pateikti dokumentai, įrodantys analizatoriaus atitikimą šioje techninėje specifikacijoje nurodytiems parametrams: bukletai, techniniai aprašai, juose pažymint siūlomą parametrą ir nurodant jo eilės Nr., esantį šioje  techninėje specifikacijoje. </w:t>
      </w:r>
    </w:p>
    <w:p w14:paraId="27D63A06" w14:textId="3F17B73D" w:rsidR="005A4650" w:rsidRPr="00E063D5" w:rsidRDefault="005A4650" w:rsidP="00822522">
      <w:pPr>
        <w:jc w:val="both"/>
      </w:pPr>
      <w:r>
        <w:t>5</w:t>
      </w:r>
      <w:r w:rsidRPr="00E063D5">
        <w:t xml:space="preserve">. </w:t>
      </w:r>
      <w:r w:rsidRPr="00E063D5">
        <w:rPr>
          <w:color w:val="000000"/>
        </w:rPr>
        <w:t xml:space="preserve">Tiekėjas privalo užtikrinti, kad analizatorius bus pristatytas, surinktas, sumontuotas/instaliuotas/įdiegtas Perkančiosios organizacijos adresu: </w:t>
      </w:r>
      <w:r w:rsidRPr="00570E7E">
        <w:t>Vš</w:t>
      </w:r>
      <w:r>
        <w:t>Į</w:t>
      </w:r>
      <w:r w:rsidRPr="00570E7E">
        <w:t xml:space="preserve"> Š</w:t>
      </w:r>
      <w:r>
        <w:t>irvintų</w:t>
      </w:r>
      <w:r w:rsidRPr="00570E7E">
        <w:t xml:space="preserve"> </w:t>
      </w:r>
      <w:r>
        <w:t>r. savivaldybės sveikatos centras</w:t>
      </w:r>
      <w:r w:rsidRPr="00570E7E">
        <w:t xml:space="preserve">, </w:t>
      </w:r>
      <w:r w:rsidR="003E119C">
        <w:t>Parko</w:t>
      </w:r>
      <w:r w:rsidRPr="00570E7E">
        <w:t xml:space="preserve"> g. </w:t>
      </w:r>
      <w:r>
        <w:t>13</w:t>
      </w:r>
      <w:r w:rsidRPr="00570E7E">
        <w:t xml:space="preserve">, </w:t>
      </w:r>
      <w:r>
        <w:t>LT-19121 Širvintos</w:t>
      </w:r>
      <w:r w:rsidRPr="00570E7E">
        <w:t xml:space="preserve">, </w:t>
      </w:r>
      <w:r>
        <w:t>klinikinė</w:t>
      </w:r>
      <w:r w:rsidRPr="00570E7E">
        <w:t xml:space="preserve"> </w:t>
      </w:r>
      <w:r>
        <w:t>laboratorija</w:t>
      </w:r>
      <w:r>
        <w:rPr>
          <w:color w:val="000000"/>
        </w:rPr>
        <w:t xml:space="preserve">, </w:t>
      </w:r>
      <w:r w:rsidRPr="00E063D5">
        <w:rPr>
          <w:color w:val="000000"/>
        </w:rPr>
        <w:t>paruoštas darbui ir suderintas/išbandytas ne vėliau kaip per 30 (trisdešimt) kalendorinių dienų nuo</w:t>
      </w:r>
      <w:r w:rsidRPr="00ED65AC">
        <w:t xml:space="preserve"> </w:t>
      </w:r>
      <w:r w:rsidR="00A60BD0">
        <w:t>panaudos</w:t>
      </w:r>
      <w:r w:rsidRPr="00ED65AC">
        <w:t xml:space="preserve"> </w:t>
      </w:r>
      <w:r w:rsidRPr="00E063D5">
        <w:rPr>
          <w:color w:val="000000"/>
        </w:rPr>
        <w:t xml:space="preserve">sutarties pasirašymo dienos. </w:t>
      </w:r>
    </w:p>
    <w:p w14:paraId="607CB46C" w14:textId="77777777" w:rsidR="005A4650" w:rsidRPr="00E063D5" w:rsidRDefault="005A4650" w:rsidP="00822522">
      <w:pPr>
        <w:jc w:val="both"/>
        <w:rPr>
          <w:b/>
          <w:bCs/>
          <w:u w:val="single"/>
        </w:rPr>
      </w:pPr>
    </w:p>
    <w:p w14:paraId="2B226E93" w14:textId="77777777" w:rsidR="005A4650" w:rsidRPr="00E063D5" w:rsidRDefault="005A4650" w:rsidP="00822522">
      <w:pPr>
        <w:jc w:val="both"/>
        <w:rPr>
          <w:i/>
          <w:iCs/>
        </w:rPr>
      </w:pPr>
      <w:r w:rsidRPr="00E063D5">
        <w:rPr>
          <w:b/>
          <w:bCs/>
          <w:u w:val="single"/>
        </w:rPr>
        <w:t>Bendrieji reikalavimai medicinos įrangos techninei priežiūrai</w:t>
      </w:r>
      <w:r w:rsidRPr="00E063D5">
        <w:rPr>
          <w:b/>
          <w:bCs/>
        </w:rPr>
        <w:t xml:space="preserve"> </w:t>
      </w:r>
      <w:r w:rsidRPr="00E063D5">
        <w:t>(</w:t>
      </w:r>
      <w:r w:rsidRPr="00E063D5">
        <w:rPr>
          <w:i/>
          <w:iCs/>
        </w:rPr>
        <w:t>taikoma tose pirkimo dalyse, kuriose vykdoma medicinos įrangos techninė priežiūra):</w:t>
      </w:r>
    </w:p>
    <w:p w14:paraId="62F8C0FC" w14:textId="77971D94" w:rsidR="005A4650" w:rsidRPr="00E063D5" w:rsidRDefault="005A4650" w:rsidP="00822522">
      <w:pPr>
        <w:jc w:val="both"/>
        <w:rPr>
          <w:i/>
          <w:iCs/>
        </w:rPr>
      </w:pPr>
      <w:r w:rsidRPr="00E063D5">
        <w:t>1.</w:t>
      </w:r>
      <w:r w:rsidRPr="00E063D5">
        <w:rPr>
          <w:i/>
          <w:iCs/>
        </w:rPr>
        <w:t xml:space="preserve"> </w:t>
      </w:r>
      <w:r w:rsidRPr="00E063D5">
        <w:t xml:space="preserve">Medicininės įrangos techninė priežiūra vykdoma </w:t>
      </w:r>
      <w:r>
        <w:t xml:space="preserve">adresu: </w:t>
      </w:r>
      <w:r w:rsidRPr="00570E7E">
        <w:t>Vš</w:t>
      </w:r>
      <w:r>
        <w:t>Į</w:t>
      </w:r>
      <w:r w:rsidRPr="00570E7E">
        <w:t xml:space="preserve"> Š</w:t>
      </w:r>
      <w:r>
        <w:t>irvintų</w:t>
      </w:r>
      <w:r w:rsidRPr="00570E7E">
        <w:t xml:space="preserve"> </w:t>
      </w:r>
      <w:r>
        <w:t>r. savivaldybės sveikatos centras</w:t>
      </w:r>
      <w:r w:rsidRPr="00570E7E">
        <w:t xml:space="preserve">, </w:t>
      </w:r>
      <w:r w:rsidR="003E119C">
        <w:t>Parko</w:t>
      </w:r>
      <w:r w:rsidRPr="00570E7E">
        <w:t xml:space="preserve"> g. </w:t>
      </w:r>
      <w:r>
        <w:t>13</w:t>
      </w:r>
      <w:r w:rsidRPr="00570E7E">
        <w:t xml:space="preserve">, </w:t>
      </w:r>
      <w:r>
        <w:t>LT-19121 Širvintos</w:t>
      </w:r>
      <w:r w:rsidRPr="00570E7E">
        <w:t xml:space="preserve">, </w:t>
      </w:r>
      <w:r>
        <w:t>klinikinė</w:t>
      </w:r>
      <w:r w:rsidRPr="00570E7E">
        <w:t xml:space="preserve"> </w:t>
      </w:r>
      <w:r>
        <w:t>laboratorija.</w:t>
      </w:r>
    </w:p>
    <w:p w14:paraId="7C107D9A" w14:textId="77777777" w:rsidR="005A4650" w:rsidRPr="00E063D5" w:rsidRDefault="005A4650" w:rsidP="00822522">
      <w:pPr>
        <w:jc w:val="both"/>
        <w:rPr>
          <w:i/>
          <w:iCs/>
        </w:rPr>
      </w:pPr>
      <w:r w:rsidRPr="00E063D5">
        <w:t>2</w:t>
      </w:r>
      <w:r w:rsidRPr="00E063D5">
        <w:rPr>
          <w:i/>
          <w:iCs/>
        </w:rPr>
        <w:t xml:space="preserve">. </w:t>
      </w:r>
      <w:r w:rsidRPr="00E063D5">
        <w:t>Tiekėjas įsipareigoja paslaugas suteikti ne vėliau kaip per 24 valandas po Perkančiosios organizacijos užsakymo, pateikto el. paštu, telefonu, faksu arba suderinus tikslinį laiką su Klinikinės laboratorijos vedėja.</w:t>
      </w:r>
      <w:r w:rsidRPr="00E063D5">
        <w:rPr>
          <w:color w:val="FF0000"/>
        </w:rPr>
        <w:t xml:space="preserve"> </w:t>
      </w:r>
      <w:r w:rsidRPr="00E063D5">
        <w:rPr>
          <w:color w:val="000000"/>
        </w:rPr>
        <w:t>Jei dėl kokių nors priežasčių nėra sąlygų suremontuoti medicininę įrangą iš karto, Tiekėjas informuoja Perkančiąją organizaciją apie numatomus paslaugų užbaigimo terminus.</w:t>
      </w:r>
    </w:p>
    <w:p w14:paraId="1FAF7907" w14:textId="77777777" w:rsidR="005A4650" w:rsidRPr="00E063D5" w:rsidRDefault="005A4650" w:rsidP="00822522">
      <w:pPr>
        <w:jc w:val="both"/>
        <w:rPr>
          <w:i/>
          <w:iCs/>
        </w:rPr>
      </w:pPr>
      <w:r w:rsidRPr="00E063D5">
        <w:t>3.</w:t>
      </w:r>
      <w:r w:rsidRPr="00E063D5">
        <w:rPr>
          <w:i/>
          <w:iCs/>
        </w:rPr>
        <w:t xml:space="preserve"> </w:t>
      </w:r>
      <w:r w:rsidRPr="00E063D5">
        <w:rPr>
          <w:color w:val="000000"/>
        </w:rPr>
        <w:t>Medicinos įrangos techninę priežiūrą Tiekėjas teikia laikantis gamintojo nustatyto paslaugų periodiškumo.</w:t>
      </w:r>
    </w:p>
    <w:p w14:paraId="29C2D397" w14:textId="77777777" w:rsidR="005A4650" w:rsidRPr="00E063D5" w:rsidRDefault="005A4650" w:rsidP="00822522">
      <w:pPr>
        <w:jc w:val="both"/>
        <w:rPr>
          <w:i/>
          <w:iCs/>
        </w:rPr>
      </w:pPr>
      <w:r w:rsidRPr="00E063D5">
        <w:lastRenderedPageBreak/>
        <w:t>4.</w:t>
      </w:r>
      <w:r w:rsidRPr="00E063D5">
        <w:rPr>
          <w:i/>
          <w:iCs/>
        </w:rPr>
        <w:t xml:space="preserve"> </w:t>
      </w:r>
      <w:r w:rsidRPr="00E063D5">
        <w:rPr>
          <w:color w:val="000000"/>
        </w:rPr>
        <w:t>Paslaugų kokybė turi atitikti medicinos įrangos saugumo technikos ir eksploatacijos taisyklių reikalavimus. Pakeistų detalių  garantija turi būti ne mažesnė nei gamintojo.</w:t>
      </w:r>
    </w:p>
    <w:p w14:paraId="323C1DB9" w14:textId="6B49D49D" w:rsidR="005A4650" w:rsidRDefault="005A4650" w:rsidP="00822522">
      <w:pPr>
        <w:jc w:val="both"/>
      </w:pPr>
      <w:r w:rsidRPr="00E063D5">
        <w:t>5</w:t>
      </w:r>
      <w:r w:rsidRPr="00E063D5">
        <w:rPr>
          <w:i/>
          <w:iCs/>
        </w:rPr>
        <w:t xml:space="preserve">. </w:t>
      </w:r>
      <w:r w:rsidRPr="00E063D5">
        <w:t xml:space="preserve">Perkamų paslaugų kiekis nurodytas šioje techninėje specifikacijoje yra </w:t>
      </w:r>
      <w:r w:rsidR="00C353C1" w:rsidRPr="003B7E40">
        <w:t>preliminarus</w:t>
      </w:r>
      <w:r w:rsidRPr="00DC0ABC">
        <w:rPr>
          <w:color w:val="C00000"/>
        </w:rPr>
        <w:t xml:space="preserve"> </w:t>
      </w:r>
      <w:r w:rsidRPr="00E063D5">
        <w:t xml:space="preserve">paslaugų kiekis </w:t>
      </w:r>
      <w:r w:rsidR="00AE7E33">
        <w:t>36</w:t>
      </w:r>
      <w:r w:rsidRPr="00E063D5">
        <w:t xml:space="preserve"> mėn. Perkančioji organizacija, atsižvelgdama į savo poreikius, gali įsigyti mažesnį paslaugų kiekį, nei nurodyta šioje techninėje specifikacijoje arba įsigyti didesnį paslaugų kiekį, tačiau tokiu atveju sutarties vertė negali būti daugiau </w:t>
      </w:r>
      <w:r w:rsidRPr="003B7E40">
        <w:t xml:space="preserve">kaip 30 proc. didesnė nei sutartyje nurodyta numatoma sutarties kaina. </w:t>
      </w:r>
      <w:r w:rsidRPr="00E063D5">
        <w:t>Perkančioji organizacija neįsipareigoja nupirkti visų paslaugų rūšių.</w:t>
      </w:r>
    </w:p>
    <w:p w14:paraId="474D2231" w14:textId="10BA6BF9" w:rsidR="005A4650" w:rsidRPr="00E063D5" w:rsidRDefault="005A4650" w:rsidP="00822522">
      <w:pPr>
        <w:jc w:val="both"/>
      </w:pPr>
      <w:r>
        <w:t xml:space="preserve">6. </w:t>
      </w:r>
      <w:r w:rsidRPr="005339DD">
        <w:t>Tiekėjas galimų defektų ir/ar gedimų atveju privalo savo sąskaita šalinti/remontuoti visus defektus ir/ar gedimus arba sugedusią analizatoriaus (-</w:t>
      </w:r>
      <w:proofErr w:type="spellStart"/>
      <w:r w:rsidRPr="005339DD">
        <w:t>ių</w:t>
      </w:r>
      <w:proofErr w:type="spellEnd"/>
      <w:r w:rsidRPr="005339DD">
        <w:t>) detalę (-</w:t>
      </w:r>
      <w:proofErr w:type="spellStart"/>
      <w:r w:rsidRPr="005339DD">
        <w:t>es</w:t>
      </w:r>
      <w:proofErr w:type="spellEnd"/>
      <w:r w:rsidRPr="005339DD">
        <w:t>) (komponentą (-</w:t>
      </w:r>
      <w:proofErr w:type="spellStart"/>
      <w:r w:rsidRPr="005339DD">
        <w:t>us</w:t>
      </w:r>
      <w:proofErr w:type="spellEnd"/>
      <w:r w:rsidRPr="005339DD">
        <w:t>) pakeisti ekvivalentiška (-</w:t>
      </w:r>
      <w:proofErr w:type="spellStart"/>
      <w:r w:rsidRPr="005339DD">
        <w:t>ais</w:t>
      </w:r>
      <w:proofErr w:type="spellEnd"/>
      <w:r w:rsidRPr="005339DD">
        <w:t>) perkančiosios organizacijos patalpose (</w:t>
      </w:r>
      <w:r w:rsidRPr="00570E7E">
        <w:t>Vš</w:t>
      </w:r>
      <w:r>
        <w:t>Į</w:t>
      </w:r>
      <w:r w:rsidRPr="00570E7E">
        <w:t xml:space="preserve"> Š</w:t>
      </w:r>
      <w:r>
        <w:t>irvintų</w:t>
      </w:r>
      <w:r w:rsidRPr="00570E7E">
        <w:t xml:space="preserve"> </w:t>
      </w:r>
      <w:r>
        <w:t>r. savivaldybės sveikatos centras</w:t>
      </w:r>
      <w:r w:rsidRPr="00570E7E">
        <w:t xml:space="preserve">, </w:t>
      </w:r>
      <w:r w:rsidR="003E119C">
        <w:t>Parko</w:t>
      </w:r>
      <w:r w:rsidRPr="00570E7E">
        <w:t xml:space="preserve"> g. </w:t>
      </w:r>
      <w:r>
        <w:t>13</w:t>
      </w:r>
      <w:r w:rsidRPr="00570E7E">
        <w:t xml:space="preserve">, </w:t>
      </w:r>
      <w:r>
        <w:t>LT-19121 Širvintos</w:t>
      </w:r>
      <w:r w:rsidRPr="00570E7E">
        <w:t xml:space="preserve">, </w:t>
      </w:r>
      <w:r>
        <w:t>klinikinė</w:t>
      </w:r>
      <w:r w:rsidRPr="00570E7E">
        <w:t xml:space="preserve"> </w:t>
      </w:r>
      <w:r>
        <w:t>laboratorija</w:t>
      </w:r>
      <w:r w:rsidRPr="005339DD">
        <w:t>) ne vėliau kaip per 24 (dvidešimt keturias) valandas nuo pranešimo apie defektą ir /ar gedimą gavimo momento. Jei defekto ir/ar gedimo neįmanoma pašalinti/suremontuoti perkančiosios organizacijos patalpose, tiekėjas privalo analizatorių (-</w:t>
      </w:r>
      <w:proofErr w:type="spellStart"/>
      <w:r w:rsidRPr="005339DD">
        <w:t>ius</w:t>
      </w:r>
      <w:proofErr w:type="spellEnd"/>
      <w:r w:rsidRPr="005339DD">
        <w:t>) savo sąskaita išvežti defektui ir/ar gedimui šalinti/remontuoti tiekėjo transportu. Sutaisytas (-i) ir veikiantis (-</w:t>
      </w:r>
      <w:proofErr w:type="spellStart"/>
      <w:r w:rsidRPr="005339DD">
        <w:t>ys</w:t>
      </w:r>
      <w:proofErr w:type="spellEnd"/>
      <w:r w:rsidRPr="005339DD">
        <w:t>) analizatorius (-</w:t>
      </w:r>
      <w:proofErr w:type="spellStart"/>
      <w:r w:rsidRPr="005339DD">
        <w:t>iai</w:t>
      </w:r>
      <w:proofErr w:type="spellEnd"/>
      <w:r w:rsidRPr="005339DD">
        <w:t>) pristatomas (-i) perkančiajai organizacijai tiekėjo sąskaita ir tiekėjo transportu. Jei defekto ir/ar gedimo šalinimo/remonto atlikti perkančiosios organizacijos patalpose (vietoje) negalima, tiekėjas defekto ir/ar gedimo šalinimo/remonto laikotarpiui privalo pristatyti perkančiajai organizacijai ir perduoti naudoti ekvivalentišką (-</w:t>
      </w:r>
      <w:proofErr w:type="spellStart"/>
      <w:r w:rsidRPr="005339DD">
        <w:t>us</w:t>
      </w:r>
      <w:proofErr w:type="spellEnd"/>
      <w:r w:rsidRPr="005339DD">
        <w:t>) veikiantį (-</w:t>
      </w:r>
      <w:proofErr w:type="spellStart"/>
      <w:r w:rsidRPr="005339DD">
        <w:t>čius</w:t>
      </w:r>
      <w:proofErr w:type="spellEnd"/>
      <w:r w:rsidRPr="005339DD">
        <w:t>) analizatorių (-</w:t>
      </w:r>
      <w:proofErr w:type="spellStart"/>
      <w:r w:rsidRPr="005339DD">
        <w:t>ius</w:t>
      </w:r>
      <w:proofErr w:type="spellEnd"/>
      <w:r w:rsidRPr="005339DD">
        <w:t>) arba sudaryti galimybę tyrimus atlikti papildomų tyrimų laboratorijoje, turinčioje Valstybinės akreditavimo sveikatos priežiūros veiklai tarnybos prie Sveikatos apsaugos ministerijos išduotą įstaigos asmens sveikatos priežiūros išduotą įstaigos asmens sveikatos priežiūros licenciją, suteikiančią teisę verstis laboratorinių tyrimų atlikimu, teikti laboratorinės diagnostikos paslaugas, išlaidas tokiu atveju apmoka Tiekėjas.</w:t>
      </w:r>
    </w:p>
    <w:p w14:paraId="75257F6C" w14:textId="77777777" w:rsidR="005A4650" w:rsidRDefault="005A4650" w:rsidP="00822522">
      <w:pPr>
        <w:jc w:val="both"/>
        <w:rPr>
          <w:b/>
          <w:bCs/>
        </w:rPr>
      </w:pPr>
    </w:p>
    <w:p w14:paraId="1BF426E5" w14:textId="72634103" w:rsidR="005A4650" w:rsidRDefault="005A4650" w:rsidP="00822522">
      <w:pPr>
        <w:jc w:val="both"/>
      </w:pPr>
      <w:r>
        <w:t>____________________________________________</w:t>
      </w:r>
      <w:r>
        <w:tab/>
        <w:t>______________________              ___________________________________</w:t>
      </w:r>
    </w:p>
    <w:p w14:paraId="0084D478" w14:textId="77777777" w:rsidR="005A4650" w:rsidRDefault="005A4650" w:rsidP="00822522">
      <w:pPr>
        <w:jc w:val="both"/>
        <w:rPr>
          <w:position w:val="6"/>
        </w:rPr>
      </w:pPr>
      <w:r>
        <w:rPr>
          <w:position w:val="6"/>
        </w:rPr>
        <w:t>(Tiekėjo arba jo įgalioto asmens pareigų pavadinimas)</w:t>
      </w:r>
      <w:r>
        <w:rPr>
          <w:position w:val="6"/>
        </w:rPr>
        <w:tab/>
      </w:r>
      <w:r>
        <w:rPr>
          <w:position w:val="6"/>
        </w:rPr>
        <w:tab/>
        <w:t>(Parašas)</w:t>
      </w:r>
      <w:r>
        <w:rPr>
          <w:position w:val="6"/>
        </w:rPr>
        <w:tab/>
      </w:r>
      <w:r>
        <w:rPr>
          <w:position w:val="6"/>
        </w:rPr>
        <w:tab/>
      </w:r>
      <w:r>
        <w:rPr>
          <w:position w:val="6"/>
        </w:rPr>
        <w:tab/>
        <w:t>(Vardas ir pavardė)</w:t>
      </w:r>
    </w:p>
    <w:p w14:paraId="41D20112" w14:textId="77777777" w:rsidR="005A4650" w:rsidRDefault="005A4650" w:rsidP="00822522">
      <w:pPr>
        <w:jc w:val="both"/>
      </w:pPr>
    </w:p>
    <w:sectPr w:rsidR="005A4650" w:rsidSect="00B90DEB">
      <w:pgSz w:w="16838" w:h="11906" w:orient="landscape"/>
      <w:pgMar w:top="851"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65B"/>
    <w:rsid w:val="00077125"/>
    <w:rsid w:val="001E0F72"/>
    <w:rsid w:val="00216926"/>
    <w:rsid w:val="002869DF"/>
    <w:rsid w:val="00312865"/>
    <w:rsid w:val="00343A21"/>
    <w:rsid w:val="003B7E40"/>
    <w:rsid w:val="003E119C"/>
    <w:rsid w:val="004E163C"/>
    <w:rsid w:val="00591E49"/>
    <w:rsid w:val="005A1CAC"/>
    <w:rsid w:val="005A4650"/>
    <w:rsid w:val="005D2F42"/>
    <w:rsid w:val="005D6094"/>
    <w:rsid w:val="008066DF"/>
    <w:rsid w:val="00822522"/>
    <w:rsid w:val="008C341B"/>
    <w:rsid w:val="009219B0"/>
    <w:rsid w:val="009B5C9B"/>
    <w:rsid w:val="009C7DD4"/>
    <w:rsid w:val="00A1688C"/>
    <w:rsid w:val="00A2465B"/>
    <w:rsid w:val="00A32BC6"/>
    <w:rsid w:val="00A45FBB"/>
    <w:rsid w:val="00A60BD0"/>
    <w:rsid w:val="00A83757"/>
    <w:rsid w:val="00AB7F6A"/>
    <w:rsid w:val="00AE7E33"/>
    <w:rsid w:val="00AF4023"/>
    <w:rsid w:val="00B113E8"/>
    <w:rsid w:val="00B7701F"/>
    <w:rsid w:val="00B90DEB"/>
    <w:rsid w:val="00BC268A"/>
    <w:rsid w:val="00C23C14"/>
    <w:rsid w:val="00C353C1"/>
    <w:rsid w:val="00CD75C6"/>
    <w:rsid w:val="00D53441"/>
    <w:rsid w:val="00D968D0"/>
    <w:rsid w:val="00DB0293"/>
    <w:rsid w:val="00DC0ABC"/>
    <w:rsid w:val="00DE735A"/>
    <w:rsid w:val="00DF4FB2"/>
    <w:rsid w:val="00E13201"/>
    <w:rsid w:val="00E41D60"/>
    <w:rsid w:val="00ED65AC"/>
    <w:rsid w:val="00F11644"/>
    <w:rsid w:val="00F225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A2D412"/>
  <w15:chartTrackingRefBased/>
  <w15:docId w15:val="{CA792DFD-117B-4BA3-8355-3162C7AAE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3441"/>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A2465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A2465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A2465B"/>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A2465B"/>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A2465B"/>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A2465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A2465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A2465B"/>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A2465B"/>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2465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2465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2465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2465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2465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2465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2465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2465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2465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2465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A2465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2465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A2465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2465B"/>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A2465B"/>
    <w:rPr>
      <w:i/>
      <w:iCs/>
      <w:color w:val="404040" w:themeColor="text1" w:themeTint="BF"/>
    </w:rPr>
  </w:style>
  <w:style w:type="paragraph" w:styleId="Sraopastraipa">
    <w:name w:val="List Paragraph"/>
    <w:basedOn w:val="prastasis"/>
    <w:uiPriority w:val="34"/>
    <w:qFormat/>
    <w:rsid w:val="00A2465B"/>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Rykuspabraukimas">
    <w:name w:val="Intense Emphasis"/>
    <w:basedOn w:val="Numatytasispastraiposriftas"/>
    <w:uiPriority w:val="21"/>
    <w:qFormat/>
    <w:rsid w:val="00A2465B"/>
    <w:rPr>
      <w:i/>
      <w:iCs/>
      <w:color w:val="0F4761" w:themeColor="accent1" w:themeShade="BF"/>
    </w:rPr>
  </w:style>
  <w:style w:type="paragraph" w:styleId="Iskirtacitata">
    <w:name w:val="Intense Quote"/>
    <w:basedOn w:val="prastasis"/>
    <w:next w:val="prastasis"/>
    <w:link w:val="IskirtacitataDiagrama"/>
    <w:uiPriority w:val="30"/>
    <w:qFormat/>
    <w:rsid w:val="00A2465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A2465B"/>
    <w:rPr>
      <w:i/>
      <w:iCs/>
      <w:color w:val="0F4761" w:themeColor="accent1" w:themeShade="BF"/>
    </w:rPr>
  </w:style>
  <w:style w:type="character" w:styleId="Rykinuoroda">
    <w:name w:val="Intense Reference"/>
    <w:basedOn w:val="Numatytasispastraiposriftas"/>
    <w:uiPriority w:val="32"/>
    <w:qFormat/>
    <w:rsid w:val="00A2465B"/>
    <w:rPr>
      <w:b/>
      <w:bCs/>
      <w:smallCaps/>
      <w:color w:val="0F4761" w:themeColor="accent1" w:themeShade="BF"/>
      <w:spacing w:val="5"/>
    </w:rPr>
  </w:style>
  <w:style w:type="table" w:styleId="Lentelstinklelis">
    <w:name w:val="Table Grid"/>
    <w:basedOn w:val="prastojilentel"/>
    <w:uiPriority w:val="39"/>
    <w:rsid w:val="00A32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B113E8"/>
    <w:pPr>
      <w:spacing w:after="0" w:line="240" w:lineRule="auto"/>
    </w:pPr>
    <w:rPr>
      <w:rFonts w:ascii="Times New Roman" w:eastAsia="Times New Roman" w:hAnsi="Times New Roman" w:cs="Times New Roman"/>
      <w:kern w:val="0"/>
      <w:sz w:val="24"/>
      <w:szCs w:val="24"/>
      <w:lang w:eastAsia="lt-LT"/>
      <w14:ligatures w14:val="none"/>
    </w:rPr>
  </w:style>
  <w:style w:type="character" w:styleId="Komentaronuoroda">
    <w:name w:val="annotation reference"/>
    <w:basedOn w:val="Numatytasispastraiposriftas"/>
    <w:uiPriority w:val="99"/>
    <w:semiHidden/>
    <w:unhideWhenUsed/>
    <w:rsid w:val="00B113E8"/>
    <w:rPr>
      <w:sz w:val="16"/>
      <w:szCs w:val="16"/>
    </w:rPr>
  </w:style>
  <w:style w:type="paragraph" w:styleId="Komentarotekstas">
    <w:name w:val="annotation text"/>
    <w:basedOn w:val="prastasis"/>
    <w:link w:val="KomentarotekstasDiagrama"/>
    <w:uiPriority w:val="99"/>
    <w:semiHidden/>
    <w:unhideWhenUsed/>
    <w:rsid w:val="00B113E8"/>
    <w:rPr>
      <w:sz w:val="20"/>
      <w:szCs w:val="20"/>
    </w:rPr>
  </w:style>
  <w:style w:type="character" w:customStyle="1" w:styleId="KomentarotekstasDiagrama">
    <w:name w:val="Komentaro tekstas Diagrama"/>
    <w:basedOn w:val="Numatytasispastraiposriftas"/>
    <w:link w:val="Komentarotekstas"/>
    <w:uiPriority w:val="99"/>
    <w:semiHidden/>
    <w:rsid w:val="00B113E8"/>
    <w:rPr>
      <w:rFonts w:ascii="Times New Roman" w:eastAsia="Times New Roman" w:hAnsi="Times New Roman" w:cs="Times New Roman"/>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B113E8"/>
    <w:rPr>
      <w:b/>
      <w:bCs/>
    </w:rPr>
  </w:style>
  <w:style w:type="character" w:customStyle="1" w:styleId="KomentarotemaDiagrama">
    <w:name w:val="Komentaro tema Diagrama"/>
    <w:basedOn w:val="KomentarotekstasDiagrama"/>
    <w:link w:val="Komentarotema"/>
    <w:uiPriority w:val="99"/>
    <w:semiHidden/>
    <w:rsid w:val="00B113E8"/>
    <w:rPr>
      <w:rFonts w:ascii="Times New Roman" w:eastAsia="Times New Roman" w:hAnsi="Times New Roman" w:cs="Times New Roman"/>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121836">
      <w:bodyDiv w:val="1"/>
      <w:marLeft w:val="0"/>
      <w:marRight w:val="0"/>
      <w:marTop w:val="0"/>
      <w:marBottom w:val="0"/>
      <w:divBdr>
        <w:top w:val="none" w:sz="0" w:space="0" w:color="auto"/>
        <w:left w:val="none" w:sz="0" w:space="0" w:color="auto"/>
        <w:bottom w:val="none" w:sz="0" w:space="0" w:color="auto"/>
        <w:right w:val="none" w:sz="0" w:space="0" w:color="auto"/>
      </w:divBdr>
    </w:div>
    <w:div w:id="211893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4</Pages>
  <Words>5200</Words>
  <Characters>2964</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Palmira J</cp:lastModifiedBy>
  <cp:revision>21</cp:revision>
  <dcterms:created xsi:type="dcterms:W3CDTF">2024-03-03T07:44:00Z</dcterms:created>
  <dcterms:modified xsi:type="dcterms:W3CDTF">2025-06-20T05:01:00Z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3996c95cac588db561d889aa4e2dd55a82b28a78aee2f5a07042c81c9d0006e5</vt:lpwstr>
  </property>
</Properties>
</file>