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166756" w:rsidRDefault="000F17D6" w:rsidP="00166756">
      <w:pPr>
        <w:jc w:val="right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 xml:space="preserve"> </w:t>
      </w:r>
    </w:p>
    <w:p w14:paraId="058888F4" w14:textId="77777777" w:rsidR="000F17D6" w:rsidRPr="00166756" w:rsidRDefault="000F17D6" w:rsidP="00166756">
      <w:pPr>
        <w:rPr>
          <w:rFonts w:ascii="Joost" w:hAnsi="Joost" w:hint="eastAsia"/>
          <w:sz w:val="23"/>
          <w:szCs w:val="23"/>
        </w:rPr>
      </w:pPr>
    </w:p>
    <w:p w14:paraId="61FAB302" w14:textId="77777777" w:rsidR="000F17D6" w:rsidRPr="00166756" w:rsidRDefault="000F17D6" w:rsidP="00166756">
      <w:pPr>
        <w:rPr>
          <w:rFonts w:ascii="Joost" w:hAnsi="Joost" w:hint="eastAsia"/>
          <w:i/>
          <w:iCs/>
          <w:sz w:val="23"/>
          <w:szCs w:val="23"/>
        </w:rPr>
      </w:pPr>
      <w:r w:rsidRPr="00166756">
        <w:rPr>
          <w:rFonts w:ascii="Joost" w:hAnsi="Joost"/>
          <w:i/>
          <w:iCs/>
          <w:sz w:val="23"/>
          <w:szCs w:val="23"/>
        </w:rPr>
        <w:t>Tiekėjams</w:t>
      </w:r>
    </w:p>
    <w:p w14:paraId="69B240AC" w14:textId="77777777" w:rsidR="000F17D6" w:rsidRPr="00166756" w:rsidRDefault="000F17D6" w:rsidP="00166756">
      <w:pPr>
        <w:rPr>
          <w:rFonts w:ascii="Joost" w:hAnsi="Joost" w:hint="eastAsia"/>
          <w:i/>
          <w:iCs/>
          <w:sz w:val="23"/>
          <w:szCs w:val="23"/>
        </w:rPr>
      </w:pPr>
      <w:r w:rsidRPr="00166756">
        <w:rPr>
          <w:rFonts w:ascii="Joost" w:hAnsi="Joost"/>
          <w:i/>
          <w:iCs/>
          <w:sz w:val="23"/>
          <w:szCs w:val="23"/>
        </w:rPr>
        <w:t>Siunčiama CVP IS priemonėmis</w:t>
      </w:r>
    </w:p>
    <w:p w14:paraId="7667E45E" w14:textId="77777777" w:rsidR="000F17D6" w:rsidRPr="00166756" w:rsidRDefault="000F17D6" w:rsidP="00166756">
      <w:pPr>
        <w:rPr>
          <w:rFonts w:ascii="Joost" w:hAnsi="Joost" w:hint="eastAsia"/>
          <w:b/>
          <w:bCs/>
          <w:sz w:val="23"/>
          <w:szCs w:val="23"/>
        </w:rPr>
      </w:pPr>
    </w:p>
    <w:p w14:paraId="3DC84B23" w14:textId="7BA5804A" w:rsidR="000F17D6" w:rsidRPr="00166756" w:rsidRDefault="000F17D6" w:rsidP="00166756">
      <w:pPr>
        <w:rPr>
          <w:rFonts w:ascii="Joost" w:hAnsi="Joost" w:hint="eastAsia"/>
          <w:b/>
          <w:bCs/>
          <w:sz w:val="23"/>
          <w:szCs w:val="23"/>
        </w:rPr>
      </w:pPr>
      <w:r w:rsidRPr="00166756">
        <w:rPr>
          <w:rFonts w:ascii="Joost" w:hAnsi="Joost"/>
          <w:b/>
          <w:bCs/>
          <w:sz w:val="23"/>
          <w:szCs w:val="23"/>
        </w:rPr>
        <w:t>DĖL PATEIKT</w:t>
      </w:r>
      <w:r w:rsidR="00376FF7" w:rsidRPr="00166756">
        <w:rPr>
          <w:rFonts w:ascii="Joost" w:hAnsi="Joost"/>
          <w:b/>
          <w:bCs/>
          <w:sz w:val="23"/>
          <w:szCs w:val="23"/>
        </w:rPr>
        <w:t>O</w:t>
      </w:r>
      <w:r w:rsidRPr="00166756">
        <w:rPr>
          <w:rFonts w:ascii="Joost" w:hAnsi="Joost"/>
          <w:b/>
          <w:bCs/>
          <w:sz w:val="23"/>
          <w:szCs w:val="23"/>
        </w:rPr>
        <w:t xml:space="preserve"> PAKLAUSIM</w:t>
      </w:r>
      <w:r w:rsidR="00376FF7" w:rsidRPr="00166756">
        <w:rPr>
          <w:rFonts w:ascii="Joost" w:hAnsi="Joost"/>
          <w:b/>
          <w:bCs/>
          <w:sz w:val="23"/>
          <w:szCs w:val="23"/>
        </w:rPr>
        <w:t>O</w:t>
      </w:r>
    </w:p>
    <w:p w14:paraId="47F7602C" w14:textId="77777777" w:rsidR="000F17D6" w:rsidRPr="00166756" w:rsidRDefault="000F17D6" w:rsidP="00166756">
      <w:pPr>
        <w:jc w:val="center"/>
        <w:rPr>
          <w:rFonts w:ascii="Joost" w:hAnsi="Joost" w:hint="eastAsia"/>
          <w:b/>
          <w:bCs/>
          <w:sz w:val="23"/>
          <w:szCs w:val="23"/>
        </w:rPr>
      </w:pPr>
    </w:p>
    <w:p w14:paraId="398D9FD3" w14:textId="1D4635BF" w:rsidR="004724B7" w:rsidRPr="00166756" w:rsidRDefault="004724B7" w:rsidP="00166756">
      <w:pPr>
        <w:ind w:firstLine="720"/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 xml:space="preserve">Viešoji įstaiga CPO LT (toliau – CPO LT), </w:t>
      </w:r>
      <w:bookmarkStart w:id="0" w:name="_Hlk120190959"/>
      <w:r w:rsidRPr="00166756">
        <w:rPr>
          <w:rFonts w:ascii="Joost" w:hAnsi="Joost"/>
          <w:sz w:val="23"/>
          <w:szCs w:val="23"/>
        </w:rPr>
        <w:t xml:space="preserve">vykdydama viešąjį pirkimą </w:t>
      </w:r>
      <w:r w:rsidR="00524B8D" w:rsidRPr="00166756">
        <w:rPr>
          <w:rFonts w:ascii="Joost" w:hAnsi="Joost"/>
          <w:sz w:val="23"/>
          <w:szCs w:val="23"/>
        </w:rPr>
        <w:t>„</w:t>
      </w:r>
      <w:r w:rsidR="00166756" w:rsidRPr="00FC7480">
        <w:rPr>
          <w:rFonts w:ascii="Joost" w:eastAsia="Calibri" w:hAnsi="Joost"/>
          <w:b/>
          <w:bCs/>
          <w:i/>
          <w:iCs/>
          <w:noProof/>
          <w:sz w:val="23"/>
          <w:szCs w:val="23"/>
        </w:rPr>
        <w:t>Įrenginių nuotolinio stebėjimo sistema ir jos diegimas</w:t>
      </w:r>
      <w:r w:rsidR="00524B8D" w:rsidRPr="00166756">
        <w:rPr>
          <w:rFonts w:ascii="Joost" w:hAnsi="Joost"/>
          <w:sz w:val="23"/>
          <w:szCs w:val="23"/>
        </w:rPr>
        <w:t xml:space="preserve">“ </w:t>
      </w:r>
      <w:r w:rsidRPr="00166756">
        <w:rPr>
          <w:rFonts w:ascii="Joost" w:hAnsi="Joost"/>
          <w:sz w:val="23"/>
          <w:szCs w:val="23"/>
        </w:rPr>
        <w:t>atviro (</w:t>
      </w:r>
      <w:r w:rsidR="00376FF7" w:rsidRPr="00166756">
        <w:rPr>
          <w:rFonts w:ascii="Joost" w:hAnsi="Joost"/>
          <w:sz w:val="23"/>
          <w:szCs w:val="23"/>
        </w:rPr>
        <w:t>tarptautinio</w:t>
      </w:r>
      <w:r w:rsidRPr="00166756">
        <w:rPr>
          <w:rFonts w:ascii="Joost" w:hAnsi="Joost"/>
          <w:sz w:val="23"/>
          <w:szCs w:val="23"/>
        </w:rPr>
        <w:t>) konkurso būdu</w:t>
      </w:r>
      <w:r w:rsidR="00F71DC1" w:rsidRPr="00166756">
        <w:rPr>
          <w:rFonts w:ascii="Joost" w:hAnsi="Joost"/>
          <w:sz w:val="23"/>
          <w:szCs w:val="23"/>
        </w:rPr>
        <w:t xml:space="preserve"> (pirkimo Nr.</w:t>
      </w:r>
      <w:r w:rsidR="00166756">
        <w:rPr>
          <w:rFonts w:ascii="Joost" w:hAnsi="Joost"/>
          <w:sz w:val="23"/>
          <w:szCs w:val="23"/>
        </w:rPr>
        <w:t>2499178</w:t>
      </w:r>
      <w:r w:rsidR="00F71DC1" w:rsidRPr="00166756">
        <w:rPr>
          <w:rFonts w:ascii="Joost" w:hAnsi="Joost"/>
          <w:sz w:val="23"/>
          <w:szCs w:val="23"/>
        </w:rPr>
        <w:t>, toliau – Pirkimas)</w:t>
      </w:r>
      <w:r w:rsidRPr="00166756">
        <w:rPr>
          <w:rFonts w:ascii="Joost" w:hAnsi="Joost"/>
          <w:sz w:val="23"/>
          <w:szCs w:val="23"/>
        </w:rPr>
        <w:t xml:space="preserve">, </w:t>
      </w:r>
      <w:bookmarkEnd w:id="0"/>
      <w:r w:rsidR="00322AFC" w:rsidRPr="00166756">
        <w:rPr>
          <w:rFonts w:ascii="Joost" w:hAnsi="Joost"/>
          <w:sz w:val="23"/>
          <w:szCs w:val="23"/>
        </w:rPr>
        <w:t>2025-</w:t>
      </w:r>
      <w:r w:rsidR="00166756">
        <w:rPr>
          <w:rFonts w:ascii="Joost" w:hAnsi="Joost"/>
          <w:sz w:val="23"/>
          <w:szCs w:val="23"/>
        </w:rPr>
        <w:t>06-1</w:t>
      </w:r>
      <w:r w:rsidR="00096264">
        <w:rPr>
          <w:rFonts w:ascii="Joost" w:hAnsi="Joost"/>
          <w:sz w:val="23"/>
          <w:szCs w:val="23"/>
        </w:rPr>
        <w:t>8</w:t>
      </w:r>
      <w:r w:rsidRPr="00166756">
        <w:rPr>
          <w:rFonts w:ascii="Joost" w:hAnsi="Joost"/>
          <w:sz w:val="23"/>
          <w:szCs w:val="23"/>
        </w:rPr>
        <w:t xml:space="preserve"> CVP IS priemonėmis gavo potencial</w:t>
      </w:r>
      <w:r w:rsidR="001E350E" w:rsidRPr="00166756">
        <w:rPr>
          <w:rFonts w:ascii="Joost" w:hAnsi="Joost"/>
          <w:sz w:val="23"/>
          <w:szCs w:val="23"/>
        </w:rPr>
        <w:t>aus</w:t>
      </w:r>
      <w:r w:rsidRPr="00166756">
        <w:rPr>
          <w:rFonts w:ascii="Joost" w:hAnsi="Joost"/>
          <w:sz w:val="23"/>
          <w:szCs w:val="23"/>
        </w:rPr>
        <w:t xml:space="preserve"> tiekėj</w:t>
      </w:r>
      <w:r w:rsidR="001E350E" w:rsidRPr="00166756">
        <w:rPr>
          <w:rFonts w:ascii="Joost" w:hAnsi="Joost"/>
          <w:sz w:val="23"/>
          <w:szCs w:val="23"/>
        </w:rPr>
        <w:t>o</w:t>
      </w:r>
      <w:r w:rsidRPr="00166756">
        <w:rPr>
          <w:rFonts w:ascii="Joost" w:hAnsi="Joost"/>
          <w:sz w:val="23"/>
          <w:szCs w:val="23"/>
        </w:rPr>
        <w:t xml:space="preserve"> paklausim</w:t>
      </w:r>
      <w:r w:rsidR="001E350E" w:rsidRPr="00166756">
        <w:rPr>
          <w:rFonts w:ascii="Joost" w:hAnsi="Joost"/>
          <w:sz w:val="23"/>
          <w:szCs w:val="23"/>
        </w:rPr>
        <w:t>ą</w:t>
      </w:r>
      <w:r w:rsidRPr="00166756">
        <w:rPr>
          <w:rFonts w:ascii="Joost" w:hAnsi="Joost"/>
          <w:sz w:val="23"/>
          <w:szCs w:val="23"/>
        </w:rPr>
        <w:t xml:space="preserve">. </w:t>
      </w:r>
    </w:p>
    <w:p w14:paraId="0939295D" w14:textId="73B81338" w:rsidR="004724B7" w:rsidRPr="00166756" w:rsidRDefault="004724B7" w:rsidP="00166756">
      <w:pPr>
        <w:ind w:firstLine="720"/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>Paklausim</w:t>
      </w:r>
      <w:r w:rsidR="00AB7038" w:rsidRPr="00166756">
        <w:rPr>
          <w:rFonts w:ascii="Joost" w:hAnsi="Joost"/>
          <w:sz w:val="23"/>
          <w:szCs w:val="23"/>
        </w:rPr>
        <w:t>a</w:t>
      </w:r>
      <w:r w:rsidR="001E350E" w:rsidRPr="00166756">
        <w:rPr>
          <w:rFonts w:ascii="Joost" w:hAnsi="Joost"/>
          <w:sz w:val="23"/>
          <w:szCs w:val="23"/>
        </w:rPr>
        <w:t>s</w:t>
      </w:r>
      <w:r w:rsidRPr="00166756">
        <w:rPr>
          <w:rFonts w:ascii="Joost" w:hAnsi="Joost"/>
          <w:sz w:val="23"/>
          <w:szCs w:val="23"/>
        </w:rPr>
        <w:t xml:space="preserve"> pateikt</w:t>
      </w:r>
      <w:r w:rsidR="001E350E" w:rsidRPr="00166756">
        <w:rPr>
          <w:rFonts w:ascii="Joost" w:hAnsi="Joost"/>
          <w:sz w:val="23"/>
          <w:szCs w:val="23"/>
        </w:rPr>
        <w:t>as</w:t>
      </w:r>
      <w:r w:rsidRPr="00166756">
        <w:rPr>
          <w:rFonts w:ascii="Joost" w:hAnsi="Joost"/>
          <w:sz w:val="23"/>
          <w:szCs w:val="23"/>
        </w:rPr>
        <w:t xml:space="preserve"> </w:t>
      </w:r>
      <w:r w:rsidR="001E350E" w:rsidRPr="00166756">
        <w:rPr>
          <w:rFonts w:ascii="Joost" w:hAnsi="Joost"/>
          <w:sz w:val="23"/>
          <w:szCs w:val="23"/>
        </w:rPr>
        <w:t>nesilaikant</w:t>
      </w:r>
      <w:r w:rsidRPr="00166756">
        <w:rPr>
          <w:rFonts w:ascii="Joost" w:hAnsi="Joost"/>
          <w:sz w:val="23"/>
          <w:szCs w:val="23"/>
        </w:rPr>
        <w:t xml:space="preserve"> Pirkimo dokumentų Specialiųjų sąlygų 1 priedo „Terminai“ lentelės 3 eil. nustatyto termino </w:t>
      </w:r>
      <w:r w:rsidRPr="00166756">
        <w:rPr>
          <w:rFonts w:ascii="Joost" w:hAnsi="Joost"/>
          <w:i/>
          <w:iCs/>
          <w:sz w:val="23"/>
          <w:szCs w:val="23"/>
        </w:rPr>
        <w:t xml:space="preserve">„Prašymą paaiškinti, patikslinti pirkimo sąlygas tiekėjas turi pateikti ne vėliau kaip: </w:t>
      </w:r>
      <w:r w:rsidR="001E350E" w:rsidRPr="00166756">
        <w:rPr>
          <w:rFonts w:ascii="Joost" w:hAnsi="Joost"/>
          <w:i/>
          <w:iCs/>
          <w:sz w:val="23"/>
          <w:szCs w:val="23"/>
        </w:rPr>
        <w:t>9</w:t>
      </w:r>
      <w:r w:rsidRPr="00166756">
        <w:rPr>
          <w:rFonts w:ascii="Joost" w:hAnsi="Joost"/>
          <w:i/>
          <w:iCs/>
          <w:sz w:val="23"/>
          <w:szCs w:val="23"/>
        </w:rPr>
        <w:t xml:space="preserve"> (</w:t>
      </w:r>
      <w:r w:rsidR="001E350E" w:rsidRPr="00166756">
        <w:rPr>
          <w:rFonts w:ascii="Joost" w:hAnsi="Joost"/>
          <w:i/>
          <w:iCs/>
          <w:sz w:val="23"/>
          <w:szCs w:val="23"/>
        </w:rPr>
        <w:t>devynios</w:t>
      </w:r>
      <w:r w:rsidRPr="00166756">
        <w:rPr>
          <w:rFonts w:ascii="Joost" w:hAnsi="Joost"/>
          <w:i/>
          <w:iCs/>
          <w:sz w:val="23"/>
          <w:szCs w:val="23"/>
        </w:rPr>
        <w:t xml:space="preserve">) dienos iki pasiūlymų pateikimo dienos.“, </w:t>
      </w:r>
      <w:r w:rsidRPr="00166756">
        <w:rPr>
          <w:rFonts w:ascii="Joost" w:hAnsi="Joost"/>
          <w:sz w:val="23"/>
          <w:szCs w:val="23"/>
        </w:rPr>
        <w:t>t. y. pateikt</w:t>
      </w:r>
      <w:r w:rsidR="001E350E" w:rsidRPr="00166756">
        <w:rPr>
          <w:rFonts w:ascii="Joost" w:hAnsi="Joost"/>
          <w:sz w:val="23"/>
          <w:szCs w:val="23"/>
        </w:rPr>
        <w:t>as pavėluotai, tačiau</w:t>
      </w:r>
      <w:r w:rsidR="00810599">
        <w:rPr>
          <w:rFonts w:ascii="Joost" w:hAnsi="Joost"/>
          <w:sz w:val="23"/>
          <w:szCs w:val="23"/>
        </w:rPr>
        <w:t xml:space="preserve">, </w:t>
      </w:r>
      <w:r w:rsidR="00810599" w:rsidRPr="00810599">
        <w:rPr>
          <w:rFonts w:ascii="Joost" w:hAnsi="Joost"/>
          <w:sz w:val="23"/>
          <w:szCs w:val="23"/>
        </w:rPr>
        <w:t xml:space="preserve">atsižvelgiant į klausimo turinį, </w:t>
      </w:r>
      <w:r w:rsidR="001E350E" w:rsidRPr="00166756">
        <w:rPr>
          <w:rFonts w:ascii="Joost" w:hAnsi="Joost"/>
          <w:sz w:val="23"/>
          <w:szCs w:val="23"/>
        </w:rPr>
        <w:t xml:space="preserve"> nagrinėtinas</w:t>
      </w:r>
      <w:r w:rsidRPr="00166756">
        <w:rPr>
          <w:rFonts w:ascii="Joost" w:hAnsi="Joost"/>
          <w:sz w:val="23"/>
          <w:szCs w:val="23"/>
        </w:rPr>
        <w:t>.</w:t>
      </w:r>
    </w:p>
    <w:p w14:paraId="70F481BD" w14:textId="044FFC90" w:rsidR="004724B7" w:rsidRPr="00166756" w:rsidRDefault="004724B7" w:rsidP="00166756">
      <w:pPr>
        <w:ind w:firstLine="720"/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hAnsi="Joost"/>
          <w:sz w:val="23"/>
          <w:szCs w:val="23"/>
        </w:rPr>
        <w:t>CPO LT viešojo pirkimo komisija (toliau – Komisija), vadovau</w:t>
      </w:r>
      <w:r w:rsidR="00C918C4" w:rsidRPr="00166756">
        <w:rPr>
          <w:rFonts w:ascii="Joost" w:hAnsi="Joost"/>
          <w:sz w:val="23"/>
          <w:szCs w:val="23"/>
        </w:rPr>
        <w:t>damasi</w:t>
      </w:r>
      <w:r w:rsidRPr="00166756">
        <w:rPr>
          <w:rFonts w:ascii="Joost" w:hAnsi="Joost"/>
          <w:sz w:val="23"/>
          <w:szCs w:val="23"/>
        </w:rPr>
        <w:t xml:space="preserve"> Lietuvos Respublikos viešųjų pirkimų įstatymo</w:t>
      </w:r>
      <w:r w:rsidR="00C918C4" w:rsidRPr="00166756">
        <w:rPr>
          <w:rFonts w:ascii="Joost" w:hAnsi="Joost"/>
          <w:sz w:val="23"/>
          <w:szCs w:val="23"/>
        </w:rPr>
        <w:t xml:space="preserve"> (toliau – VPĮ)</w:t>
      </w:r>
      <w:r w:rsidRPr="00166756">
        <w:rPr>
          <w:rFonts w:ascii="Joost" w:hAnsi="Joost"/>
          <w:sz w:val="23"/>
          <w:szCs w:val="23"/>
        </w:rPr>
        <w:t xml:space="preserve"> 36 str. 5 d.  ir Pirkimo dokumentų Bendrųjų sąlygų 5.2 p., teikia atsakym</w:t>
      </w:r>
      <w:r w:rsidR="001E350E" w:rsidRPr="00166756">
        <w:rPr>
          <w:rFonts w:ascii="Joost" w:hAnsi="Joost"/>
          <w:sz w:val="23"/>
          <w:szCs w:val="23"/>
        </w:rPr>
        <w:t>ą</w:t>
      </w:r>
      <w:r w:rsidRPr="00166756">
        <w:rPr>
          <w:rFonts w:ascii="Joost" w:hAnsi="Joost"/>
          <w:sz w:val="23"/>
          <w:szCs w:val="23"/>
        </w:rPr>
        <w:t xml:space="preserve"> į </w:t>
      </w:r>
      <w:r w:rsidR="00C918C4" w:rsidRPr="00166756">
        <w:rPr>
          <w:rFonts w:ascii="Joost" w:hAnsi="Joost"/>
          <w:sz w:val="23"/>
          <w:szCs w:val="23"/>
        </w:rPr>
        <w:t xml:space="preserve">paklausime </w:t>
      </w:r>
      <w:r w:rsidRPr="00166756">
        <w:rPr>
          <w:rFonts w:ascii="Joost" w:hAnsi="Joost"/>
          <w:sz w:val="23"/>
          <w:szCs w:val="23"/>
        </w:rPr>
        <w:t>pateikt</w:t>
      </w:r>
      <w:r w:rsidR="00096264">
        <w:rPr>
          <w:rFonts w:ascii="Joost" w:hAnsi="Joost"/>
          <w:sz w:val="23"/>
          <w:szCs w:val="23"/>
        </w:rPr>
        <w:t>ą</w:t>
      </w:r>
      <w:r w:rsidRPr="00166756">
        <w:rPr>
          <w:rFonts w:ascii="Joost" w:hAnsi="Joost"/>
          <w:sz w:val="23"/>
          <w:szCs w:val="23"/>
        </w:rPr>
        <w:t xml:space="preserve"> </w:t>
      </w:r>
      <w:r w:rsidR="00C918C4" w:rsidRPr="00166756">
        <w:rPr>
          <w:rFonts w:ascii="Joost" w:hAnsi="Joost"/>
          <w:sz w:val="23"/>
          <w:szCs w:val="23"/>
        </w:rPr>
        <w:t>klausim</w:t>
      </w:r>
      <w:r w:rsidR="00096264">
        <w:rPr>
          <w:rFonts w:ascii="Joost" w:hAnsi="Joost"/>
          <w:sz w:val="23"/>
          <w:szCs w:val="23"/>
        </w:rPr>
        <w:t>ą</w:t>
      </w:r>
      <w:r w:rsidRPr="00166756">
        <w:rPr>
          <w:rFonts w:ascii="Joost" w:hAnsi="Joost"/>
          <w:sz w:val="23"/>
          <w:szCs w:val="23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4B7" w:rsidRPr="009754FC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17F2ED1A" w:rsidR="004724B7" w:rsidRPr="009754FC" w:rsidRDefault="004724B7" w:rsidP="00166756">
            <w:pPr>
              <w:shd w:val="clear" w:color="auto" w:fill="DAE9F7" w:themeFill="text2" w:themeFillTint="1A"/>
              <w:rPr>
                <w:rFonts w:ascii="Joost" w:hAnsi="Joost" w:hint="eastAsia"/>
                <w:b/>
                <w:bCs/>
                <w:sz w:val="23"/>
                <w:szCs w:val="23"/>
                <w:lang w:val="lt-LT"/>
              </w:rPr>
            </w:pPr>
            <w:r w:rsidRPr="009754FC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Klausimas</w:t>
            </w:r>
            <w:r w:rsidR="001558F6" w:rsidRPr="009754FC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 xml:space="preserve"> </w:t>
            </w:r>
            <w:r w:rsidRPr="009754FC">
              <w:rPr>
                <w:rFonts w:ascii="Joost" w:hAnsi="Joost"/>
                <w:sz w:val="23"/>
                <w:szCs w:val="23"/>
                <w:lang w:val="lt-LT"/>
              </w:rPr>
              <w:t>(klausimo tekstas netaisytas)</w:t>
            </w:r>
          </w:p>
        </w:tc>
      </w:tr>
      <w:tr w:rsidR="004724B7" w:rsidRPr="009754FC" w14:paraId="7B2B4C43" w14:textId="77777777" w:rsidTr="008D0403">
        <w:trPr>
          <w:trHeight w:val="750"/>
        </w:trPr>
        <w:tc>
          <w:tcPr>
            <w:tcW w:w="9781" w:type="dxa"/>
            <w:shd w:val="clear" w:color="auto" w:fill="auto"/>
          </w:tcPr>
          <w:p w14:paraId="6567ACA3" w14:textId="77777777" w:rsidR="009754FC" w:rsidRPr="009754FC" w:rsidRDefault="00480276" w:rsidP="0048027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9754FC">
              <w:rPr>
                <w:rFonts w:ascii="Joost" w:hAnsi="Joost"/>
                <w:sz w:val="23"/>
                <w:szCs w:val="23"/>
                <w:lang w:val="lt-LT"/>
              </w:rPr>
              <w:t>Laba diena, gal dar galėtumėte patikslinti vieną iš Techninės Specifikacijos 2.1. Sistemos architektūra punktų.</w:t>
            </w:r>
          </w:p>
          <w:p w14:paraId="357A225A" w14:textId="77777777" w:rsidR="009754FC" w:rsidRPr="009754FC" w:rsidRDefault="00480276" w:rsidP="0048027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9754FC">
              <w:rPr>
                <w:rFonts w:ascii="Joost" w:hAnsi="Joost"/>
                <w:sz w:val="23"/>
                <w:szCs w:val="23"/>
                <w:lang w:val="lt-LT"/>
              </w:rPr>
              <w:t xml:space="preserve">"Turi būti galimybė sukonfigūruoti aukšto patikimumo (angl. </w:t>
            </w:r>
            <w:proofErr w:type="spellStart"/>
            <w:r w:rsidRPr="009754FC">
              <w:rPr>
                <w:rFonts w:ascii="Joost" w:hAnsi="Joost"/>
                <w:sz w:val="23"/>
                <w:szCs w:val="23"/>
                <w:lang w:val="lt-LT"/>
              </w:rPr>
              <w:t>High</w:t>
            </w:r>
            <w:proofErr w:type="spellEnd"/>
            <w:r w:rsidRPr="009754FC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9754FC">
              <w:rPr>
                <w:rFonts w:ascii="Joost" w:hAnsi="Joost"/>
                <w:sz w:val="23"/>
                <w:szCs w:val="23"/>
                <w:lang w:val="lt-LT"/>
              </w:rPr>
              <w:t>Availability</w:t>
            </w:r>
            <w:proofErr w:type="spellEnd"/>
            <w:r w:rsidRPr="009754FC">
              <w:rPr>
                <w:rFonts w:ascii="Joost" w:hAnsi="Joost"/>
                <w:sz w:val="23"/>
                <w:szCs w:val="23"/>
                <w:lang w:val="lt-LT"/>
              </w:rPr>
              <w:t>) klasterį."</w:t>
            </w:r>
          </w:p>
          <w:p w14:paraId="3E9E97F8" w14:textId="01B5C603" w:rsidR="00480276" w:rsidRPr="009754FC" w:rsidRDefault="00480276" w:rsidP="0048027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9754FC">
              <w:rPr>
                <w:rFonts w:ascii="Joost" w:hAnsi="Joost"/>
                <w:sz w:val="23"/>
                <w:szCs w:val="23"/>
                <w:lang w:val="lt-LT"/>
              </w:rPr>
              <w:t xml:space="preserve">Ar turima omenyje, kad sistema turi būti aukšto patikimumo ar, kad turi turėti galimybę ateityje pereiti prie </w:t>
            </w:r>
            <w:proofErr w:type="spellStart"/>
            <w:r w:rsidRPr="009754FC">
              <w:rPr>
                <w:rFonts w:ascii="Joost" w:hAnsi="Joost"/>
                <w:sz w:val="23"/>
                <w:szCs w:val="23"/>
                <w:lang w:val="lt-LT"/>
              </w:rPr>
              <w:t>High</w:t>
            </w:r>
            <w:proofErr w:type="spellEnd"/>
            <w:r w:rsidRPr="009754FC">
              <w:rPr>
                <w:rFonts w:ascii="Joost" w:hAnsi="Joost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9754FC">
              <w:rPr>
                <w:rFonts w:ascii="Joost" w:hAnsi="Joost"/>
                <w:sz w:val="23"/>
                <w:szCs w:val="23"/>
                <w:lang w:val="lt-LT"/>
              </w:rPr>
              <w:t>Availability</w:t>
            </w:r>
            <w:proofErr w:type="spellEnd"/>
            <w:r w:rsidRPr="009754FC">
              <w:rPr>
                <w:rFonts w:ascii="Joost" w:hAnsi="Joost"/>
                <w:sz w:val="23"/>
                <w:szCs w:val="23"/>
                <w:lang w:val="lt-LT"/>
              </w:rPr>
              <w:t xml:space="preserve"> ?</w:t>
            </w:r>
          </w:p>
          <w:p w14:paraId="67C0E70F" w14:textId="1209A5EC" w:rsidR="00480276" w:rsidRPr="009754FC" w:rsidRDefault="00480276" w:rsidP="0048027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9754FC">
              <w:rPr>
                <w:rFonts w:ascii="Joost" w:hAnsi="Joost"/>
                <w:sz w:val="23"/>
                <w:szCs w:val="23"/>
                <w:lang w:val="lt-LT"/>
              </w:rPr>
              <w:t>Tai smarkiai įtakoją sprendimo kainą.</w:t>
            </w:r>
          </w:p>
          <w:p w14:paraId="5A4A9B0E" w14:textId="22D0D159" w:rsidR="004724B7" w:rsidRPr="009754FC" w:rsidRDefault="004724B7" w:rsidP="00166756">
            <w:pPr>
              <w:tabs>
                <w:tab w:val="num" w:pos="462"/>
              </w:tabs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</w:p>
        </w:tc>
      </w:tr>
      <w:tr w:rsidR="004724B7" w:rsidRPr="009754FC" w14:paraId="3D3F5DDE" w14:textId="77777777" w:rsidTr="00C90B7F">
        <w:trPr>
          <w:trHeight w:val="366"/>
        </w:trPr>
        <w:tc>
          <w:tcPr>
            <w:tcW w:w="9781" w:type="dxa"/>
            <w:shd w:val="clear" w:color="auto" w:fill="C1E4F5" w:themeFill="accent1" w:themeFillTint="33"/>
          </w:tcPr>
          <w:p w14:paraId="4719A0EC" w14:textId="77777777" w:rsidR="004724B7" w:rsidRPr="009754FC" w:rsidRDefault="004724B7" w:rsidP="00166756">
            <w:pPr>
              <w:shd w:val="clear" w:color="auto" w:fill="DAE9F7" w:themeFill="text2" w:themeFillTint="1A"/>
              <w:jc w:val="both"/>
              <w:rPr>
                <w:rFonts w:ascii="Joost" w:hAnsi="Joost" w:hint="eastAsia"/>
                <w:sz w:val="23"/>
                <w:szCs w:val="23"/>
                <w:lang w:val="lt-LT"/>
              </w:rPr>
            </w:pPr>
            <w:r w:rsidRPr="009754FC">
              <w:rPr>
                <w:rFonts w:ascii="Joost" w:hAnsi="Joost"/>
                <w:b/>
                <w:bCs/>
                <w:sz w:val="23"/>
                <w:szCs w:val="23"/>
                <w:lang w:val="lt-LT"/>
              </w:rPr>
              <w:t>Atsakymas</w:t>
            </w:r>
          </w:p>
        </w:tc>
      </w:tr>
      <w:tr w:rsidR="004724B7" w:rsidRPr="009754FC" w14:paraId="14FF951C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56FA277" w14:textId="77777777" w:rsidR="009754FC" w:rsidRPr="009754FC" w:rsidRDefault="009754FC" w:rsidP="009754FC">
            <w:pPr>
              <w:tabs>
                <w:tab w:val="left" w:pos="426"/>
              </w:tabs>
              <w:jc w:val="both"/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</w:pPr>
            <w:r w:rsidRPr="009754F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Sistema turi leisti sukonfigūruoti aukšto patikimumo (angl. </w:t>
            </w:r>
            <w:proofErr w:type="spellStart"/>
            <w:r w:rsidRPr="009754F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High</w:t>
            </w:r>
            <w:proofErr w:type="spellEnd"/>
            <w:r w:rsidRPr="009754F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9754F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Availability</w:t>
            </w:r>
            <w:proofErr w:type="spellEnd"/>
            <w:r w:rsidRPr="009754FC"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  <w:t>) klasterį be papildomų licencijų įsigijimo.</w:t>
            </w:r>
          </w:p>
          <w:p w14:paraId="4300E936" w14:textId="2240264A" w:rsidR="00DE357B" w:rsidRPr="009754FC" w:rsidRDefault="00DE357B" w:rsidP="00B44844">
            <w:pPr>
              <w:tabs>
                <w:tab w:val="left" w:pos="426"/>
              </w:tabs>
              <w:jc w:val="both"/>
              <w:rPr>
                <w:rFonts w:ascii="Joost" w:eastAsia="Times New Roman" w:hAnsi="Joost"/>
                <w:kern w:val="2"/>
                <w:sz w:val="23"/>
                <w:szCs w:val="23"/>
                <w:lang w:val="lt-LT"/>
              </w:rPr>
            </w:pPr>
          </w:p>
        </w:tc>
      </w:tr>
    </w:tbl>
    <w:p w14:paraId="2C081A81" w14:textId="77777777" w:rsidR="004724B7" w:rsidRPr="00166756" w:rsidRDefault="004724B7" w:rsidP="00166756">
      <w:pPr>
        <w:tabs>
          <w:tab w:val="left" w:pos="1605"/>
        </w:tabs>
        <w:rPr>
          <w:rFonts w:ascii="Joost" w:hAnsi="Joost" w:hint="eastAsia"/>
          <w:sz w:val="23"/>
          <w:szCs w:val="23"/>
        </w:rPr>
      </w:pPr>
    </w:p>
    <w:p w14:paraId="7D8C64B3" w14:textId="66105781" w:rsidR="00C90B7F" w:rsidRPr="00166756" w:rsidRDefault="00C90B7F" w:rsidP="002026AC">
      <w:pPr>
        <w:tabs>
          <w:tab w:val="left" w:pos="567"/>
          <w:tab w:val="left" w:pos="851"/>
          <w:tab w:val="left" w:pos="992"/>
          <w:tab w:val="left" w:pos="1134"/>
        </w:tabs>
        <w:jc w:val="both"/>
        <w:textAlignment w:val="center"/>
        <w:rPr>
          <w:rFonts w:ascii="Joost" w:hAnsi="Joost" w:hint="eastAsia"/>
          <w:b/>
          <w:bCs/>
          <w:sz w:val="23"/>
          <w:szCs w:val="23"/>
        </w:rPr>
      </w:pPr>
      <w:r w:rsidRPr="00166756">
        <w:rPr>
          <w:rFonts w:ascii="Joost" w:hAnsi="Joost"/>
          <w:noProof/>
          <w:sz w:val="23"/>
          <w:szCs w:val="23"/>
        </w:rPr>
        <w:t xml:space="preserve">Atsižvelgiant į aukščiau nurodytas aplinkybes, pranešame, kad </w:t>
      </w:r>
      <w:r w:rsidRPr="00166756">
        <w:rPr>
          <w:rFonts w:ascii="Joost" w:hAnsi="Joost"/>
          <w:sz w:val="23"/>
          <w:szCs w:val="23"/>
        </w:rPr>
        <w:t>vadovaujantis VPĮ  40 str. 4  d.</w:t>
      </w:r>
      <w:r w:rsidR="00096264">
        <w:rPr>
          <w:rFonts w:ascii="Joost" w:hAnsi="Joost"/>
          <w:sz w:val="23"/>
          <w:szCs w:val="23"/>
        </w:rPr>
        <w:t xml:space="preserve"> 1 p.</w:t>
      </w:r>
      <w:r w:rsidRPr="00166756">
        <w:rPr>
          <w:rFonts w:ascii="Joost" w:hAnsi="Joost"/>
          <w:sz w:val="23"/>
          <w:szCs w:val="23"/>
        </w:rPr>
        <w:t xml:space="preserve"> ir 5 d. ir Pirkimo dokumentų Bendrųjų sąlygų 5.3 p., </w:t>
      </w:r>
      <w:r w:rsidR="005B3585" w:rsidRPr="00166756">
        <w:rPr>
          <w:rFonts w:ascii="Joost" w:hAnsi="Joost"/>
          <w:sz w:val="23"/>
          <w:szCs w:val="23"/>
        </w:rPr>
        <w:t xml:space="preserve">buvo </w:t>
      </w:r>
      <w:r w:rsidR="00073A6D" w:rsidRPr="00166756">
        <w:rPr>
          <w:rFonts w:ascii="Joost" w:hAnsi="Joost"/>
          <w:b/>
          <w:bCs/>
          <w:sz w:val="23"/>
          <w:szCs w:val="23"/>
        </w:rPr>
        <w:t>priimtas sprendimas</w:t>
      </w:r>
      <w:r w:rsidRPr="00166756">
        <w:rPr>
          <w:rFonts w:ascii="Joost" w:hAnsi="Joost"/>
          <w:b/>
          <w:bCs/>
          <w:sz w:val="23"/>
          <w:szCs w:val="23"/>
        </w:rPr>
        <w:t xml:space="preserve"> nukelti pasiūlymų pateikimo terminą iki </w:t>
      </w:r>
      <w:r w:rsidR="00073A6D" w:rsidRPr="00166756">
        <w:rPr>
          <w:rFonts w:ascii="Joost" w:hAnsi="Joost"/>
          <w:b/>
          <w:bCs/>
          <w:sz w:val="23"/>
          <w:szCs w:val="23"/>
        </w:rPr>
        <w:t xml:space="preserve">2025 m. </w:t>
      </w:r>
      <w:r w:rsidR="00166756" w:rsidRPr="00166756">
        <w:rPr>
          <w:rFonts w:ascii="Joost" w:hAnsi="Joost"/>
          <w:b/>
          <w:bCs/>
          <w:sz w:val="23"/>
          <w:szCs w:val="23"/>
        </w:rPr>
        <w:t xml:space="preserve">birželio </w:t>
      </w:r>
      <w:r w:rsidR="009754FC">
        <w:rPr>
          <w:rFonts w:ascii="Joost" w:hAnsi="Joost"/>
          <w:b/>
          <w:bCs/>
          <w:sz w:val="23"/>
          <w:szCs w:val="23"/>
        </w:rPr>
        <w:t>30</w:t>
      </w:r>
      <w:r w:rsidRPr="00166756">
        <w:rPr>
          <w:rFonts w:ascii="Joost" w:hAnsi="Joost"/>
          <w:b/>
          <w:bCs/>
          <w:sz w:val="23"/>
          <w:szCs w:val="23"/>
        </w:rPr>
        <w:t xml:space="preserve"> d. 9</w:t>
      </w:r>
      <w:r w:rsidR="00166756" w:rsidRPr="00166756">
        <w:rPr>
          <w:rFonts w:ascii="Joost" w:hAnsi="Joost"/>
          <w:b/>
          <w:bCs/>
          <w:sz w:val="23"/>
          <w:szCs w:val="23"/>
        </w:rPr>
        <w:t>:</w:t>
      </w:r>
      <w:r w:rsidRPr="00166756">
        <w:rPr>
          <w:rFonts w:ascii="Joost" w:hAnsi="Joost"/>
          <w:b/>
          <w:bCs/>
          <w:sz w:val="23"/>
          <w:szCs w:val="23"/>
        </w:rPr>
        <w:t>00 val.</w:t>
      </w:r>
    </w:p>
    <w:p w14:paraId="6A4CED60" w14:textId="7EE190DB" w:rsidR="002026AC" w:rsidRPr="002026AC" w:rsidRDefault="002026AC" w:rsidP="002026A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Joost" w:hAnsi="Joost"/>
          <w:sz w:val="23"/>
          <w:szCs w:val="23"/>
          <w:lang w:val="lt-LT"/>
        </w:rPr>
      </w:pPr>
      <w:r w:rsidRPr="002026AC">
        <w:rPr>
          <w:rFonts w:ascii="Joost" w:hAnsi="Joost"/>
          <w:sz w:val="23"/>
          <w:szCs w:val="23"/>
          <w:lang w:val="lt-LT"/>
        </w:rPr>
        <w:t>Taip pat pratęsiamas prašymo paaiškinti, patikslinti pirkimo sąlygas terminas iki 2025-06-</w:t>
      </w:r>
      <w:r w:rsidR="00175E78">
        <w:rPr>
          <w:rFonts w:ascii="Joost" w:hAnsi="Joost"/>
          <w:sz w:val="23"/>
          <w:szCs w:val="23"/>
          <w:lang w:val="lt-LT"/>
        </w:rPr>
        <w:t>20</w:t>
      </w:r>
      <w:r w:rsidRPr="002026AC">
        <w:rPr>
          <w:rFonts w:ascii="Joost" w:hAnsi="Joost"/>
          <w:sz w:val="23"/>
          <w:szCs w:val="23"/>
          <w:lang w:val="lt-LT"/>
        </w:rPr>
        <w:t xml:space="preserve"> imtinai</w:t>
      </w:r>
      <w:r>
        <w:rPr>
          <w:rFonts w:ascii="Joost" w:hAnsi="Joost"/>
          <w:sz w:val="23"/>
          <w:szCs w:val="23"/>
          <w:lang w:val="lt-LT"/>
        </w:rPr>
        <w:t>.</w:t>
      </w:r>
    </w:p>
    <w:p w14:paraId="0E001EEA" w14:textId="77777777" w:rsidR="00C90B7F" w:rsidRPr="00166756" w:rsidRDefault="00C90B7F" w:rsidP="0016675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Joost" w:hAnsi="Joost"/>
          <w:sz w:val="23"/>
          <w:szCs w:val="23"/>
          <w:lang w:val="lt-LT"/>
        </w:rPr>
      </w:pPr>
    </w:p>
    <w:p w14:paraId="35AEC276" w14:textId="097E0322" w:rsidR="00C90B7F" w:rsidRPr="00166756" w:rsidRDefault="00C90B7F" w:rsidP="00166756">
      <w:pPr>
        <w:pStyle w:val="FreeForm"/>
        <w:ind w:firstLine="709"/>
        <w:jc w:val="both"/>
        <w:rPr>
          <w:rFonts w:ascii="Joost" w:hAnsi="Joost" w:cs="Times New Roman" w:hint="eastAsia"/>
          <w:b/>
          <w:bCs/>
          <w:color w:val="auto"/>
          <w:sz w:val="23"/>
          <w:szCs w:val="23"/>
          <w:lang w:val="lt-LT"/>
        </w:rPr>
      </w:pPr>
    </w:p>
    <w:p w14:paraId="2FC7F03D" w14:textId="20D198AA" w:rsidR="004724B7" w:rsidRPr="00166756" w:rsidRDefault="004724B7" w:rsidP="00166756">
      <w:pPr>
        <w:tabs>
          <w:tab w:val="left" w:pos="1605"/>
        </w:tabs>
        <w:jc w:val="both"/>
        <w:rPr>
          <w:rFonts w:ascii="Joost" w:eastAsia="Times New Roman" w:hAnsi="Joost"/>
          <w:color w:val="000000"/>
          <w:sz w:val="23"/>
          <w:szCs w:val="23"/>
        </w:rPr>
      </w:pPr>
      <w:r w:rsidRPr="00166756">
        <w:rPr>
          <w:rFonts w:ascii="Joost" w:eastAsia="Times New Roman" w:hAnsi="Joost"/>
          <w:color w:val="000000"/>
          <w:sz w:val="23"/>
          <w:szCs w:val="23"/>
        </w:rPr>
        <w:t>Pagarbiai</w:t>
      </w:r>
    </w:p>
    <w:p w14:paraId="24581294" w14:textId="77777777" w:rsidR="004724B7" w:rsidRPr="00166756" w:rsidRDefault="004724B7" w:rsidP="00166756">
      <w:pPr>
        <w:tabs>
          <w:tab w:val="left" w:pos="1605"/>
        </w:tabs>
        <w:jc w:val="both"/>
        <w:rPr>
          <w:rFonts w:ascii="Joost" w:eastAsia="Times New Roman" w:hAnsi="Joost"/>
          <w:color w:val="000000"/>
          <w:sz w:val="23"/>
          <w:szCs w:val="23"/>
        </w:rPr>
      </w:pPr>
    </w:p>
    <w:p w14:paraId="61CD7701" w14:textId="77777777" w:rsidR="004724B7" w:rsidRPr="00166756" w:rsidRDefault="004724B7" w:rsidP="00166756">
      <w:pPr>
        <w:tabs>
          <w:tab w:val="left" w:pos="1605"/>
        </w:tabs>
        <w:jc w:val="both"/>
        <w:rPr>
          <w:rFonts w:ascii="Joost" w:hAnsi="Joost" w:hint="eastAsia"/>
          <w:sz w:val="23"/>
          <w:szCs w:val="23"/>
        </w:rPr>
      </w:pPr>
      <w:r w:rsidRPr="00166756">
        <w:rPr>
          <w:rFonts w:ascii="Joost" w:eastAsia="Times New Roman" w:hAnsi="Joost"/>
          <w:color w:val="000000"/>
          <w:sz w:val="23"/>
          <w:szCs w:val="23"/>
        </w:rPr>
        <w:t>Komisija</w:t>
      </w:r>
    </w:p>
    <w:p w14:paraId="7478A476" w14:textId="2A21FEEE" w:rsidR="00E4040A" w:rsidRPr="002026AC" w:rsidRDefault="00E4040A" w:rsidP="002026AC">
      <w:pPr>
        <w:pStyle w:val="FreeForm"/>
        <w:rPr>
          <w:rFonts w:ascii="Joost" w:hAnsi="Joost" w:cs="Times New Roman" w:hint="eastAsia"/>
          <w:color w:val="auto"/>
          <w:sz w:val="23"/>
          <w:szCs w:val="23"/>
          <w:lang w:val="lt-LT"/>
        </w:rPr>
      </w:pPr>
    </w:p>
    <w:sectPr w:rsidR="00E4040A" w:rsidRPr="002026AC" w:rsidSect="000F17D6">
      <w:headerReference w:type="default" r:id="rId6"/>
      <w:footerReference w:type="default" r:id="rId7"/>
      <w:headerReference w:type="first" r:id="rId8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5FF7" w14:textId="77777777" w:rsidR="00D71105" w:rsidRDefault="00D71105" w:rsidP="000F17D6">
      <w:r>
        <w:separator/>
      </w:r>
    </w:p>
  </w:endnote>
  <w:endnote w:type="continuationSeparator" w:id="0">
    <w:p w14:paraId="28E101A4" w14:textId="77777777" w:rsidR="00D71105" w:rsidRDefault="00D71105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5FC9" w14:textId="77777777" w:rsidR="00D71105" w:rsidRDefault="00D71105" w:rsidP="000F17D6">
      <w:r>
        <w:separator/>
      </w:r>
    </w:p>
  </w:footnote>
  <w:footnote w:type="continuationSeparator" w:id="0">
    <w:p w14:paraId="110B916D" w14:textId="77777777" w:rsidR="00D71105" w:rsidRDefault="00D71105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41920"/>
    <w:rsid w:val="0004747E"/>
    <w:rsid w:val="00051BE0"/>
    <w:rsid w:val="000673B7"/>
    <w:rsid w:val="00073A6D"/>
    <w:rsid w:val="00076A84"/>
    <w:rsid w:val="000841CC"/>
    <w:rsid w:val="00095D5F"/>
    <w:rsid w:val="00096264"/>
    <w:rsid w:val="000F17D6"/>
    <w:rsid w:val="000F3B8C"/>
    <w:rsid w:val="001276CB"/>
    <w:rsid w:val="001330B6"/>
    <w:rsid w:val="001558F6"/>
    <w:rsid w:val="00166756"/>
    <w:rsid w:val="00175E78"/>
    <w:rsid w:val="00176ABC"/>
    <w:rsid w:val="00180221"/>
    <w:rsid w:val="001829EE"/>
    <w:rsid w:val="00192DEF"/>
    <w:rsid w:val="001954C2"/>
    <w:rsid w:val="001E350E"/>
    <w:rsid w:val="001F2EAE"/>
    <w:rsid w:val="002026AC"/>
    <w:rsid w:val="00240BAB"/>
    <w:rsid w:val="00270136"/>
    <w:rsid w:val="0027706E"/>
    <w:rsid w:val="00283410"/>
    <w:rsid w:val="00300312"/>
    <w:rsid w:val="00301353"/>
    <w:rsid w:val="00322AFC"/>
    <w:rsid w:val="00362939"/>
    <w:rsid w:val="0036750A"/>
    <w:rsid w:val="00376B34"/>
    <w:rsid w:val="00376FF7"/>
    <w:rsid w:val="003B217B"/>
    <w:rsid w:val="003B610D"/>
    <w:rsid w:val="003B6880"/>
    <w:rsid w:val="003D08CE"/>
    <w:rsid w:val="003D2882"/>
    <w:rsid w:val="003D74F0"/>
    <w:rsid w:val="003E5200"/>
    <w:rsid w:val="003E6BB5"/>
    <w:rsid w:val="00415F0A"/>
    <w:rsid w:val="00445645"/>
    <w:rsid w:val="004476C6"/>
    <w:rsid w:val="00453909"/>
    <w:rsid w:val="004657AE"/>
    <w:rsid w:val="004724B7"/>
    <w:rsid w:val="00480276"/>
    <w:rsid w:val="0048126B"/>
    <w:rsid w:val="004841E0"/>
    <w:rsid w:val="00490A3C"/>
    <w:rsid w:val="00494CBC"/>
    <w:rsid w:val="004A5103"/>
    <w:rsid w:val="004B4774"/>
    <w:rsid w:val="004B73A5"/>
    <w:rsid w:val="004F6AD6"/>
    <w:rsid w:val="0051460F"/>
    <w:rsid w:val="00516562"/>
    <w:rsid w:val="00524B8D"/>
    <w:rsid w:val="005642C6"/>
    <w:rsid w:val="005B23E8"/>
    <w:rsid w:val="005B3585"/>
    <w:rsid w:val="00625902"/>
    <w:rsid w:val="006810B3"/>
    <w:rsid w:val="006862E0"/>
    <w:rsid w:val="006908B5"/>
    <w:rsid w:val="006A3975"/>
    <w:rsid w:val="00717D5C"/>
    <w:rsid w:val="007254B9"/>
    <w:rsid w:val="007271E9"/>
    <w:rsid w:val="007642B2"/>
    <w:rsid w:val="007706F7"/>
    <w:rsid w:val="00774325"/>
    <w:rsid w:val="007772DB"/>
    <w:rsid w:val="00791E5F"/>
    <w:rsid w:val="007C7652"/>
    <w:rsid w:val="007F0445"/>
    <w:rsid w:val="007F072F"/>
    <w:rsid w:val="00804584"/>
    <w:rsid w:val="0080655C"/>
    <w:rsid w:val="00810599"/>
    <w:rsid w:val="00811008"/>
    <w:rsid w:val="0081367D"/>
    <w:rsid w:val="00820464"/>
    <w:rsid w:val="00860FEB"/>
    <w:rsid w:val="00876EDD"/>
    <w:rsid w:val="008814A7"/>
    <w:rsid w:val="0088508D"/>
    <w:rsid w:val="008A3DD2"/>
    <w:rsid w:val="008B7D17"/>
    <w:rsid w:val="00901F52"/>
    <w:rsid w:val="00913764"/>
    <w:rsid w:val="00915E5F"/>
    <w:rsid w:val="00933D80"/>
    <w:rsid w:val="00940C42"/>
    <w:rsid w:val="00940E74"/>
    <w:rsid w:val="00943813"/>
    <w:rsid w:val="00946706"/>
    <w:rsid w:val="009754FC"/>
    <w:rsid w:val="00976F43"/>
    <w:rsid w:val="0099250F"/>
    <w:rsid w:val="00992541"/>
    <w:rsid w:val="009A4453"/>
    <w:rsid w:val="009A6FF3"/>
    <w:rsid w:val="009A7E52"/>
    <w:rsid w:val="009C1FAF"/>
    <w:rsid w:val="009E5672"/>
    <w:rsid w:val="009F3B08"/>
    <w:rsid w:val="00A1363C"/>
    <w:rsid w:val="00A25314"/>
    <w:rsid w:val="00A67D15"/>
    <w:rsid w:val="00A71CBF"/>
    <w:rsid w:val="00A7668B"/>
    <w:rsid w:val="00A831FB"/>
    <w:rsid w:val="00A84892"/>
    <w:rsid w:val="00AB476D"/>
    <w:rsid w:val="00AB7038"/>
    <w:rsid w:val="00AC0DC4"/>
    <w:rsid w:val="00AD7067"/>
    <w:rsid w:val="00AE3A88"/>
    <w:rsid w:val="00B44844"/>
    <w:rsid w:val="00B62F87"/>
    <w:rsid w:val="00B635A5"/>
    <w:rsid w:val="00B77E46"/>
    <w:rsid w:val="00B92644"/>
    <w:rsid w:val="00BC39CD"/>
    <w:rsid w:val="00BC4BBB"/>
    <w:rsid w:val="00BD61F3"/>
    <w:rsid w:val="00BE7716"/>
    <w:rsid w:val="00C0001C"/>
    <w:rsid w:val="00C04902"/>
    <w:rsid w:val="00C36859"/>
    <w:rsid w:val="00C83F41"/>
    <w:rsid w:val="00C868FA"/>
    <w:rsid w:val="00C90B7F"/>
    <w:rsid w:val="00C918C4"/>
    <w:rsid w:val="00CB1263"/>
    <w:rsid w:val="00CB6EAD"/>
    <w:rsid w:val="00CD1404"/>
    <w:rsid w:val="00CE0EA3"/>
    <w:rsid w:val="00CE0F7C"/>
    <w:rsid w:val="00D163F3"/>
    <w:rsid w:val="00D71105"/>
    <w:rsid w:val="00D76D72"/>
    <w:rsid w:val="00DA0901"/>
    <w:rsid w:val="00DB5547"/>
    <w:rsid w:val="00DC4224"/>
    <w:rsid w:val="00DC75CC"/>
    <w:rsid w:val="00DD4DA4"/>
    <w:rsid w:val="00DE0558"/>
    <w:rsid w:val="00DE0A01"/>
    <w:rsid w:val="00DE357B"/>
    <w:rsid w:val="00DF0B28"/>
    <w:rsid w:val="00DF3CE3"/>
    <w:rsid w:val="00E04159"/>
    <w:rsid w:val="00E27A21"/>
    <w:rsid w:val="00E4040A"/>
    <w:rsid w:val="00E62888"/>
    <w:rsid w:val="00E65F29"/>
    <w:rsid w:val="00E806E2"/>
    <w:rsid w:val="00E80C6C"/>
    <w:rsid w:val="00E9653F"/>
    <w:rsid w:val="00ED5612"/>
    <w:rsid w:val="00EE5266"/>
    <w:rsid w:val="00F36B90"/>
    <w:rsid w:val="00F37442"/>
    <w:rsid w:val="00F52AEA"/>
    <w:rsid w:val="00F67EB9"/>
    <w:rsid w:val="00F71DC1"/>
    <w:rsid w:val="00F91071"/>
    <w:rsid w:val="00F9235A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DE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Edita Ališauskaitė Vorožeikinienė</cp:lastModifiedBy>
  <cp:revision>2</cp:revision>
  <dcterms:created xsi:type="dcterms:W3CDTF">2025-06-20T07:45:00Z</dcterms:created>
  <dcterms:modified xsi:type="dcterms:W3CDTF">2025-06-20T07:45:00Z</dcterms:modified>
</cp:coreProperties>
</file>