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0DBC24" w14:textId="5594B409" w:rsidR="00070DBB" w:rsidRDefault="00070DBB" w:rsidP="00070DBB">
      <w:pPr>
        <w:tabs>
          <w:tab w:val="left" w:pos="1134"/>
        </w:tabs>
        <w:rPr>
          <w:rFonts w:ascii="Verdana" w:hAnsi="Verdana"/>
          <w:b/>
          <w:bCs/>
          <w:sz w:val="20"/>
        </w:rPr>
      </w:pPr>
      <w:r w:rsidRPr="004D0226">
        <w:rPr>
          <w:rFonts w:ascii="Verdana" w:hAnsi="Verdana"/>
          <w:b/>
          <w:bCs/>
          <w:sz w:val="20"/>
        </w:rPr>
        <w:t xml:space="preserve">DĖL </w:t>
      </w:r>
      <w:r w:rsidR="0073381C" w:rsidRPr="004D0226">
        <w:rPr>
          <w:rFonts w:ascii="Verdana" w:hAnsi="Verdana"/>
          <w:b/>
          <w:bCs/>
          <w:sz w:val="20"/>
        </w:rPr>
        <w:t>PIRKIMO SĄLYGŲ PAAIŠKINIMO</w:t>
      </w:r>
    </w:p>
    <w:p w14:paraId="7684AA65" w14:textId="77777777" w:rsidR="004D0226" w:rsidRDefault="004D0226" w:rsidP="00070DBB">
      <w:pPr>
        <w:tabs>
          <w:tab w:val="left" w:pos="1134"/>
        </w:tabs>
        <w:rPr>
          <w:rFonts w:ascii="Verdana" w:hAnsi="Verdana"/>
          <w:b/>
          <w:bCs/>
          <w:sz w:val="20"/>
        </w:rPr>
      </w:pPr>
    </w:p>
    <w:p w14:paraId="6FF54CCC" w14:textId="7286581C" w:rsidR="004D0226" w:rsidRPr="00FF05EF" w:rsidRDefault="004D0226" w:rsidP="004D0226">
      <w:pPr>
        <w:tabs>
          <w:tab w:val="left" w:pos="1134"/>
        </w:tabs>
        <w:ind w:firstLine="567"/>
        <w:jc w:val="both"/>
        <w:rPr>
          <w:rFonts w:ascii="Verdana" w:hAnsi="Verdana"/>
          <w:sz w:val="20"/>
        </w:rPr>
      </w:pPr>
      <w:r w:rsidRPr="00FF05EF">
        <w:rPr>
          <w:rFonts w:ascii="Verdana" w:hAnsi="Verdana"/>
          <w:sz w:val="20"/>
        </w:rPr>
        <w:t xml:space="preserve">VšĮ Lietuvos nacionalinis radijas ir televizija (toliau – Perkančioji organizacija arba LRT) vykdo supaprastintą </w:t>
      </w:r>
      <w:r w:rsidR="00BA4793" w:rsidRPr="004E11FA">
        <w:rPr>
          <w:rFonts w:ascii="Verdana" w:hAnsi="Verdana"/>
          <w:i/>
          <w:iCs/>
          <w:sz w:val="20"/>
        </w:rPr>
        <w:t>Personalo valdymo ir darbo užmokesčio apskaitos sistemos nuomos, vystymo ir palaikymo paslaugų</w:t>
      </w:r>
      <w:r w:rsidR="00BA4793">
        <w:rPr>
          <w:rFonts w:ascii="Verdana" w:hAnsi="Verdana"/>
          <w:sz w:val="20"/>
        </w:rPr>
        <w:t xml:space="preserve"> </w:t>
      </w:r>
      <w:r w:rsidRPr="00FF05EF">
        <w:rPr>
          <w:rFonts w:ascii="Verdana" w:hAnsi="Verdana"/>
          <w:sz w:val="20"/>
        </w:rPr>
        <w:t xml:space="preserve">pirkimą atviro konkurso būdu (pirkimo Nr. </w:t>
      </w:r>
      <w:r w:rsidR="00BA4793" w:rsidRPr="00BA4793">
        <w:rPr>
          <w:rFonts w:ascii="Verdana" w:hAnsi="Verdana"/>
          <w:sz w:val="20"/>
        </w:rPr>
        <w:t>3051218</w:t>
      </w:r>
      <w:r w:rsidRPr="00FF05EF">
        <w:rPr>
          <w:rFonts w:ascii="Verdana" w:hAnsi="Verdana"/>
          <w:sz w:val="20"/>
        </w:rPr>
        <w:t>).</w:t>
      </w:r>
    </w:p>
    <w:p w14:paraId="30901656" w14:textId="77777777" w:rsidR="004D0226" w:rsidRPr="00FF05EF" w:rsidRDefault="004D0226" w:rsidP="004D0226">
      <w:pPr>
        <w:ind w:firstLine="567"/>
        <w:jc w:val="both"/>
        <w:rPr>
          <w:rFonts w:ascii="Verdana" w:hAnsi="Verdana"/>
          <w:noProof/>
          <w:sz w:val="20"/>
        </w:rPr>
      </w:pPr>
    </w:p>
    <w:p w14:paraId="7F963F12" w14:textId="7EC63566" w:rsidR="00807A7C" w:rsidRPr="004D0226" w:rsidRDefault="004D0226" w:rsidP="004E11FA">
      <w:pPr>
        <w:spacing w:after="120"/>
        <w:ind w:firstLine="567"/>
        <w:jc w:val="both"/>
        <w:rPr>
          <w:rFonts w:ascii="Verdana" w:hAnsi="Verdana"/>
          <w:noProof/>
          <w:sz w:val="20"/>
        </w:rPr>
      </w:pPr>
      <w:r w:rsidRPr="00FF05EF">
        <w:rPr>
          <w:rFonts w:ascii="Verdana" w:hAnsi="Verdana"/>
          <w:noProof/>
          <w:sz w:val="20"/>
        </w:rPr>
        <w:t>Informuojame, kad Perkančioji organizacija 202</w:t>
      </w:r>
      <w:r w:rsidR="002C1F27">
        <w:rPr>
          <w:rFonts w:ascii="Verdana" w:hAnsi="Verdana"/>
          <w:noProof/>
          <w:sz w:val="20"/>
        </w:rPr>
        <w:t xml:space="preserve">5 </w:t>
      </w:r>
      <w:r w:rsidRPr="00FF05EF">
        <w:rPr>
          <w:rFonts w:ascii="Verdana" w:hAnsi="Verdana"/>
          <w:noProof/>
          <w:sz w:val="20"/>
        </w:rPr>
        <w:t xml:space="preserve">m. </w:t>
      </w:r>
      <w:r w:rsidR="00BA4793">
        <w:rPr>
          <w:rFonts w:ascii="Verdana" w:hAnsi="Verdana"/>
          <w:noProof/>
          <w:sz w:val="20"/>
        </w:rPr>
        <w:t>birželio 1</w:t>
      </w:r>
      <w:r w:rsidR="004E11FA">
        <w:rPr>
          <w:rFonts w:ascii="Verdana" w:hAnsi="Verdana"/>
          <w:noProof/>
          <w:sz w:val="20"/>
        </w:rPr>
        <w:t>8</w:t>
      </w:r>
      <w:r w:rsidR="00BA4793">
        <w:rPr>
          <w:rFonts w:ascii="Verdana" w:hAnsi="Verdana"/>
          <w:noProof/>
          <w:sz w:val="20"/>
        </w:rPr>
        <w:t xml:space="preserve"> </w:t>
      </w:r>
      <w:r w:rsidR="00C91337">
        <w:rPr>
          <w:rFonts w:ascii="Verdana" w:hAnsi="Verdana"/>
          <w:noProof/>
          <w:sz w:val="20"/>
        </w:rPr>
        <w:t>d.</w:t>
      </w:r>
      <w:r w:rsidR="002C1F27">
        <w:rPr>
          <w:rFonts w:ascii="Verdana" w:hAnsi="Verdana"/>
          <w:noProof/>
          <w:sz w:val="20"/>
        </w:rPr>
        <w:t xml:space="preserve"> </w:t>
      </w:r>
      <w:r w:rsidRPr="00FF05EF">
        <w:rPr>
          <w:rFonts w:ascii="Verdana" w:hAnsi="Verdana"/>
          <w:noProof/>
          <w:sz w:val="20"/>
        </w:rPr>
        <w:t>CVP IS susirašinėjimo priemonėmis gavo klausim</w:t>
      </w:r>
      <w:r w:rsidR="002C1F27">
        <w:rPr>
          <w:rFonts w:ascii="Verdana" w:hAnsi="Verdana"/>
          <w:noProof/>
          <w:sz w:val="20"/>
        </w:rPr>
        <w:t>ą</w:t>
      </w:r>
      <w:r w:rsidRPr="00FF05EF">
        <w:rPr>
          <w:rFonts w:ascii="Verdana" w:hAnsi="Verdana"/>
          <w:noProof/>
          <w:sz w:val="20"/>
        </w:rPr>
        <w:t xml:space="preserve"> dėl Pirkimo sąlygų. LRT viešųjų pirkimų komisija (toliau – Komisija), išnagrinėjo gaut</w:t>
      </w:r>
      <w:r w:rsidR="004E11FA">
        <w:rPr>
          <w:rFonts w:ascii="Verdana" w:hAnsi="Verdana"/>
          <w:noProof/>
          <w:sz w:val="20"/>
        </w:rPr>
        <w:t>us</w:t>
      </w:r>
      <w:r w:rsidRPr="00FF05EF">
        <w:rPr>
          <w:rFonts w:ascii="Verdana" w:hAnsi="Verdana"/>
          <w:noProof/>
          <w:sz w:val="20"/>
        </w:rPr>
        <w:t xml:space="preserve"> klausim</w:t>
      </w:r>
      <w:r w:rsidR="004E11FA">
        <w:rPr>
          <w:rFonts w:ascii="Verdana" w:hAnsi="Verdana"/>
          <w:noProof/>
          <w:sz w:val="20"/>
        </w:rPr>
        <w:t>us</w:t>
      </w:r>
      <w:r w:rsidRPr="00FF05EF">
        <w:rPr>
          <w:rFonts w:ascii="Verdana" w:hAnsi="Verdana"/>
          <w:noProof/>
          <w:sz w:val="20"/>
        </w:rPr>
        <w:t xml:space="preserve"> ir</w:t>
      </w:r>
      <w:r>
        <w:rPr>
          <w:rFonts w:ascii="Verdana" w:hAnsi="Verdana"/>
          <w:noProof/>
          <w:sz w:val="20"/>
        </w:rPr>
        <w:t xml:space="preserve"> </w:t>
      </w:r>
      <w:r w:rsidRPr="00FF05EF">
        <w:rPr>
          <w:rFonts w:ascii="Verdana" w:hAnsi="Verdana"/>
          <w:noProof/>
          <w:sz w:val="20"/>
        </w:rPr>
        <w:t>teikia atsakym</w:t>
      </w:r>
      <w:r w:rsidR="004E11FA">
        <w:rPr>
          <w:rFonts w:ascii="Verdana" w:hAnsi="Verdana"/>
          <w:noProof/>
          <w:sz w:val="20"/>
        </w:rPr>
        <w:t>us</w:t>
      </w:r>
      <w:r w:rsidRPr="00FF05EF">
        <w:rPr>
          <w:rFonts w:ascii="Verdana" w:hAnsi="Verdana"/>
          <w:noProof/>
          <w:sz w:val="20"/>
        </w:rPr>
        <w:t>, t.y. paaiškina Pirkimo sąlygas:</w:t>
      </w:r>
    </w:p>
    <w:tbl>
      <w:tblPr>
        <w:tblStyle w:val="TableGrid"/>
        <w:tblW w:w="14738" w:type="dxa"/>
        <w:jc w:val="center"/>
        <w:tblLook w:val="04A0" w:firstRow="1" w:lastRow="0" w:firstColumn="1" w:lastColumn="0" w:noHBand="0" w:noVBand="1"/>
      </w:tblPr>
      <w:tblGrid>
        <w:gridCol w:w="766"/>
        <w:gridCol w:w="4616"/>
        <w:gridCol w:w="4678"/>
        <w:gridCol w:w="4678"/>
      </w:tblGrid>
      <w:tr w:rsidR="004E11FA" w:rsidRPr="004D0226" w14:paraId="0047A8CE" w14:textId="5E4FD1D7" w:rsidTr="00BE2219">
        <w:trPr>
          <w:jc w:val="center"/>
        </w:trPr>
        <w:tc>
          <w:tcPr>
            <w:tcW w:w="766" w:type="dxa"/>
            <w:shd w:val="clear" w:color="auto" w:fill="DEEAF6" w:themeFill="accent5" w:themeFillTint="33"/>
            <w:vAlign w:val="center"/>
          </w:tcPr>
          <w:p w14:paraId="4C181E46" w14:textId="77777777" w:rsidR="004E11FA" w:rsidRPr="004D0226" w:rsidRDefault="004E11FA" w:rsidP="0073381C">
            <w:pPr>
              <w:jc w:val="center"/>
              <w:rPr>
                <w:rFonts w:ascii="Verdana" w:hAnsi="Verdana"/>
                <w:b/>
                <w:bCs/>
                <w:sz w:val="20"/>
              </w:rPr>
            </w:pPr>
            <w:r w:rsidRPr="004D0226">
              <w:rPr>
                <w:rFonts w:ascii="Verdana" w:hAnsi="Verdana"/>
                <w:b/>
                <w:bCs/>
                <w:sz w:val="20"/>
              </w:rPr>
              <w:t>Nr.</w:t>
            </w:r>
          </w:p>
          <w:p w14:paraId="3F073272" w14:textId="7366A8B7" w:rsidR="004E11FA" w:rsidRPr="004D0226" w:rsidRDefault="004E11FA" w:rsidP="0073381C">
            <w:pPr>
              <w:jc w:val="center"/>
              <w:rPr>
                <w:rFonts w:ascii="Verdana" w:hAnsi="Verdana"/>
                <w:b/>
                <w:bCs/>
                <w:sz w:val="20"/>
              </w:rPr>
            </w:pPr>
          </w:p>
        </w:tc>
        <w:tc>
          <w:tcPr>
            <w:tcW w:w="9294" w:type="dxa"/>
            <w:gridSpan w:val="2"/>
            <w:shd w:val="clear" w:color="auto" w:fill="DEEAF6" w:themeFill="accent5" w:themeFillTint="33"/>
            <w:vAlign w:val="center"/>
          </w:tcPr>
          <w:p w14:paraId="0490E447" w14:textId="3FDD6E7B" w:rsidR="004E11FA" w:rsidRPr="004D0226" w:rsidRDefault="004E11FA" w:rsidP="0073381C">
            <w:pPr>
              <w:jc w:val="center"/>
              <w:rPr>
                <w:rFonts w:ascii="Verdana" w:hAnsi="Verdana"/>
                <w:b/>
                <w:bCs/>
                <w:sz w:val="20"/>
                <w:lang w:val="en-US"/>
              </w:rPr>
            </w:pPr>
            <w:r>
              <w:rPr>
                <w:rFonts w:ascii="Verdana" w:hAnsi="Verdana"/>
                <w:b/>
                <w:bCs/>
                <w:sz w:val="20"/>
              </w:rPr>
              <w:t>Tiekėjo k</w:t>
            </w:r>
            <w:r w:rsidRPr="004D0226">
              <w:rPr>
                <w:rFonts w:ascii="Verdana" w:hAnsi="Verdana"/>
                <w:b/>
                <w:bCs/>
                <w:sz w:val="20"/>
              </w:rPr>
              <w:t>lausimas</w:t>
            </w:r>
            <w:r w:rsidRPr="004D0226">
              <w:rPr>
                <w:rFonts w:ascii="Verdana" w:hAnsi="Verdana"/>
                <w:b/>
                <w:bCs/>
                <w:sz w:val="20"/>
                <w:lang w:val="en-US"/>
              </w:rPr>
              <w:t>*</w:t>
            </w:r>
          </w:p>
          <w:p w14:paraId="26901378" w14:textId="311861AD" w:rsidR="004E11FA" w:rsidRPr="004D0226" w:rsidRDefault="004E11FA" w:rsidP="004E11FA">
            <w:pPr>
              <w:jc w:val="center"/>
              <w:rPr>
                <w:rFonts w:ascii="Verdana" w:hAnsi="Verdana"/>
                <w:b/>
                <w:bCs/>
                <w:sz w:val="20"/>
              </w:rPr>
            </w:pPr>
          </w:p>
        </w:tc>
        <w:tc>
          <w:tcPr>
            <w:tcW w:w="4678" w:type="dxa"/>
            <w:shd w:val="clear" w:color="auto" w:fill="DEEAF6" w:themeFill="accent5" w:themeFillTint="33"/>
          </w:tcPr>
          <w:p w14:paraId="3BF9190B" w14:textId="396B5100" w:rsidR="004E11FA" w:rsidRPr="004D0226" w:rsidRDefault="004E11FA" w:rsidP="004E11FA">
            <w:pPr>
              <w:jc w:val="center"/>
              <w:rPr>
                <w:rFonts w:ascii="Verdana" w:hAnsi="Verdana"/>
                <w:b/>
                <w:bCs/>
                <w:sz w:val="20"/>
              </w:rPr>
            </w:pPr>
            <w:r>
              <w:rPr>
                <w:rFonts w:ascii="Verdana" w:hAnsi="Verdana"/>
                <w:b/>
                <w:bCs/>
                <w:sz w:val="20"/>
              </w:rPr>
              <w:t>Komisijos a</w:t>
            </w:r>
            <w:r w:rsidRPr="004D0226">
              <w:rPr>
                <w:rFonts w:ascii="Verdana" w:hAnsi="Verdana"/>
                <w:b/>
                <w:bCs/>
                <w:sz w:val="20"/>
              </w:rPr>
              <w:t>tsakymas</w:t>
            </w:r>
          </w:p>
          <w:p w14:paraId="37321653" w14:textId="77777777" w:rsidR="004E11FA" w:rsidRPr="004D0226" w:rsidRDefault="004E11FA" w:rsidP="0073381C">
            <w:pPr>
              <w:jc w:val="center"/>
              <w:rPr>
                <w:rFonts w:ascii="Verdana" w:hAnsi="Verdana"/>
                <w:b/>
                <w:bCs/>
                <w:sz w:val="20"/>
              </w:rPr>
            </w:pPr>
          </w:p>
        </w:tc>
      </w:tr>
      <w:tr w:rsidR="004E11FA" w:rsidRPr="004D0226" w14:paraId="189D96C6" w14:textId="77777777" w:rsidTr="00BE2219">
        <w:trPr>
          <w:jc w:val="center"/>
        </w:trPr>
        <w:tc>
          <w:tcPr>
            <w:tcW w:w="766" w:type="dxa"/>
            <w:shd w:val="clear" w:color="auto" w:fill="auto"/>
            <w:vAlign w:val="center"/>
          </w:tcPr>
          <w:p w14:paraId="2FF2B23C" w14:textId="5BBA625B" w:rsidR="004E11FA" w:rsidRPr="004D0226" w:rsidRDefault="004E11FA" w:rsidP="0073381C">
            <w:pPr>
              <w:jc w:val="center"/>
              <w:rPr>
                <w:rFonts w:ascii="Verdana" w:hAnsi="Verdana"/>
                <w:b/>
                <w:bCs/>
                <w:sz w:val="20"/>
              </w:rPr>
            </w:pPr>
            <w:r>
              <w:rPr>
                <w:rFonts w:ascii="Verdana" w:hAnsi="Verdana"/>
                <w:b/>
                <w:bCs/>
                <w:sz w:val="20"/>
              </w:rPr>
              <w:t>1.</w:t>
            </w:r>
          </w:p>
        </w:tc>
        <w:tc>
          <w:tcPr>
            <w:tcW w:w="9294" w:type="dxa"/>
            <w:gridSpan w:val="2"/>
            <w:shd w:val="clear" w:color="auto" w:fill="auto"/>
            <w:vAlign w:val="center"/>
          </w:tcPr>
          <w:p w14:paraId="0CAC7979" w14:textId="6CE30A3A" w:rsidR="004E11FA" w:rsidRPr="00EE2CFE" w:rsidRDefault="004E11FA" w:rsidP="00EE2CFE">
            <w:pPr>
              <w:rPr>
                <w:rFonts w:ascii="Verdana" w:hAnsi="Verdana"/>
                <w:b/>
                <w:bCs/>
                <w:i/>
                <w:iCs/>
                <w:sz w:val="20"/>
              </w:rPr>
            </w:pPr>
            <w:r w:rsidRPr="00EE2CFE">
              <w:rPr>
                <w:rFonts w:ascii="Verdana" w:hAnsi="Verdana"/>
                <w:b/>
                <w:bCs/>
                <w:i/>
                <w:iCs/>
                <w:sz w:val="20"/>
              </w:rPr>
              <w:t>Pirkimo sąlygų 2 priedas „Techninė specifikacija“</w:t>
            </w:r>
          </w:p>
        </w:tc>
        <w:tc>
          <w:tcPr>
            <w:tcW w:w="4678" w:type="dxa"/>
            <w:shd w:val="clear" w:color="auto" w:fill="auto"/>
          </w:tcPr>
          <w:p w14:paraId="4FBCC9FC" w14:textId="77777777" w:rsidR="004E11FA" w:rsidRPr="004D0226" w:rsidRDefault="004E11FA" w:rsidP="004E11FA">
            <w:pPr>
              <w:jc w:val="center"/>
              <w:rPr>
                <w:rFonts w:ascii="Verdana" w:hAnsi="Verdana"/>
                <w:b/>
                <w:bCs/>
                <w:sz w:val="20"/>
              </w:rPr>
            </w:pPr>
          </w:p>
        </w:tc>
      </w:tr>
      <w:tr w:rsidR="004E11FA" w:rsidRPr="004D0226" w14:paraId="2CBFDD4A" w14:textId="178F333D" w:rsidTr="00BE2219">
        <w:trPr>
          <w:trHeight w:val="839"/>
          <w:jc w:val="center"/>
        </w:trPr>
        <w:tc>
          <w:tcPr>
            <w:tcW w:w="766" w:type="dxa"/>
          </w:tcPr>
          <w:p w14:paraId="5823A1E1" w14:textId="135C6C7B" w:rsidR="004E11FA" w:rsidRPr="004D0226" w:rsidRDefault="004E11FA" w:rsidP="006165BF">
            <w:pPr>
              <w:spacing w:after="240"/>
              <w:jc w:val="center"/>
              <w:rPr>
                <w:rFonts w:ascii="Verdana" w:hAnsi="Verdana"/>
                <w:sz w:val="20"/>
              </w:rPr>
            </w:pPr>
            <w:r w:rsidRPr="004D0226">
              <w:rPr>
                <w:rFonts w:ascii="Verdana" w:hAnsi="Verdana"/>
                <w:sz w:val="20"/>
              </w:rPr>
              <w:t>1.</w:t>
            </w:r>
            <w:r>
              <w:rPr>
                <w:rFonts w:ascii="Verdana" w:hAnsi="Verdana"/>
                <w:sz w:val="20"/>
              </w:rPr>
              <w:t>1.</w:t>
            </w:r>
          </w:p>
        </w:tc>
        <w:tc>
          <w:tcPr>
            <w:tcW w:w="4616" w:type="dxa"/>
          </w:tcPr>
          <w:p w14:paraId="062D9B09" w14:textId="016CE900" w:rsidR="004E11FA" w:rsidRPr="004D0226" w:rsidRDefault="004E11FA" w:rsidP="00BA4793">
            <w:pPr>
              <w:spacing w:after="240"/>
              <w:jc w:val="both"/>
              <w:rPr>
                <w:rFonts w:ascii="Verdana" w:hAnsi="Verdana"/>
                <w:sz w:val="20"/>
              </w:rPr>
            </w:pPr>
            <w:r w:rsidRPr="004E11FA">
              <w:rPr>
                <w:rFonts w:ascii="Verdana" w:hAnsi="Verdana"/>
                <w:sz w:val="20"/>
              </w:rPr>
              <w:t>2.2 II alternatyva. Personalo valdymo, darbo laiko ir darbo užmokesčio apskaitos sistemos su darbuotojų savitarnos portalu nuoma/licencijos, jos diegimas, konfigūravimas, istorinių duomenų migracija (perkėlimas iš Vikarina sistemos), mokymai, palaikymas ir vystymas (2 lentelė).</w:t>
            </w:r>
          </w:p>
        </w:tc>
        <w:tc>
          <w:tcPr>
            <w:tcW w:w="4678" w:type="dxa"/>
          </w:tcPr>
          <w:p w14:paraId="1EA14AD0" w14:textId="1E946ECB" w:rsidR="004E11FA" w:rsidRPr="004D0226" w:rsidRDefault="004E11FA" w:rsidP="00BA4793">
            <w:pPr>
              <w:jc w:val="both"/>
              <w:rPr>
                <w:rFonts w:ascii="Verdana" w:eastAsia="Verdana" w:hAnsi="Verdana" w:cs="Verdana"/>
                <w:sz w:val="20"/>
              </w:rPr>
            </w:pPr>
            <w:r w:rsidRPr="004E11FA">
              <w:rPr>
                <w:rFonts w:ascii="Verdana" w:eastAsia="Verdana" w:hAnsi="Verdana" w:cs="Verdana"/>
                <w:sz w:val="20"/>
              </w:rPr>
              <w:t>Ar teisingai suprantame, kad „nuoma/licencija“ reiškia, kad Perkančiajai organizacijai turės būti suteiktos siūlomos informacinės sistemos naudojimo teisė Pirkimo dokumentuose nustatytą laikotarpį, t.y. laike apribota licencija?</w:t>
            </w:r>
          </w:p>
        </w:tc>
        <w:tc>
          <w:tcPr>
            <w:tcW w:w="4678" w:type="dxa"/>
          </w:tcPr>
          <w:p w14:paraId="6BAD70C4" w14:textId="0D137B72" w:rsidR="004E11FA" w:rsidRDefault="001A133D" w:rsidP="00BA4793">
            <w:pPr>
              <w:jc w:val="both"/>
              <w:rPr>
                <w:rFonts w:ascii="Verdana" w:eastAsia="Verdana" w:hAnsi="Verdana" w:cs="Verdana"/>
                <w:sz w:val="20"/>
              </w:rPr>
            </w:pPr>
            <w:r w:rsidRPr="001A133D">
              <w:rPr>
                <w:rFonts w:ascii="Verdana" w:eastAsia="Verdana" w:hAnsi="Verdana" w:cs="Verdana"/>
                <w:sz w:val="20"/>
              </w:rPr>
              <w:t>Taip. Sąvoka „nuoma/licencija“ šiame kontekste reiškia, kad Perkančiajai organizacijai turi būti suteikta teisė naudotis siūloma personalo valdymo, darbo laiko ir darbo užmokesčio apskaitos sistema su darbuotojų savitarnos portalu visą Pirkimo dokumentuose nustatytą laikotarpį. Tai reiškia, kad turi būti suteikiama laike apribota (terminuota) teisė naudotis sistema – licencija arba naudojimo teisė pagal nuomos principą, priklausomai nuo tiekėjo siūlomo sprendimo.</w:t>
            </w:r>
          </w:p>
        </w:tc>
      </w:tr>
      <w:tr w:rsidR="004E11FA" w:rsidRPr="004D0226" w14:paraId="4A3F38B0" w14:textId="77777777" w:rsidTr="001A133D">
        <w:trPr>
          <w:trHeight w:val="416"/>
          <w:jc w:val="center"/>
        </w:trPr>
        <w:tc>
          <w:tcPr>
            <w:tcW w:w="766" w:type="dxa"/>
          </w:tcPr>
          <w:p w14:paraId="6547DFCC" w14:textId="30CD974A" w:rsidR="004E11FA" w:rsidRPr="004D0226" w:rsidRDefault="004E11FA" w:rsidP="006165BF">
            <w:pPr>
              <w:spacing w:after="240"/>
              <w:jc w:val="center"/>
              <w:rPr>
                <w:rFonts w:ascii="Verdana" w:hAnsi="Verdana"/>
                <w:sz w:val="20"/>
              </w:rPr>
            </w:pPr>
            <w:r>
              <w:rPr>
                <w:rFonts w:ascii="Verdana" w:hAnsi="Verdana"/>
                <w:sz w:val="20"/>
              </w:rPr>
              <w:t>1.2.</w:t>
            </w:r>
          </w:p>
        </w:tc>
        <w:tc>
          <w:tcPr>
            <w:tcW w:w="4616" w:type="dxa"/>
          </w:tcPr>
          <w:p w14:paraId="116172C6" w14:textId="43DF0F69" w:rsidR="004E11FA" w:rsidRPr="004E11FA" w:rsidRDefault="004E11FA" w:rsidP="00BA4793">
            <w:pPr>
              <w:spacing w:after="240"/>
              <w:jc w:val="both"/>
              <w:rPr>
                <w:rFonts w:ascii="Verdana" w:hAnsi="Verdana"/>
                <w:sz w:val="20"/>
              </w:rPr>
            </w:pPr>
            <w:r w:rsidRPr="004E11FA">
              <w:rPr>
                <w:rFonts w:ascii="Verdana" w:hAnsi="Verdana"/>
                <w:sz w:val="20"/>
              </w:rPr>
              <w:t>7.1. Tiekėjas turi nurodyti atitikimą kiekvienam stulpelio „Reikalavimai“ nurodytam reikalavimui atskirai. Tiekėjas gali nenurodyti atitikimo reikalavimui tik tuo atveju, jeigu prie atitinkamo reikalavimo punkto stulpelio „Siūlomi parametrai“ eilutėje nurodyta „/įrašyti neprivaloma/“ arba eilutė perbraukta „</w:t>
            </w:r>
            <w:r>
              <w:rPr>
                <w:rFonts w:ascii="Verdana" w:hAnsi="Verdana"/>
                <w:noProof/>
                <w:sz w:val="20"/>
              </w:rPr>
              <w:drawing>
                <wp:inline distT="0" distB="0" distL="0" distR="0" wp14:anchorId="1B1236E7" wp14:editId="3AFAD58B">
                  <wp:extent cx="701040" cy="140335"/>
                  <wp:effectExtent l="0" t="0" r="3810" b="0"/>
                  <wp:docPr id="11592031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1040" cy="140335"/>
                          </a:xfrm>
                          <a:prstGeom prst="rect">
                            <a:avLst/>
                          </a:prstGeom>
                          <a:noFill/>
                        </pic:spPr>
                      </pic:pic>
                    </a:graphicData>
                  </a:graphic>
                </wp:inline>
              </w:drawing>
            </w:r>
            <w:r w:rsidRPr="004E11FA">
              <w:rPr>
                <w:rFonts w:ascii="Verdana" w:hAnsi="Verdana"/>
                <w:sz w:val="20"/>
              </w:rPr>
              <w:t xml:space="preserve"> “.</w:t>
            </w:r>
          </w:p>
        </w:tc>
        <w:tc>
          <w:tcPr>
            <w:tcW w:w="4678" w:type="dxa"/>
          </w:tcPr>
          <w:p w14:paraId="627CCB5A" w14:textId="397DFE6C" w:rsidR="004E11FA" w:rsidRPr="004E11FA" w:rsidRDefault="004E11FA" w:rsidP="00BA4793">
            <w:pPr>
              <w:jc w:val="both"/>
              <w:rPr>
                <w:rFonts w:ascii="Verdana" w:eastAsia="Verdana" w:hAnsi="Verdana" w:cs="Verdana"/>
                <w:sz w:val="20"/>
              </w:rPr>
            </w:pPr>
            <w:r w:rsidRPr="004E11FA">
              <w:rPr>
                <w:rFonts w:ascii="Verdana" w:eastAsia="Verdana" w:hAnsi="Verdana" w:cs="Verdana"/>
                <w:sz w:val="20"/>
              </w:rPr>
              <w:t>Ar teisingai suprantame, kad Tiekėjui neprivaloma pagrįsti nei vieno reikalavimo Techninės specifikacijos 12 p. 2 lentelėje, nes stulpelis "Siūlomus parametrus patvirtinanti Dokumentacija" visur (visiems reikalavimams) užbrauktas?</w:t>
            </w:r>
          </w:p>
        </w:tc>
        <w:tc>
          <w:tcPr>
            <w:tcW w:w="4678" w:type="dxa"/>
          </w:tcPr>
          <w:p w14:paraId="68922917" w14:textId="7344BBA3" w:rsidR="004E11FA" w:rsidRDefault="001A133D" w:rsidP="001A133D">
            <w:pPr>
              <w:jc w:val="both"/>
              <w:rPr>
                <w:rFonts w:ascii="Verdana" w:eastAsia="Verdana" w:hAnsi="Verdana" w:cs="Verdana"/>
                <w:sz w:val="20"/>
              </w:rPr>
            </w:pPr>
            <w:r w:rsidRPr="001A133D">
              <w:rPr>
                <w:rFonts w:ascii="Verdana" w:eastAsia="Verdana" w:hAnsi="Verdana" w:cs="Verdana"/>
                <w:sz w:val="20"/>
              </w:rPr>
              <w:t xml:space="preserve">Jeigu Techninės specifikacijos 1 ir 2 lentelės skilties „Siūlomus parametrus patvirtinanti Dokumentacija“ eilutė yra perbraukta </w:t>
            </w:r>
            <w:r>
              <w:rPr>
                <w:rFonts w:ascii="Verdana" w:eastAsia="Verdana" w:hAnsi="Verdana" w:cs="Verdana"/>
                <w:noProof/>
                <w:sz w:val="20"/>
              </w:rPr>
              <w:drawing>
                <wp:inline distT="0" distB="0" distL="0" distR="0" wp14:anchorId="5CCF192C" wp14:editId="5AEF2531">
                  <wp:extent cx="701040" cy="140335"/>
                  <wp:effectExtent l="0" t="0" r="3810" b="0"/>
                  <wp:docPr id="21229945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1040" cy="140335"/>
                          </a:xfrm>
                          <a:prstGeom prst="rect">
                            <a:avLst/>
                          </a:prstGeom>
                          <a:noFill/>
                        </pic:spPr>
                      </pic:pic>
                    </a:graphicData>
                  </a:graphic>
                </wp:inline>
              </w:drawing>
            </w:r>
            <w:r w:rsidRPr="001A133D">
              <w:rPr>
                <w:rFonts w:ascii="Verdana" w:eastAsia="Verdana" w:hAnsi="Verdana" w:cs="Verdana"/>
                <w:sz w:val="20"/>
              </w:rPr>
              <w:t xml:space="preserve">, vadinasi tiekėjui kartu su pasiūlymu nereikia pateikti Dokumentacijos, kuri įrodo tos eilutės skiltyje „Siūlomi parametrai“ nurodytų parametrų atitikimą atitinkamam reikalavimui. Tačiau Perkančioji organizacija atkreipia dėmesį, kad vadovaujantis Techninės specifikacijos 8.1.3 p., Perkančioji organizacija turi teisę paprašyti paaiškinti atitikimą Techninės specifikacijos reikalavimui pasiūlymų vertinimo metu ir paaiškinti atitikimą, jeigu kils abejonių dėl tiekėjo galimybių </w:t>
            </w:r>
            <w:r w:rsidRPr="001A133D">
              <w:rPr>
                <w:rFonts w:ascii="Verdana" w:eastAsia="Verdana" w:hAnsi="Verdana" w:cs="Verdana"/>
                <w:sz w:val="20"/>
              </w:rPr>
              <w:lastRenderedPageBreak/>
              <w:t>įgyvendinti reikalavimą sutarties vykdymo metu.</w:t>
            </w:r>
          </w:p>
        </w:tc>
      </w:tr>
      <w:tr w:rsidR="004E11FA" w:rsidRPr="004D0226" w14:paraId="050FF6D1" w14:textId="77777777" w:rsidTr="001A133D">
        <w:trPr>
          <w:trHeight w:val="4183"/>
          <w:jc w:val="center"/>
        </w:trPr>
        <w:tc>
          <w:tcPr>
            <w:tcW w:w="766" w:type="dxa"/>
          </w:tcPr>
          <w:p w14:paraId="74E70629" w14:textId="09761EFE" w:rsidR="004E11FA" w:rsidRDefault="004E11FA" w:rsidP="006165BF">
            <w:pPr>
              <w:spacing w:after="240"/>
              <w:jc w:val="center"/>
              <w:rPr>
                <w:rFonts w:ascii="Verdana" w:hAnsi="Verdana"/>
                <w:sz w:val="20"/>
              </w:rPr>
            </w:pPr>
            <w:r>
              <w:rPr>
                <w:rFonts w:ascii="Verdana" w:hAnsi="Verdana"/>
                <w:sz w:val="20"/>
              </w:rPr>
              <w:lastRenderedPageBreak/>
              <w:t>1.3.</w:t>
            </w:r>
          </w:p>
        </w:tc>
        <w:tc>
          <w:tcPr>
            <w:tcW w:w="4616" w:type="dxa"/>
          </w:tcPr>
          <w:p w14:paraId="5DE44156" w14:textId="6240A05C" w:rsidR="004E11FA" w:rsidRPr="004E11FA" w:rsidRDefault="004E11FA" w:rsidP="00BA4793">
            <w:pPr>
              <w:spacing w:after="240"/>
              <w:jc w:val="both"/>
              <w:rPr>
                <w:rFonts w:ascii="Verdana" w:hAnsi="Verdana"/>
                <w:sz w:val="20"/>
              </w:rPr>
            </w:pPr>
            <w:r w:rsidRPr="004E11FA">
              <w:rPr>
                <w:rFonts w:ascii="Verdana" w:hAnsi="Verdana"/>
                <w:sz w:val="20"/>
              </w:rPr>
              <w:t>11.1.Tiekėjas, siūlydamas II alternatyvą šiuo metu naudojamai programinei įrangai Vikarina, privalo įvertinti esamos sistemos duomenų bazės (SQL tipo, naudojamos nuo 2022 metų) struktūrą, turinį ir užtikrinti visų reikalingų duomenų (įskaitant istorinius, aktyvius bei susijusius su naudotojais) adaptavimą ir pilną importavimą į naują siūlomą sistemą. Perkančioji organizacija pateiks tiekėjui šiuos istorinius duomenis MS Excel arba kitu formatu perkėlimui į sistemą ne vėliau kaip per 7 (septynias) darbo dienas nuo Pirkimo sutarties įsigaliojimo dienos, o visus likusius ir galutinius istorinius duomenis – ne vėliau kaip likus 1 (vienai) darbo dienai iki sistemos paleidimo į gamybinę aplinką.</w:t>
            </w:r>
          </w:p>
        </w:tc>
        <w:tc>
          <w:tcPr>
            <w:tcW w:w="4678" w:type="dxa"/>
          </w:tcPr>
          <w:p w14:paraId="18AB768F" w14:textId="671EDD66" w:rsidR="004E11FA" w:rsidRPr="004E11FA" w:rsidRDefault="004E11FA" w:rsidP="00BA4793">
            <w:pPr>
              <w:jc w:val="both"/>
              <w:rPr>
                <w:rFonts w:ascii="Verdana" w:eastAsia="Verdana" w:hAnsi="Verdana" w:cs="Verdana"/>
                <w:sz w:val="20"/>
              </w:rPr>
            </w:pPr>
            <w:r w:rsidRPr="004E11FA">
              <w:rPr>
                <w:rFonts w:ascii="Verdana" w:eastAsia="Verdana" w:hAnsi="Verdana" w:cs="Verdana"/>
                <w:sz w:val="20"/>
              </w:rPr>
              <w:t>Prašytume patikslinti, kokius tiksliai duomenis reikės sukelti per vieną darbo dieną ir jų apimtis, kokie galimi sukėlimo būdai? Mums kyla klausimų, nes vertinant pateiktą informaciją, likusių ir galutinių duomenų sukėlimas, kai tai yra paskutinė projekto fazė prieš sistemos paleidimą, objektyviai trunka mažiausiai 3 (tris) darbo dienas. Ar 1 d.d. gali būti keičiamas atsižvelgiantį į apimtis ir poreikius? Ar Perkančioji organizacija turi galimybes duomenis pateikti anksčiau, ar jų dalį anksčiau?</w:t>
            </w:r>
          </w:p>
        </w:tc>
        <w:tc>
          <w:tcPr>
            <w:tcW w:w="4678" w:type="dxa"/>
          </w:tcPr>
          <w:p w14:paraId="2C3E5741" w14:textId="77777777" w:rsidR="001A133D" w:rsidRPr="001A133D" w:rsidRDefault="001A133D" w:rsidP="001A133D">
            <w:pPr>
              <w:jc w:val="both"/>
              <w:rPr>
                <w:rFonts w:ascii="Verdana" w:eastAsia="Verdana" w:hAnsi="Verdana" w:cs="Verdana"/>
                <w:sz w:val="20"/>
              </w:rPr>
            </w:pPr>
            <w:r w:rsidRPr="001A133D">
              <w:rPr>
                <w:rFonts w:ascii="Verdana" w:eastAsia="Verdana" w:hAnsi="Verdana" w:cs="Verdana"/>
                <w:sz w:val="20"/>
              </w:rPr>
              <w:t>Perkančioji organizacija pateiks Tiekėjui SQL tipo duomenų bazės kopiją, apimančią visus duomenis, ne vėliau kaip per 7 (septynias) darbo dienas nuo Pirkimo sutarties įsigaliojimo dienos. Likę ir galutiniai (kurie susikaupė nuo pirminio perdavimo iki sistemos įdiegimo pabaigos, t. y. naujausia duomenų bazės kopija) duomenys bus pateikiami Tiekėjui ne vėliau kaip likus 1 (vienai) darbo dienai iki sistemos paleidimo į gamybinę aplinką.</w:t>
            </w:r>
          </w:p>
          <w:p w14:paraId="04EFF829" w14:textId="7715D2E4" w:rsidR="004E11FA" w:rsidRDefault="001A133D" w:rsidP="001A133D">
            <w:pPr>
              <w:jc w:val="both"/>
              <w:rPr>
                <w:rFonts w:ascii="Verdana" w:eastAsia="Verdana" w:hAnsi="Verdana" w:cs="Verdana"/>
                <w:sz w:val="20"/>
              </w:rPr>
            </w:pPr>
            <w:r w:rsidRPr="001A133D">
              <w:rPr>
                <w:rFonts w:ascii="Verdana" w:eastAsia="Verdana" w:hAnsi="Verdana" w:cs="Verdana"/>
                <w:sz w:val="20"/>
              </w:rPr>
              <w:t>Perkančioji organizacija sieks pateikti duomenis kuo anksčiau, jei tai bus įmanoma, tačiau tiekėjo atsakomybė yra užtikrinti, kad visi duomenys, iš šiuo metu LRT naudojamos sistemos, būtų perkelti ne vėliau kaip naujos sistemos paleidimo dieną.</w:t>
            </w:r>
          </w:p>
        </w:tc>
      </w:tr>
      <w:tr w:rsidR="004E11FA" w:rsidRPr="004D0226" w14:paraId="6D01B56D" w14:textId="77777777" w:rsidTr="00BE2219">
        <w:trPr>
          <w:trHeight w:val="839"/>
          <w:jc w:val="center"/>
        </w:trPr>
        <w:tc>
          <w:tcPr>
            <w:tcW w:w="766" w:type="dxa"/>
          </w:tcPr>
          <w:p w14:paraId="4388D12F" w14:textId="77194498" w:rsidR="004E11FA" w:rsidRDefault="004E11FA" w:rsidP="006165BF">
            <w:pPr>
              <w:spacing w:after="240"/>
              <w:jc w:val="center"/>
              <w:rPr>
                <w:rFonts w:ascii="Verdana" w:hAnsi="Verdana"/>
                <w:sz w:val="20"/>
              </w:rPr>
            </w:pPr>
            <w:r>
              <w:rPr>
                <w:rFonts w:ascii="Verdana" w:hAnsi="Verdana"/>
                <w:sz w:val="20"/>
              </w:rPr>
              <w:t>1.4.</w:t>
            </w:r>
          </w:p>
        </w:tc>
        <w:tc>
          <w:tcPr>
            <w:tcW w:w="4616" w:type="dxa"/>
          </w:tcPr>
          <w:p w14:paraId="72CDE3BE" w14:textId="06E06FD9" w:rsidR="004E11FA" w:rsidRPr="004E11FA" w:rsidRDefault="004E11FA" w:rsidP="00BA4793">
            <w:pPr>
              <w:spacing w:after="240"/>
              <w:jc w:val="both"/>
              <w:rPr>
                <w:rFonts w:ascii="Verdana" w:hAnsi="Verdana"/>
                <w:sz w:val="20"/>
              </w:rPr>
            </w:pPr>
            <w:r w:rsidRPr="004E11FA">
              <w:rPr>
                <w:rFonts w:ascii="Verdana" w:hAnsi="Verdana"/>
                <w:sz w:val="20"/>
              </w:rPr>
              <w:t>11.2. Tiekėjas turi importuoti arba perkelti Perkančiosios organizacijos turimus 9 metų istorinius duomenis iš MS Excel arba kito formato ne vėliau kaip per 15 (penkiolika) darbo dienų nuo pradinių duomenų pateikimo jam dienos (ši nuostata netaikoma, jeigu tiekėjas pasirenka I alternatyvą tai pačiai sistemai ir duomenys iš Vikarinos nebus pašalinti).</w:t>
            </w:r>
          </w:p>
        </w:tc>
        <w:tc>
          <w:tcPr>
            <w:tcW w:w="4678" w:type="dxa"/>
          </w:tcPr>
          <w:p w14:paraId="5FA6F0E6" w14:textId="4CE05EFF" w:rsidR="004E11FA" w:rsidRPr="004E11FA" w:rsidRDefault="004E11FA" w:rsidP="00BA4793">
            <w:pPr>
              <w:jc w:val="both"/>
              <w:rPr>
                <w:rFonts w:ascii="Verdana" w:eastAsia="Verdana" w:hAnsi="Verdana" w:cs="Verdana"/>
                <w:sz w:val="20"/>
              </w:rPr>
            </w:pPr>
            <w:r w:rsidRPr="004E11FA">
              <w:rPr>
                <w:rFonts w:ascii="Verdana" w:eastAsia="Verdana" w:hAnsi="Verdana" w:cs="Verdana"/>
                <w:sz w:val="20"/>
              </w:rPr>
              <w:t>Mūsų patirtis sako, kad duomenų sukėlimo proceso metu kyla daug klausimų dėl duomenų ir yra reikalingas savalaikis atsakymų pateikimas, kad duomenys būtų sukelti tinkamai ir per nurodytą terminą. Ar teisingai suprantame, kad Perkančioji organizacija bus pasiruošusi paskirti asmenį, kuris duomenų kėlimo etapo metu galėtų nedelsiant teikti atsakymus ir paaiškinimus į Tiekėjo klausimus?</w:t>
            </w:r>
          </w:p>
        </w:tc>
        <w:tc>
          <w:tcPr>
            <w:tcW w:w="4678" w:type="dxa"/>
          </w:tcPr>
          <w:p w14:paraId="22749195" w14:textId="6C8FA6A4" w:rsidR="004E11FA" w:rsidRDefault="005014E6" w:rsidP="00BA4793">
            <w:pPr>
              <w:jc w:val="both"/>
              <w:rPr>
                <w:rFonts w:ascii="Verdana" w:eastAsia="Verdana" w:hAnsi="Verdana" w:cs="Verdana"/>
                <w:sz w:val="20"/>
              </w:rPr>
            </w:pPr>
            <w:r w:rsidRPr="005014E6">
              <w:rPr>
                <w:rFonts w:ascii="Verdana" w:eastAsia="Verdana" w:hAnsi="Verdana" w:cs="Verdana"/>
                <w:sz w:val="20"/>
              </w:rPr>
              <w:t>Perkančioji organizacija paskirs atsakingą asmenį.</w:t>
            </w:r>
          </w:p>
        </w:tc>
      </w:tr>
      <w:tr w:rsidR="004E11FA" w:rsidRPr="004D0226" w14:paraId="78FB12F1" w14:textId="77777777" w:rsidTr="00BE2219">
        <w:trPr>
          <w:trHeight w:val="839"/>
          <w:jc w:val="center"/>
        </w:trPr>
        <w:tc>
          <w:tcPr>
            <w:tcW w:w="766" w:type="dxa"/>
          </w:tcPr>
          <w:p w14:paraId="32E39691" w14:textId="2E58C142" w:rsidR="004E11FA" w:rsidRDefault="004E11FA" w:rsidP="006165BF">
            <w:pPr>
              <w:spacing w:after="240"/>
              <w:jc w:val="center"/>
              <w:rPr>
                <w:rFonts w:ascii="Verdana" w:hAnsi="Verdana"/>
                <w:sz w:val="20"/>
              </w:rPr>
            </w:pPr>
            <w:r>
              <w:rPr>
                <w:rFonts w:ascii="Verdana" w:hAnsi="Verdana"/>
                <w:sz w:val="20"/>
              </w:rPr>
              <w:t>1.5.</w:t>
            </w:r>
          </w:p>
        </w:tc>
        <w:tc>
          <w:tcPr>
            <w:tcW w:w="4616" w:type="dxa"/>
          </w:tcPr>
          <w:p w14:paraId="01394923" w14:textId="77777777" w:rsidR="004E11FA" w:rsidRPr="004E11FA" w:rsidRDefault="004E11FA" w:rsidP="004E11FA">
            <w:pPr>
              <w:spacing w:after="240"/>
              <w:jc w:val="both"/>
              <w:rPr>
                <w:rFonts w:ascii="Verdana" w:hAnsi="Verdana"/>
                <w:sz w:val="20"/>
              </w:rPr>
            </w:pPr>
            <w:r w:rsidRPr="004E11FA">
              <w:rPr>
                <w:rFonts w:ascii="Verdana" w:hAnsi="Verdana"/>
                <w:sz w:val="20"/>
              </w:rPr>
              <w:t>12 p. II alternatyva, 2 lentelė.</w:t>
            </w:r>
          </w:p>
          <w:p w14:paraId="601404BA" w14:textId="0DB7753F" w:rsidR="004E11FA" w:rsidRPr="004E11FA" w:rsidRDefault="004E11FA" w:rsidP="004E11FA">
            <w:pPr>
              <w:spacing w:after="240"/>
              <w:jc w:val="both"/>
              <w:rPr>
                <w:rFonts w:ascii="Verdana" w:hAnsi="Verdana"/>
                <w:sz w:val="20"/>
              </w:rPr>
            </w:pPr>
            <w:r w:rsidRPr="004E11FA">
              <w:rPr>
                <w:rFonts w:ascii="Verdana" w:hAnsi="Verdana"/>
                <w:sz w:val="20"/>
              </w:rPr>
              <w:t>37. Sistema turi turėti galimybes dalį duomenų užpildyti automatiškai (pvz., duomenų pateikimo data ir pan.). Automatiškai užpildomus laukus Tiekėjas turės nustatyti ir suderinti su Perkančiąja organizacija diegimo metu.</w:t>
            </w:r>
          </w:p>
        </w:tc>
        <w:tc>
          <w:tcPr>
            <w:tcW w:w="4678" w:type="dxa"/>
          </w:tcPr>
          <w:p w14:paraId="7B063B6B" w14:textId="17716B04" w:rsidR="004E11FA" w:rsidRPr="004E11FA" w:rsidRDefault="004E11FA" w:rsidP="00BA4793">
            <w:pPr>
              <w:jc w:val="both"/>
              <w:rPr>
                <w:rFonts w:ascii="Verdana" w:eastAsia="Verdana" w:hAnsi="Verdana" w:cs="Verdana"/>
                <w:sz w:val="20"/>
              </w:rPr>
            </w:pPr>
            <w:r w:rsidRPr="004E11FA">
              <w:rPr>
                <w:rFonts w:ascii="Verdana" w:eastAsia="Verdana" w:hAnsi="Verdana" w:cs="Verdana"/>
                <w:sz w:val="20"/>
              </w:rPr>
              <w:t>Prašome, pateikti daugiau pavyzdžių, kokie  duomenys turi būti užpildomi automatiškai.</w:t>
            </w:r>
          </w:p>
        </w:tc>
        <w:tc>
          <w:tcPr>
            <w:tcW w:w="4678" w:type="dxa"/>
          </w:tcPr>
          <w:p w14:paraId="39226EA2" w14:textId="08D67F54" w:rsidR="004E11FA" w:rsidRDefault="005014E6" w:rsidP="00BA4793">
            <w:pPr>
              <w:jc w:val="both"/>
              <w:rPr>
                <w:rFonts w:ascii="Verdana" w:eastAsia="Verdana" w:hAnsi="Verdana" w:cs="Verdana"/>
                <w:sz w:val="20"/>
              </w:rPr>
            </w:pPr>
            <w:r w:rsidRPr="005014E6">
              <w:rPr>
                <w:rFonts w:ascii="Verdana" w:eastAsia="Verdana" w:hAnsi="Verdana" w:cs="Verdana"/>
                <w:sz w:val="20"/>
              </w:rPr>
              <w:t>Konkretūs automatiškai užpildomi duomenų laukai (pvz., duomenų pateikimo data ir kt.) bus nustatomi ir derinami su Perkančiąja organizacija sistemos diegimo metu. Tiekėjas, vykdydamas sutartį, gaus detalią informaciją apie automatinio pildymo poreikius, kurie priklausys nuo konkrečių Perkančiosios organizacijos verslo procesų.</w:t>
            </w:r>
          </w:p>
        </w:tc>
      </w:tr>
      <w:tr w:rsidR="004E11FA" w:rsidRPr="004D0226" w14:paraId="2AE4FB39" w14:textId="77777777" w:rsidTr="00BC57FF">
        <w:trPr>
          <w:trHeight w:val="1412"/>
          <w:jc w:val="center"/>
        </w:trPr>
        <w:tc>
          <w:tcPr>
            <w:tcW w:w="766" w:type="dxa"/>
          </w:tcPr>
          <w:p w14:paraId="7BCEE18B" w14:textId="27E0D0CC" w:rsidR="004E11FA" w:rsidRDefault="004E11FA" w:rsidP="006165BF">
            <w:pPr>
              <w:spacing w:after="240"/>
              <w:jc w:val="center"/>
              <w:rPr>
                <w:rFonts w:ascii="Verdana" w:hAnsi="Verdana"/>
                <w:sz w:val="20"/>
              </w:rPr>
            </w:pPr>
            <w:r>
              <w:rPr>
                <w:rFonts w:ascii="Verdana" w:hAnsi="Verdana"/>
                <w:sz w:val="20"/>
              </w:rPr>
              <w:lastRenderedPageBreak/>
              <w:t>1.6.</w:t>
            </w:r>
          </w:p>
        </w:tc>
        <w:tc>
          <w:tcPr>
            <w:tcW w:w="4616" w:type="dxa"/>
          </w:tcPr>
          <w:p w14:paraId="2B6DB56D" w14:textId="6BD1F1BB" w:rsidR="004E11FA" w:rsidRPr="004E11FA" w:rsidRDefault="004E11FA" w:rsidP="004E11FA">
            <w:pPr>
              <w:spacing w:after="240"/>
              <w:jc w:val="both"/>
              <w:rPr>
                <w:rFonts w:ascii="Verdana" w:hAnsi="Verdana"/>
                <w:sz w:val="20"/>
              </w:rPr>
            </w:pPr>
            <w:r w:rsidRPr="004E11FA">
              <w:rPr>
                <w:rFonts w:ascii="Verdana" w:hAnsi="Verdana"/>
                <w:sz w:val="20"/>
              </w:rPr>
              <w:t>12 p. II alternatyva, 2 lentelė.</w:t>
            </w:r>
          </w:p>
          <w:p w14:paraId="4AAF87CF" w14:textId="2AD5EC2B" w:rsidR="004E11FA" w:rsidRPr="004E11FA" w:rsidRDefault="004E11FA" w:rsidP="004E11FA">
            <w:pPr>
              <w:spacing w:after="240"/>
              <w:jc w:val="both"/>
              <w:rPr>
                <w:rFonts w:ascii="Verdana" w:hAnsi="Verdana"/>
                <w:sz w:val="20"/>
              </w:rPr>
            </w:pPr>
            <w:r w:rsidRPr="004E11FA">
              <w:rPr>
                <w:rFonts w:ascii="Verdana" w:hAnsi="Verdana"/>
                <w:sz w:val="20"/>
              </w:rPr>
              <w:t>38. Sistemoje turi būti fiksuojama duomenis įvedęs / įkėlęs sistemos naudotojas, duomenų įvedimo / įkėlimo data ir laikas, duomenų šaltinis</w:t>
            </w:r>
          </w:p>
        </w:tc>
        <w:tc>
          <w:tcPr>
            <w:tcW w:w="4678" w:type="dxa"/>
          </w:tcPr>
          <w:p w14:paraId="4AF9E2D8" w14:textId="1184B668" w:rsidR="004E11FA" w:rsidRPr="004E11FA" w:rsidRDefault="004E11FA" w:rsidP="00BA4793">
            <w:pPr>
              <w:jc w:val="both"/>
              <w:rPr>
                <w:rFonts w:ascii="Verdana" w:eastAsia="Verdana" w:hAnsi="Verdana" w:cs="Verdana"/>
                <w:sz w:val="20"/>
              </w:rPr>
            </w:pPr>
            <w:r w:rsidRPr="004E11FA">
              <w:rPr>
                <w:rFonts w:ascii="Verdana" w:eastAsia="Verdana" w:hAnsi="Verdana" w:cs="Verdana"/>
                <w:sz w:val="20"/>
              </w:rPr>
              <w:t>Patikslinkite, kas yra duomenų šaltinis?</w:t>
            </w:r>
          </w:p>
        </w:tc>
        <w:tc>
          <w:tcPr>
            <w:tcW w:w="4678" w:type="dxa"/>
          </w:tcPr>
          <w:p w14:paraId="6F805FB8" w14:textId="3920AE37" w:rsidR="004E11FA" w:rsidRDefault="005014E6" w:rsidP="00BA4793">
            <w:pPr>
              <w:jc w:val="both"/>
              <w:rPr>
                <w:rFonts w:ascii="Verdana" w:eastAsia="Verdana" w:hAnsi="Verdana" w:cs="Verdana"/>
                <w:sz w:val="20"/>
              </w:rPr>
            </w:pPr>
            <w:r w:rsidRPr="005014E6">
              <w:rPr>
                <w:rFonts w:ascii="Verdana" w:eastAsia="Verdana" w:hAnsi="Verdana" w:cs="Verdana"/>
                <w:sz w:val="20"/>
              </w:rPr>
              <w:t>Duomenų šaltinis – tai duomenų patekimo</w:t>
            </w:r>
            <w:r w:rsidRPr="005014E6">
              <w:rPr>
                <w:rFonts w:ascii="Verdana" w:eastAsia="Verdana" w:hAnsi="Verdana" w:cs="Verdana"/>
                <w:sz w:val="20"/>
              </w:rPr>
              <w:t xml:space="preserve"> </w:t>
            </w:r>
            <w:r w:rsidRPr="005014E6">
              <w:rPr>
                <w:rFonts w:ascii="Verdana" w:eastAsia="Verdana" w:hAnsi="Verdana" w:cs="Verdana"/>
                <w:sz w:val="20"/>
              </w:rPr>
              <w:t>į sistemą kanalas</w:t>
            </w:r>
            <w:r>
              <w:rPr>
                <w:rFonts w:ascii="Verdana" w:eastAsia="Verdana" w:hAnsi="Verdana" w:cs="Verdana"/>
                <w:sz w:val="20"/>
              </w:rPr>
              <w:t xml:space="preserve">, </w:t>
            </w:r>
            <w:r w:rsidRPr="005014E6">
              <w:rPr>
                <w:rFonts w:ascii="Verdana" w:eastAsia="Verdana" w:hAnsi="Verdana" w:cs="Verdana"/>
                <w:sz w:val="20"/>
              </w:rPr>
              <w:t>pavyzdžiui, el. paštas, kompiuteris, kita sistema arba kita duomenų sistema.</w:t>
            </w:r>
          </w:p>
        </w:tc>
      </w:tr>
      <w:tr w:rsidR="004E11FA" w:rsidRPr="004D0226" w14:paraId="1858AF36" w14:textId="77777777" w:rsidTr="00BE2219">
        <w:trPr>
          <w:trHeight w:val="839"/>
          <w:jc w:val="center"/>
        </w:trPr>
        <w:tc>
          <w:tcPr>
            <w:tcW w:w="766" w:type="dxa"/>
          </w:tcPr>
          <w:p w14:paraId="75E63544" w14:textId="46087DCB" w:rsidR="004E11FA" w:rsidRDefault="004E11FA" w:rsidP="006165BF">
            <w:pPr>
              <w:spacing w:after="240"/>
              <w:jc w:val="center"/>
              <w:rPr>
                <w:rFonts w:ascii="Verdana" w:hAnsi="Verdana"/>
                <w:sz w:val="20"/>
              </w:rPr>
            </w:pPr>
            <w:r>
              <w:rPr>
                <w:rFonts w:ascii="Verdana" w:hAnsi="Verdana"/>
                <w:sz w:val="20"/>
              </w:rPr>
              <w:t>1.7.</w:t>
            </w:r>
          </w:p>
        </w:tc>
        <w:tc>
          <w:tcPr>
            <w:tcW w:w="4616" w:type="dxa"/>
          </w:tcPr>
          <w:p w14:paraId="249B5293" w14:textId="77777777" w:rsidR="004E11FA" w:rsidRPr="004E11FA" w:rsidRDefault="004E11FA" w:rsidP="004E11FA">
            <w:pPr>
              <w:spacing w:after="240"/>
              <w:jc w:val="both"/>
              <w:rPr>
                <w:rFonts w:ascii="Verdana" w:hAnsi="Verdana"/>
                <w:sz w:val="20"/>
              </w:rPr>
            </w:pPr>
            <w:r w:rsidRPr="004E11FA">
              <w:rPr>
                <w:rFonts w:ascii="Verdana" w:hAnsi="Verdana"/>
                <w:sz w:val="20"/>
              </w:rPr>
              <w:t>12 p. II alternatyva, 2 lentelė.</w:t>
            </w:r>
          </w:p>
          <w:p w14:paraId="1B966C10" w14:textId="75BB9B5B" w:rsidR="004E11FA" w:rsidRPr="004E11FA" w:rsidRDefault="004E11FA" w:rsidP="004E11FA">
            <w:pPr>
              <w:spacing w:after="240"/>
              <w:jc w:val="both"/>
              <w:rPr>
                <w:rFonts w:ascii="Verdana" w:hAnsi="Verdana"/>
                <w:sz w:val="20"/>
              </w:rPr>
            </w:pPr>
            <w:r w:rsidRPr="004E11FA">
              <w:rPr>
                <w:rFonts w:ascii="Verdana" w:hAnsi="Verdana"/>
                <w:sz w:val="20"/>
              </w:rPr>
              <w:t>41.Ataskaitų formavimas už skirtingus laikotarpius (mėnesį, ketvirtį, metus ir kitus pagal poreikį nurodytus intervalus) turi būti realizuotas be papildomo programavimo, nustatant numatytus parametrus. Kiekvienas naudotojas turi galėti naudoti skirtingus individualius nustatymus.</w:t>
            </w:r>
          </w:p>
        </w:tc>
        <w:tc>
          <w:tcPr>
            <w:tcW w:w="4678" w:type="dxa"/>
          </w:tcPr>
          <w:p w14:paraId="74BC6D1D" w14:textId="2C17043B" w:rsidR="004E11FA" w:rsidRPr="004E11FA" w:rsidRDefault="004E11FA" w:rsidP="00BA4793">
            <w:pPr>
              <w:jc w:val="both"/>
              <w:rPr>
                <w:rFonts w:ascii="Verdana" w:eastAsia="Verdana" w:hAnsi="Verdana" w:cs="Verdana"/>
                <w:sz w:val="20"/>
              </w:rPr>
            </w:pPr>
            <w:r w:rsidRPr="004E11FA">
              <w:rPr>
                <w:rFonts w:ascii="Verdana" w:eastAsia="Verdana" w:hAnsi="Verdana" w:cs="Verdana"/>
                <w:sz w:val="20"/>
              </w:rPr>
              <w:t>Ar teisingai suprantame, kad reikalavimas nurodo, kad kiekvienas vartotojas turi galėti pasirinkti skirtingus periodas nuo ir periodas iki laikotarpius?</w:t>
            </w:r>
          </w:p>
        </w:tc>
        <w:tc>
          <w:tcPr>
            <w:tcW w:w="4678" w:type="dxa"/>
          </w:tcPr>
          <w:p w14:paraId="7BB2E06D" w14:textId="2A8DD555" w:rsidR="004E11FA" w:rsidRDefault="006F6943" w:rsidP="00BA4793">
            <w:pPr>
              <w:jc w:val="both"/>
              <w:rPr>
                <w:rFonts w:ascii="Verdana" w:eastAsia="Verdana" w:hAnsi="Verdana" w:cs="Verdana"/>
                <w:sz w:val="20"/>
              </w:rPr>
            </w:pPr>
            <w:r w:rsidRPr="006F6943">
              <w:rPr>
                <w:rFonts w:ascii="Verdana" w:eastAsia="Verdana" w:hAnsi="Verdana" w:cs="Verdana"/>
                <w:sz w:val="20"/>
              </w:rPr>
              <w:t>Taip, suprantate teisingai. Techninės specifikacijos 2 lentelės 41 eilutėje nurodytas reikalavimas reiškia, kad kiekvienas naudotojas turi turėti galimybę individualiai pasirinkti ataskaitų laikotarpius, t. y. nurodyti „nuo“ ir „iki“ datas ar kitus pageidaujamus intervalus, pagal kuriuos būtų formuojamos ataskaitos, be papildomo programavimo</w:t>
            </w:r>
            <w:r>
              <w:rPr>
                <w:rFonts w:ascii="Verdana" w:eastAsia="Verdana" w:hAnsi="Verdana" w:cs="Verdana"/>
                <w:sz w:val="20"/>
              </w:rPr>
              <w:t>.</w:t>
            </w:r>
          </w:p>
        </w:tc>
      </w:tr>
      <w:tr w:rsidR="004E11FA" w:rsidRPr="004D0226" w14:paraId="265CF8A2" w14:textId="77777777" w:rsidTr="00BE2219">
        <w:trPr>
          <w:trHeight w:val="839"/>
          <w:jc w:val="center"/>
        </w:trPr>
        <w:tc>
          <w:tcPr>
            <w:tcW w:w="766" w:type="dxa"/>
          </w:tcPr>
          <w:p w14:paraId="0FF4647C" w14:textId="7024B0DC" w:rsidR="004E11FA" w:rsidRDefault="004E11FA" w:rsidP="006165BF">
            <w:pPr>
              <w:spacing w:after="240"/>
              <w:jc w:val="center"/>
              <w:rPr>
                <w:rFonts w:ascii="Verdana" w:hAnsi="Verdana"/>
                <w:sz w:val="20"/>
              </w:rPr>
            </w:pPr>
            <w:r>
              <w:rPr>
                <w:rFonts w:ascii="Verdana" w:hAnsi="Verdana"/>
                <w:sz w:val="20"/>
              </w:rPr>
              <w:t>1.8.</w:t>
            </w:r>
          </w:p>
        </w:tc>
        <w:tc>
          <w:tcPr>
            <w:tcW w:w="4616" w:type="dxa"/>
          </w:tcPr>
          <w:p w14:paraId="12C34D30" w14:textId="41DCDDEA" w:rsidR="004E11FA" w:rsidRPr="004E11FA" w:rsidRDefault="004E11FA" w:rsidP="004E11FA">
            <w:pPr>
              <w:spacing w:after="240"/>
              <w:jc w:val="both"/>
              <w:rPr>
                <w:rFonts w:ascii="Verdana" w:hAnsi="Verdana"/>
                <w:sz w:val="20"/>
              </w:rPr>
            </w:pPr>
            <w:r w:rsidRPr="004E11FA">
              <w:rPr>
                <w:rFonts w:ascii="Verdana" w:hAnsi="Verdana"/>
                <w:sz w:val="20"/>
              </w:rPr>
              <w:t>12 p. II alternatyva, 2 lentelė.</w:t>
            </w:r>
          </w:p>
          <w:p w14:paraId="2DBFA7C3" w14:textId="6974D359" w:rsidR="004E11FA" w:rsidRPr="004E11FA" w:rsidRDefault="004E11FA" w:rsidP="004E11FA">
            <w:pPr>
              <w:spacing w:after="240"/>
              <w:jc w:val="both"/>
              <w:rPr>
                <w:rFonts w:ascii="Verdana" w:hAnsi="Verdana"/>
                <w:sz w:val="20"/>
              </w:rPr>
            </w:pPr>
            <w:r w:rsidRPr="004E11FA">
              <w:rPr>
                <w:rFonts w:ascii="Verdana" w:hAnsi="Verdana"/>
                <w:sz w:val="20"/>
              </w:rPr>
              <w:t>72. Sistemoje turi būti numatyta galimybė eksportuoti xlsx formatu ir atspausdinti darbdavio nustatytos formos darbo laiko apskaitos žiniaraštį (-čius) ar jo dalį nurodytai datai (pridedamas pavyzdys)</w:t>
            </w:r>
          </w:p>
        </w:tc>
        <w:tc>
          <w:tcPr>
            <w:tcW w:w="4678" w:type="dxa"/>
          </w:tcPr>
          <w:p w14:paraId="2C93BEF4" w14:textId="7DDF6805" w:rsidR="004E11FA" w:rsidRPr="004E11FA" w:rsidRDefault="004E11FA" w:rsidP="00BA4793">
            <w:pPr>
              <w:jc w:val="both"/>
              <w:rPr>
                <w:rFonts w:ascii="Verdana" w:eastAsia="Verdana" w:hAnsi="Verdana" w:cs="Verdana"/>
                <w:sz w:val="20"/>
              </w:rPr>
            </w:pPr>
            <w:r w:rsidRPr="004E11FA">
              <w:rPr>
                <w:rFonts w:ascii="Verdana" w:eastAsia="Verdana" w:hAnsi="Verdana" w:cs="Verdana"/>
                <w:sz w:val="20"/>
              </w:rPr>
              <w:t>Kur rasti pavyzdį?</w:t>
            </w:r>
          </w:p>
        </w:tc>
        <w:tc>
          <w:tcPr>
            <w:tcW w:w="4678" w:type="dxa"/>
          </w:tcPr>
          <w:p w14:paraId="3B116BAF" w14:textId="5FF6176E" w:rsidR="004E11FA" w:rsidRDefault="006F6943" w:rsidP="00BA4793">
            <w:pPr>
              <w:jc w:val="both"/>
              <w:rPr>
                <w:rFonts w:ascii="Verdana" w:eastAsia="Verdana" w:hAnsi="Verdana" w:cs="Verdana"/>
                <w:sz w:val="20"/>
              </w:rPr>
            </w:pPr>
            <w:r w:rsidRPr="006F6943">
              <w:rPr>
                <w:rFonts w:ascii="Verdana" w:eastAsia="Verdana" w:hAnsi="Verdana" w:cs="Verdana"/>
                <w:sz w:val="20"/>
              </w:rPr>
              <w:t>Darbo laiko apskaitos žiniaraščio pavyzdys bus pateiktas Pirkimą laimėjusiam Tiekėjui po sutarties pasirašymo.</w:t>
            </w:r>
          </w:p>
        </w:tc>
      </w:tr>
      <w:tr w:rsidR="004E11FA" w:rsidRPr="004D0226" w14:paraId="1A35B176" w14:textId="77777777" w:rsidTr="006F6943">
        <w:trPr>
          <w:trHeight w:val="420"/>
          <w:jc w:val="center"/>
        </w:trPr>
        <w:tc>
          <w:tcPr>
            <w:tcW w:w="766" w:type="dxa"/>
          </w:tcPr>
          <w:p w14:paraId="336FD34C" w14:textId="13E3424B" w:rsidR="004E11FA" w:rsidRDefault="004E11FA" w:rsidP="006165BF">
            <w:pPr>
              <w:spacing w:after="240"/>
              <w:jc w:val="center"/>
              <w:rPr>
                <w:rFonts w:ascii="Verdana" w:hAnsi="Verdana"/>
                <w:sz w:val="20"/>
              </w:rPr>
            </w:pPr>
            <w:r>
              <w:rPr>
                <w:rFonts w:ascii="Verdana" w:hAnsi="Verdana"/>
                <w:sz w:val="20"/>
              </w:rPr>
              <w:t>1.9.</w:t>
            </w:r>
          </w:p>
        </w:tc>
        <w:tc>
          <w:tcPr>
            <w:tcW w:w="4616" w:type="dxa"/>
          </w:tcPr>
          <w:p w14:paraId="7EF2FCD8" w14:textId="4CB70B3B" w:rsidR="004E11FA" w:rsidRPr="004E11FA" w:rsidRDefault="004E11FA" w:rsidP="004E11FA">
            <w:pPr>
              <w:spacing w:after="240"/>
              <w:jc w:val="both"/>
              <w:rPr>
                <w:rFonts w:ascii="Verdana" w:hAnsi="Verdana"/>
                <w:sz w:val="20"/>
              </w:rPr>
            </w:pPr>
            <w:r w:rsidRPr="004E11FA">
              <w:rPr>
                <w:rFonts w:ascii="Verdana" w:hAnsi="Verdana"/>
                <w:sz w:val="20"/>
              </w:rPr>
              <w:t>12 p. II alternatyva, 2 lentelė.</w:t>
            </w:r>
          </w:p>
          <w:p w14:paraId="6409C9B2" w14:textId="4ADAF35D" w:rsidR="004E11FA" w:rsidRPr="004E11FA" w:rsidRDefault="004E11FA" w:rsidP="004E11FA">
            <w:pPr>
              <w:spacing w:after="240"/>
              <w:jc w:val="both"/>
              <w:rPr>
                <w:rFonts w:ascii="Verdana" w:hAnsi="Verdana"/>
                <w:sz w:val="20"/>
              </w:rPr>
            </w:pPr>
            <w:r w:rsidRPr="004E11FA">
              <w:rPr>
                <w:rFonts w:ascii="Verdana" w:hAnsi="Verdana"/>
                <w:sz w:val="20"/>
              </w:rPr>
              <w:t>81. Darbo užmokesčio apskaitos funkcionalumas leidžia koreguoti užregistruotus įrašus tik per reversinius įrašus</w:t>
            </w:r>
          </w:p>
        </w:tc>
        <w:tc>
          <w:tcPr>
            <w:tcW w:w="4678" w:type="dxa"/>
          </w:tcPr>
          <w:p w14:paraId="668BAF9E" w14:textId="150D50CC" w:rsidR="004E11FA" w:rsidRPr="004E11FA" w:rsidRDefault="004E11FA" w:rsidP="00BA4793">
            <w:pPr>
              <w:jc w:val="both"/>
              <w:rPr>
                <w:rFonts w:ascii="Verdana" w:eastAsia="Verdana" w:hAnsi="Verdana" w:cs="Verdana"/>
                <w:sz w:val="20"/>
              </w:rPr>
            </w:pPr>
            <w:r w:rsidRPr="004E11FA">
              <w:rPr>
                <w:rFonts w:ascii="Verdana" w:eastAsia="Verdana" w:hAnsi="Verdana" w:cs="Verdana"/>
                <w:sz w:val="20"/>
              </w:rPr>
              <w:t>Patikslinkite, ar viskas turi būti koreguojama tik reversiniais įrašais? Ar, pavyzdžiui, tik po periodo uždarymo?</w:t>
            </w:r>
          </w:p>
        </w:tc>
        <w:tc>
          <w:tcPr>
            <w:tcW w:w="4678" w:type="dxa"/>
          </w:tcPr>
          <w:p w14:paraId="43B4ED86" w14:textId="66CBBDFF" w:rsidR="006F6943" w:rsidRPr="006F6943" w:rsidRDefault="006F6943" w:rsidP="006F6943">
            <w:pPr>
              <w:jc w:val="both"/>
              <w:rPr>
                <w:rFonts w:ascii="Verdana" w:eastAsia="Verdana" w:hAnsi="Verdana" w:cs="Verdana"/>
                <w:sz w:val="20"/>
              </w:rPr>
            </w:pPr>
            <w:r w:rsidRPr="006F6943">
              <w:rPr>
                <w:rFonts w:ascii="Verdana" w:eastAsia="Verdana" w:hAnsi="Verdana" w:cs="Verdana"/>
                <w:sz w:val="20"/>
              </w:rPr>
              <w:t>Techninės specifikacijos 2 lentelės 81 eilutėje nurodytas reikalavimas numato, kad darbo užmokesčio apskaitos sistemoje užregistruoti įrašai būtų koreguojami tik naudojant reversinius įrašus, siekiant užtikrinti apskaitos duomenų vientisumą ir skaidrumą. Tai reiškia, kad tiesioginiai įrašų redagavimai nėra leidžiami.</w:t>
            </w:r>
          </w:p>
          <w:p w14:paraId="17DD2734" w14:textId="0F08FC82" w:rsidR="004E11FA" w:rsidRDefault="006F6943" w:rsidP="006F6943">
            <w:pPr>
              <w:jc w:val="both"/>
              <w:rPr>
                <w:rFonts w:ascii="Verdana" w:eastAsia="Verdana" w:hAnsi="Verdana" w:cs="Verdana"/>
                <w:sz w:val="20"/>
              </w:rPr>
            </w:pPr>
            <w:r w:rsidRPr="006F6943">
              <w:rPr>
                <w:rFonts w:ascii="Verdana" w:eastAsia="Verdana" w:hAnsi="Verdana" w:cs="Verdana"/>
                <w:sz w:val="20"/>
              </w:rPr>
              <w:t xml:space="preserve">Koregavimai reversiniais įrašais gali būti atliekami tiek prieš, tiek po atitinkamo periodo uždarymo, priklausomai nuo Perkančiosios organizacijos vidinių apskaitos taisyklių ir reikalavimų. Konkretūs </w:t>
            </w:r>
            <w:r w:rsidRPr="006F6943">
              <w:rPr>
                <w:rFonts w:ascii="Verdana" w:eastAsia="Verdana" w:hAnsi="Verdana" w:cs="Verdana"/>
                <w:sz w:val="20"/>
              </w:rPr>
              <w:lastRenderedPageBreak/>
              <w:t>koregavimo procesai ir terminai bus suderinti diegimo metu.</w:t>
            </w:r>
          </w:p>
        </w:tc>
      </w:tr>
      <w:tr w:rsidR="004E11FA" w:rsidRPr="004D0226" w14:paraId="13BCDEE9" w14:textId="77777777" w:rsidTr="00BE2219">
        <w:trPr>
          <w:trHeight w:val="839"/>
          <w:jc w:val="center"/>
        </w:trPr>
        <w:tc>
          <w:tcPr>
            <w:tcW w:w="766" w:type="dxa"/>
          </w:tcPr>
          <w:p w14:paraId="3263C94B" w14:textId="710E995B" w:rsidR="004E11FA" w:rsidRDefault="004E11FA" w:rsidP="006165BF">
            <w:pPr>
              <w:spacing w:after="240"/>
              <w:jc w:val="center"/>
              <w:rPr>
                <w:rFonts w:ascii="Verdana" w:hAnsi="Verdana"/>
                <w:sz w:val="20"/>
              </w:rPr>
            </w:pPr>
            <w:r>
              <w:rPr>
                <w:rFonts w:ascii="Verdana" w:hAnsi="Verdana"/>
                <w:sz w:val="20"/>
              </w:rPr>
              <w:lastRenderedPageBreak/>
              <w:t>1.10.</w:t>
            </w:r>
          </w:p>
        </w:tc>
        <w:tc>
          <w:tcPr>
            <w:tcW w:w="4616" w:type="dxa"/>
          </w:tcPr>
          <w:p w14:paraId="5084A59B" w14:textId="1B8E77A0" w:rsidR="004E11FA" w:rsidRPr="004E11FA" w:rsidRDefault="004E11FA" w:rsidP="004E11FA">
            <w:pPr>
              <w:spacing w:after="240"/>
              <w:jc w:val="both"/>
              <w:rPr>
                <w:rFonts w:ascii="Verdana" w:hAnsi="Verdana"/>
                <w:sz w:val="20"/>
              </w:rPr>
            </w:pPr>
            <w:r w:rsidRPr="004E11FA">
              <w:rPr>
                <w:rFonts w:ascii="Verdana" w:hAnsi="Verdana"/>
                <w:sz w:val="20"/>
              </w:rPr>
              <w:t>12 p. II alternatyva, 2 lentelė.</w:t>
            </w:r>
          </w:p>
          <w:p w14:paraId="0BD20F31" w14:textId="77777777" w:rsidR="004E11FA" w:rsidRPr="004E11FA" w:rsidRDefault="004E11FA" w:rsidP="004E11FA">
            <w:pPr>
              <w:spacing w:after="240"/>
              <w:jc w:val="both"/>
              <w:rPr>
                <w:rFonts w:ascii="Verdana" w:hAnsi="Verdana"/>
                <w:sz w:val="20"/>
              </w:rPr>
            </w:pPr>
            <w:r w:rsidRPr="004E11FA">
              <w:rPr>
                <w:rFonts w:ascii="Verdana" w:hAnsi="Verdana"/>
                <w:sz w:val="20"/>
              </w:rPr>
              <w:t xml:space="preserve">118. Etato ir paskyrimo į jį keitimo istorija: etatų dydžių keitimų istorija ir visų atlygio dalių keitimo istorija (ne tik pareiginės algos ar valandinio įkainio) (Poreikio pavyzdys: metų pabaigoje reikia suskaičiuoti pamėnesiui kokie buvo etato pokyčiai organizacijoje arba pagal padalinį (visi padalinių lygiai):   </w:t>
            </w:r>
          </w:p>
          <w:p w14:paraId="65910083" w14:textId="4444908E" w:rsidR="004E11FA" w:rsidRPr="004E11FA" w:rsidRDefault="004E11FA" w:rsidP="004E11FA">
            <w:pPr>
              <w:spacing w:after="240"/>
              <w:jc w:val="both"/>
              <w:rPr>
                <w:rFonts w:ascii="Verdana" w:hAnsi="Verdana"/>
                <w:sz w:val="20"/>
              </w:rPr>
            </w:pPr>
            <w:r w:rsidRPr="004E11FA">
              <w:rPr>
                <w:rFonts w:ascii="Verdana" w:hAnsi="Verdana"/>
                <w:sz w:val="20"/>
              </w:rPr>
              <w:t xml:space="preserve">1) Įsteigti etatai – skaičius ir nuo kada įsteigti nauji  etatai, </w:t>
            </w:r>
          </w:p>
          <w:p w14:paraId="15F36664" w14:textId="156A6E35" w:rsidR="004E11FA" w:rsidRPr="004E11FA" w:rsidRDefault="004E11FA" w:rsidP="004E11FA">
            <w:pPr>
              <w:spacing w:after="240"/>
              <w:jc w:val="both"/>
              <w:rPr>
                <w:rFonts w:ascii="Verdana" w:hAnsi="Verdana"/>
                <w:sz w:val="20"/>
              </w:rPr>
            </w:pPr>
            <w:r w:rsidRPr="004E11FA">
              <w:rPr>
                <w:rFonts w:ascii="Verdana" w:hAnsi="Verdana"/>
                <w:sz w:val="20"/>
              </w:rPr>
              <w:t xml:space="preserve">2) užimti etatai – skaičius ir nuo kada įdarbinta;  </w:t>
            </w:r>
          </w:p>
          <w:p w14:paraId="392E18B7" w14:textId="35ABD170" w:rsidR="004E11FA" w:rsidRPr="004E11FA" w:rsidRDefault="004E11FA" w:rsidP="004E11FA">
            <w:pPr>
              <w:spacing w:after="240"/>
              <w:jc w:val="both"/>
              <w:rPr>
                <w:rFonts w:ascii="Verdana" w:hAnsi="Verdana"/>
                <w:sz w:val="20"/>
              </w:rPr>
            </w:pPr>
            <w:r w:rsidRPr="004E11FA">
              <w:rPr>
                <w:rFonts w:ascii="Verdana" w:hAnsi="Verdana"/>
                <w:sz w:val="20"/>
              </w:rPr>
              <w:t xml:space="preserve">3) laisvi etatai – skaičius ir nuo kada laisvi; pabaigoje turi būti bendras etatų skaičius  </w:t>
            </w:r>
          </w:p>
        </w:tc>
        <w:tc>
          <w:tcPr>
            <w:tcW w:w="4678" w:type="dxa"/>
          </w:tcPr>
          <w:p w14:paraId="3876EF7C" w14:textId="478DEAD3" w:rsidR="004E11FA" w:rsidRPr="004E11FA" w:rsidRDefault="004E11FA" w:rsidP="00BA4793">
            <w:pPr>
              <w:jc w:val="both"/>
              <w:rPr>
                <w:rFonts w:ascii="Verdana" w:eastAsia="Verdana" w:hAnsi="Verdana" w:cs="Verdana"/>
                <w:sz w:val="20"/>
              </w:rPr>
            </w:pPr>
            <w:r w:rsidRPr="004E11FA">
              <w:rPr>
                <w:rFonts w:ascii="Verdana" w:eastAsia="Verdana" w:hAnsi="Verdana" w:cs="Verdana"/>
                <w:sz w:val="20"/>
              </w:rPr>
              <w:t>Prašome, pateikti ataskaitos pavyzdį.</w:t>
            </w:r>
          </w:p>
        </w:tc>
        <w:tc>
          <w:tcPr>
            <w:tcW w:w="4678" w:type="dxa"/>
          </w:tcPr>
          <w:p w14:paraId="45CE3B11" w14:textId="3B7A321D" w:rsidR="004E11FA" w:rsidRDefault="006F6943" w:rsidP="00BA4793">
            <w:pPr>
              <w:jc w:val="both"/>
              <w:rPr>
                <w:rFonts w:ascii="Verdana" w:eastAsia="Verdana" w:hAnsi="Verdana" w:cs="Verdana"/>
                <w:sz w:val="20"/>
              </w:rPr>
            </w:pPr>
            <w:r w:rsidRPr="006F6943">
              <w:rPr>
                <w:rFonts w:ascii="Verdana" w:eastAsia="Verdana" w:hAnsi="Verdana" w:cs="Verdana"/>
                <w:sz w:val="20"/>
              </w:rPr>
              <w:t>Visi pavyzdiniai ataskaitų šablonai, įskaitant etatų ir paskyrimų keitimo istorijos ataskaitą, bus pateikti laimėjusiam Tiekėjui po sutarties pasirašymo.</w:t>
            </w:r>
          </w:p>
        </w:tc>
      </w:tr>
      <w:tr w:rsidR="004E11FA" w:rsidRPr="004D0226" w14:paraId="0F1F13D1" w14:textId="77777777" w:rsidTr="00BE2219">
        <w:trPr>
          <w:trHeight w:val="839"/>
          <w:jc w:val="center"/>
        </w:trPr>
        <w:tc>
          <w:tcPr>
            <w:tcW w:w="766" w:type="dxa"/>
          </w:tcPr>
          <w:p w14:paraId="5C28A456" w14:textId="74407241" w:rsidR="004E11FA" w:rsidRDefault="004E11FA" w:rsidP="006165BF">
            <w:pPr>
              <w:spacing w:after="240"/>
              <w:jc w:val="center"/>
              <w:rPr>
                <w:rFonts w:ascii="Verdana" w:hAnsi="Verdana"/>
                <w:sz w:val="20"/>
              </w:rPr>
            </w:pPr>
            <w:r>
              <w:rPr>
                <w:rFonts w:ascii="Verdana" w:hAnsi="Verdana"/>
                <w:sz w:val="20"/>
              </w:rPr>
              <w:t>1.11.</w:t>
            </w:r>
          </w:p>
        </w:tc>
        <w:tc>
          <w:tcPr>
            <w:tcW w:w="4616" w:type="dxa"/>
          </w:tcPr>
          <w:p w14:paraId="5C84C995" w14:textId="77777777" w:rsidR="004E11FA" w:rsidRPr="004E11FA" w:rsidRDefault="004E11FA" w:rsidP="004E11FA">
            <w:pPr>
              <w:spacing w:after="240"/>
              <w:jc w:val="both"/>
              <w:rPr>
                <w:rFonts w:ascii="Verdana" w:hAnsi="Verdana"/>
                <w:sz w:val="20"/>
              </w:rPr>
            </w:pPr>
            <w:r w:rsidRPr="004E11FA">
              <w:rPr>
                <w:rFonts w:ascii="Verdana" w:hAnsi="Verdana"/>
                <w:sz w:val="20"/>
              </w:rPr>
              <w:t>12 p. II alternatyva, 2 lentelė.</w:t>
            </w:r>
          </w:p>
          <w:p w14:paraId="57087AD4" w14:textId="77777777" w:rsidR="004E11FA" w:rsidRPr="004E11FA" w:rsidRDefault="004E11FA" w:rsidP="004E11FA">
            <w:pPr>
              <w:spacing w:after="240"/>
              <w:jc w:val="both"/>
              <w:rPr>
                <w:rFonts w:ascii="Verdana" w:hAnsi="Verdana"/>
                <w:sz w:val="20"/>
              </w:rPr>
            </w:pPr>
            <w:r w:rsidRPr="004E11FA">
              <w:rPr>
                <w:rFonts w:ascii="Verdana" w:hAnsi="Verdana"/>
                <w:sz w:val="20"/>
              </w:rPr>
              <w:t xml:space="preserve">119. Etatų skaičius su vidutiniu DU nustatytam periodui (ataskaitoje turi būti šie duomenys: padalinys, bendras etatų skaičius, užimtų etatų skaičius, laisvų etatų skaičius, periodas, darbuotojų skaičius, vidutinis DU etatui).   </w:t>
            </w:r>
          </w:p>
          <w:p w14:paraId="1E354F23" w14:textId="3973BD81" w:rsidR="004E11FA" w:rsidRPr="004E11FA" w:rsidRDefault="004E11FA" w:rsidP="004E11FA">
            <w:pPr>
              <w:spacing w:after="240"/>
              <w:jc w:val="both"/>
              <w:rPr>
                <w:rFonts w:ascii="Verdana" w:hAnsi="Verdana"/>
                <w:sz w:val="20"/>
              </w:rPr>
            </w:pPr>
            <w:r w:rsidRPr="004E11FA">
              <w:rPr>
                <w:rFonts w:ascii="Verdana" w:hAnsi="Verdana"/>
                <w:sz w:val="20"/>
              </w:rPr>
              <w:t xml:space="preserve">Vidutinis DU apskaičiuojamas sudėjus visas atlygio formas, kurias gauna darbuotojas (pareiginis atlygis, kintamas atlygis, viršvalandžiai, darbas naktį, priedai, darbas švenčių ir poilsio dienomis) ir padalinus iš etatų skaičiaus  </w:t>
            </w:r>
          </w:p>
        </w:tc>
        <w:tc>
          <w:tcPr>
            <w:tcW w:w="4678" w:type="dxa"/>
          </w:tcPr>
          <w:p w14:paraId="7E29A7A9" w14:textId="1C5A588A" w:rsidR="004E11FA" w:rsidRPr="004E11FA" w:rsidRDefault="004E11FA" w:rsidP="00BA4793">
            <w:pPr>
              <w:jc w:val="both"/>
              <w:rPr>
                <w:rFonts w:ascii="Verdana" w:eastAsia="Verdana" w:hAnsi="Verdana" w:cs="Verdana"/>
                <w:sz w:val="20"/>
              </w:rPr>
            </w:pPr>
            <w:r w:rsidRPr="004E11FA">
              <w:rPr>
                <w:rFonts w:ascii="Verdana" w:eastAsia="Verdana" w:hAnsi="Verdana" w:cs="Verdana"/>
                <w:sz w:val="20"/>
              </w:rPr>
              <w:t>Prašome, pateikti ataskaitos pavyzdį.</w:t>
            </w:r>
          </w:p>
        </w:tc>
        <w:tc>
          <w:tcPr>
            <w:tcW w:w="4678" w:type="dxa"/>
          </w:tcPr>
          <w:p w14:paraId="1F11F635" w14:textId="5428F51C" w:rsidR="004E11FA" w:rsidRDefault="006F6943" w:rsidP="00BA4793">
            <w:pPr>
              <w:jc w:val="both"/>
              <w:rPr>
                <w:rFonts w:ascii="Verdana" w:eastAsia="Verdana" w:hAnsi="Verdana" w:cs="Verdana"/>
                <w:sz w:val="20"/>
              </w:rPr>
            </w:pPr>
            <w:r w:rsidRPr="006F6943">
              <w:rPr>
                <w:rFonts w:ascii="Verdana" w:eastAsia="Verdana" w:hAnsi="Verdana" w:cs="Verdana"/>
                <w:sz w:val="20"/>
              </w:rPr>
              <w:t>Visi reikalavimus atitinkančių ataskaitų</w:t>
            </w:r>
            <w:r>
              <w:rPr>
                <w:rFonts w:ascii="Verdana" w:eastAsia="Verdana" w:hAnsi="Verdana" w:cs="Verdana"/>
                <w:sz w:val="20"/>
              </w:rPr>
              <w:t xml:space="preserve"> </w:t>
            </w:r>
            <w:r w:rsidRPr="006F6943">
              <w:rPr>
                <w:rFonts w:ascii="Verdana" w:eastAsia="Verdana" w:hAnsi="Verdana" w:cs="Verdana"/>
                <w:sz w:val="20"/>
              </w:rPr>
              <w:t>šablonai, įskaitant ataskaitą dėl etatų skaičiaus ir vidutinio darbo užmokesčio, bus pateikti laimėjusiam Tiekėjui po sutarties pasirašymo.</w:t>
            </w:r>
          </w:p>
        </w:tc>
      </w:tr>
      <w:tr w:rsidR="00EE2CFE" w:rsidRPr="004D0226" w14:paraId="43B88BAE" w14:textId="77777777" w:rsidTr="00BE2219">
        <w:trPr>
          <w:trHeight w:val="839"/>
          <w:jc w:val="center"/>
        </w:trPr>
        <w:tc>
          <w:tcPr>
            <w:tcW w:w="766" w:type="dxa"/>
          </w:tcPr>
          <w:p w14:paraId="64C893D6" w14:textId="193CD93C" w:rsidR="00EE2CFE" w:rsidRDefault="00EE2CFE" w:rsidP="006165BF">
            <w:pPr>
              <w:spacing w:after="240"/>
              <w:jc w:val="center"/>
              <w:rPr>
                <w:rFonts w:ascii="Verdana" w:hAnsi="Verdana"/>
                <w:sz w:val="20"/>
              </w:rPr>
            </w:pPr>
            <w:r>
              <w:rPr>
                <w:rFonts w:ascii="Verdana" w:hAnsi="Verdana"/>
                <w:sz w:val="20"/>
              </w:rPr>
              <w:lastRenderedPageBreak/>
              <w:t>1.12.</w:t>
            </w:r>
          </w:p>
        </w:tc>
        <w:tc>
          <w:tcPr>
            <w:tcW w:w="4616" w:type="dxa"/>
          </w:tcPr>
          <w:p w14:paraId="1E7A22A2" w14:textId="07AA9617" w:rsidR="00EE2CFE" w:rsidRPr="00EE2CFE" w:rsidRDefault="00EE2CFE" w:rsidP="00EE2CFE">
            <w:pPr>
              <w:spacing w:after="240"/>
              <w:jc w:val="both"/>
              <w:rPr>
                <w:rFonts w:ascii="Verdana" w:hAnsi="Verdana"/>
                <w:sz w:val="20"/>
              </w:rPr>
            </w:pPr>
            <w:r w:rsidRPr="00EE2CFE">
              <w:rPr>
                <w:rFonts w:ascii="Verdana" w:hAnsi="Verdana"/>
                <w:sz w:val="20"/>
              </w:rPr>
              <w:t>12 p. II alternatyva, 2 lentelė.</w:t>
            </w:r>
          </w:p>
          <w:p w14:paraId="6F4C0206" w14:textId="364CA76E" w:rsidR="00EE2CFE" w:rsidRPr="00EE2CFE" w:rsidRDefault="00EE2CFE" w:rsidP="00EE2CFE">
            <w:pPr>
              <w:spacing w:after="240"/>
              <w:jc w:val="both"/>
              <w:rPr>
                <w:rFonts w:ascii="Verdana" w:hAnsi="Verdana"/>
                <w:sz w:val="20"/>
              </w:rPr>
            </w:pPr>
            <w:r w:rsidRPr="00EE2CFE">
              <w:rPr>
                <w:rFonts w:ascii="Verdana" w:hAnsi="Verdana"/>
                <w:sz w:val="20"/>
              </w:rPr>
              <w:t xml:space="preserve">120. Etatų sąrašas, gaunant išsamius duomenis apie pareigybę (etato numeris, organizacijos struktūros vienetas (visa seka nuo N-1), pareigų pavadinimas, etato įsteigimo data, etato panaikinimo data, darbo užmokestis (nustatyta pareiginė alga ir kitos atlyginimo dedamosios),  </w:t>
            </w:r>
          </w:p>
          <w:p w14:paraId="7D45A36A" w14:textId="35BFEDD8" w:rsidR="00EE2CFE" w:rsidRPr="00EE2CFE" w:rsidRDefault="00EE2CFE" w:rsidP="00EE2CFE">
            <w:pPr>
              <w:spacing w:after="240"/>
              <w:jc w:val="both"/>
              <w:rPr>
                <w:rFonts w:ascii="Verdana" w:hAnsi="Verdana"/>
                <w:sz w:val="20"/>
              </w:rPr>
            </w:pPr>
            <w:r w:rsidRPr="00EE2CFE">
              <w:rPr>
                <w:rFonts w:ascii="Verdana" w:hAnsi="Verdana"/>
                <w:sz w:val="20"/>
              </w:rPr>
              <w:t xml:space="preserve">pareigybės lygmuo (2 skaičiai), pareigybės kodas pagal LR profesijų klasifikatorių, papildomi laukai pagal poreikį etatų rūšiavimui). Turi būti galimybė greta etato gauti visų etato paskyrimų informaciją: tabelio numeris, vardas, pavardė, darbuotojo įdarbinimo data, darbo užmokestis (nustatyta pareiginė alga ir kitos atlyginimo dedamosios), pareigų pavadinimas, org. struktūros vieneto pavadinimas. Jeigu yra daugiau kaip 1 paskyrimas (terminuotas pavadavimas ilgalaikio neatvykimo atvejais) rodoma tiek paskyrimų kiek yra ta pačia logika.  </w:t>
            </w:r>
          </w:p>
          <w:p w14:paraId="7DDC6E73" w14:textId="739B1570" w:rsidR="00EE2CFE" w:rsidRPr="004E11FA" w:rsidRDefault="00EE2CFE" w:rsidP="00EE2CFE">
            <w:pPr>
              <w:spacing w:after="240"/>
              <w:jc w:val="both"/>
              <w:rPr>
                <w:rFonts w:ascii="Verdana" w:hAnsi="Verdana"/>
                <w:sz w:val="20"/>
              </w:rPr>
            </w:pPr>
            <w:r w:rsidRPr="00EE2CFE">
              <w:rPr>
                <w:rFonts w:ascii="Verdana" w:hAnsi="Verdana"/>
                <w:sz w:val="20"/>
              </w:rPr>
              <w:t xml:space="preserve">Formuojant sąrašą turi būti galimybė matyti darbuotojo ilgalaikio neatvykimo, jei jis nedirba ataskaitos formavimo metu, tipą (nurodant, kad imtų su/be ilgalaikiais neatvykimais)  </w:t>
            </w:r>
          </w:p>
        </w:tc>
        <w:tc>
          <w:tcPr>
            <w:tcW w:w="4678" w:type="dxa"/>
          </w:tcPr>
          <w:p w14:paraId="0C863FB2" w14:textId="0F8F4DDB" w:rsidR="00EE2CFE" w:rsidRPr="004E11FA" w:rsidRDefault="00EE2CFE" w:rsidP="00BA4793">
            <w:pPr>
              <w:jc w:val="both"/>
              <w:rPr>
                <w:rFonts w:ascii="Verdana" w:eastAsia="Verdana" w:hAnsi="Verdana" w:cs="Verdana"/>
                <w:sz w:val="20"/>
              </w:rPr>
            </w:pPr>
            <w:r w:rsidRPr="00EE2CFE">
              <w:rPr>
                <w:rFonts w:ascii="Verdana" w:eastAsia="Verdana" w:hAnsi="Verdana" w:cs="Verdana"/>
                <w:sz w:val="20"/>
              </w:rPr>
              <w:t>Prašome, pateikti ataskaitos pavyzdį.</w:t>
            </w:r>
          </w:p>
        </w:tc>
        <w:tc>
          <w:tcPr>
            <w:tcW w:w="4678" w:type="dxa"/>
          </w:tcPr>
          <w:p w14:paraId="15464457" w14:textId="21468D67" w:rsidR="00EE2CFE" w:rsidRDefault="006F6943" w:rsidP="00BA4793">
            <w:pPr>
              <w:jc w:val="both"/>
              <w:rPr>
                <w:rFonts w:ascii="Verdana" w:eastAsia="Verdana" w:hAnsi="Verdana" w:cs="Verdana"/>
                <w:sz w:val="20"/>
              </w:rPr>
            </w:pPr>
            <w:r w:rsidRPr="006F6943">
              <w:rPr>
                <w:rFonts w:ascii="Verdana" w:eastAsia="Verdana" w:hAnsi="Verdana" w:cs="Verdana"/>
                <w:sz w:val="20"/>
              </w:rPr>
              <w:t>Visi ataskaitų šablonai, įskaitant detalų etatų sąrašą su paskyrimų informacija ir ilgalaikio neatvykimo duomenimis, bus pateikti laimėjusiam Tiekėjui</w:t>
            </w:r>
            <w:r>
              <w:rPr>
                <w:rFonts w:ascii="Verdana" w:eastAsia="Verdana" w:hAnsi="Verdana" w:cs="Verdana"/>
                <w:sz w:val="20"/>
              </w:rPr>
              <w:t xml:space="preserve"> </w:t>
            </w:r>
            <w:r w:rsidRPr="006F6943">
              <w:rPr>
                <w:rFonts w:ascii="Verdana" w:eastAsia="Verdana" w:hAnsi="Verdana" w:cs="Verdana"/>
                <w:sz w:val="20"/>
              </w:rPr>
              <w:t>po sutarties pasirašymo.</w:t>
            </w:r>
          </w:p>
        </w:tc>
      </w:tr>
      <w:tr w:rsidR="00EE2CFE" w:rsidRPr="004D0226" w14:paraId="47FAACB2" w14:textId="77777777" w:rsidTr="00BE2219">
        <w:trPr>
          <w:trHeight w:val="839"/>
          <w:jc w:val="center"/>
        </w:trPr>
        <w:tc>
          <w:tcPr>
            <w:tcW w:w="766" w:type="dxa"/>
          </w:tcPr>
          <w:p w14:paraId="2BF91F76" w14:textId="7A5B66A4" w:rsidR="00EE2CFE" w:rsidRDefault="00EE2CFE" w:rsidP="006165BF">
            <w:pPr>
              <w:spacing w:after="240"/>
              <w:jc w:val="center"/>
              <w:rPr>
                <w:rFonts w:ascii="Verdana" w:hAnsi="Verdana"/>
                <w:sz w:val="20"/>
              </w:rPr>
            </w:pPr>
            <w:r>
              <w:rPr>
                <w:rFonts w:ascii="Verdana" w:hAnsi="Verdana"/>
                <w:sz w:val="20"/>
              </w:rPr>
              <w:t>1.13.</w:t>
            </w:r>
          </w:p>
        </w:tc>
        <w:tc>
          <w:tcPr>
            <w:tcW w:w="4616" w:type="dxa"/>
          </w:tcPr>
          <w:p w14:paraId="6F1AA505" w14:textId="7BB36549" w:rsidR="00EE2CFE" w:rsidRPr="00EE2CFE" w:rsidRDefault="00EE2CFE" w:rsidP="00EE2CFE">
            <w:pPr>
              <w:spacing w:after="240"/>
              <w:jc w:val="both"/>
              <w:rPr>
                <w:rFonts w:ascii="Verdana" w:hAnsi="Verdana"/>
                <w:sz w:val="20"/>
              </w:rPr>
            </w:pPr>
            <w:r w:rsidRPr="00EE2CFE">
              <w:rPr>
                <w:rFonts w:ascii="Verdana" w:hAnsi="Verdana"/>
                <w:sz w:val="20"/>
              </w:rPr>
              <w:t>12 p. II alternatyva, 2 lentelė.</w:t>
            </w:r>
          </w:p>
          <w:p w14:paraId="0F38C544" w14:textId="6C39AD1F" w:rsidR="00EE2CFE" w:rsidRPr="00EE2CFE" w:rsidRDefault="00EE2CFE" w:rsidP="00EE2CFE">
            <w:pPr>
              <w:spacing w:after="240"/>
              <w:jc w:val="both"/>
              <w:rPr>
                <w:rFonts w:ascii="Verdana" w:hAnsi="Verdana"/>
                <w:sz w:val="20"/>
              </w:rPr>
            </w:pPr>
            <w:r w:rsidRPr="00EE2CFE">
              <w:rPr>
                <w:rFonts w:ascii="Verdana" w:hAnsi="Verdana"/>
                <w:sz w:val="20"/>
              </w:rPr>
              <w:t xml:space="preserve">123. Darbuotojų sąrašas įvairiais pjūviais (pareigos, padalinys, etato dydis, darbo sutarties tipas, nepertraukiamo darbo trukmė įmonėje, adresai, gimimo datos ir kt., atlyginimas (pareiginis ir jo sudedamosios dalys (priedai, kintama </w:t>
            </w:r>
            <w:r w:rsidRPr="00EE2CFE">
              <w:rPr>
                <w:rFonts w:ascii="Verdana" w:hAnsi="Verdana"/>
                <w:sz w:val="20"/>
              </w:rPr>
              <w:lastRenderedPageBreak/>
              <w:t>atlyginimo dalis, premijos, viršvalandžiai, funkcijų gretinimas, funkcijų jungimas), autorinis atlyginimas.  Formuojant sąrašą turi matytis darbuotojo ilgalaikio neatvykimo, jei jis nedirba ataskaitos formavimo metu, tipas. Turi būti galimybė formuoti darbuotojų sąrašą su/be ilgalaikiais neatvykimais</w:t>
            </w:r>
          </w:p>
        </w:tc>
        <w:tc>
          <w:tcPr>
            <w:tcW w:w="4678" w:type="dxa"/>
          </w:tcPr>
          <w:p w14:paraId="0FF47B8D" w14:textId="52F375A7" w:rsidR="00EE2CFE" w:rsidRPr="00EE2CFE" w:rsidRDefault="00EE2CFE" w:rsidP="00BA4793">
            <w:pPr>
              <w:jc w:val="both"/>
              <w:rPr>
                <w:rFonts w:ascii="Verdana" w:eastAsia="Verdana" w:hAnsi="Verdana" w:cs="Verdana"/>
                <w:sz w:val="20"/>
              </w:rPr>
            </w:pPr>
            <w:r w:rsidRPr="00EE2CFE">
              <w:rPr>
                <w:rFonts w:ascii="Verdana" w:eastAsia="Verdana" w:hAnsi="Verdana" w:cs="Verdana"/>
                <w:sz w:val="20"/>
              </w:rPr>
              <w:lastRenderedPageBreak/>
              <w:t>Prašome pateikti baigtinį sąrašą pažymėtai vietai.</w:t>
            </w:r>
          </w:p>
        </w:tc>
        <w:tc>
          <w:tcPr>
            <w:tcW w:w="4678" w:type="dxa"/>
          </w:tcPr>
          <w:p w14:paraId="29B0D66E" w14:textId="77777777" w:rsidR="006F6943" w:rsidRPr="006F6943" w:rsidRDefault="006F6943" w:rsidP="006F6943">
            <w:pPr>
              <w:jc w:val="both"/>
              <w:rPr>
                <w:rFonts w:ascii="Verdana" w:eastAsia="Verdana" w:hAnsi="Verdana" w:cs="Verdana"/>
                <w:sz w:val="20"/>
              </w:rPr>
            </w:pPr>
            <w:r w:rsidRPr="006F6943">
              <w:rPr>
                <w:rFonts w:ascii="Verdana" w:eastAsia="Verdana" w:hAnsi="Verdana" w:cs="Verdana"/>
                <w:sz w:val="20"/>
              </w:rPr>
              <w:t xml:space="preserve">Tiekėjas privalo užtikrinti sistemoje lankstų darbuotojų sąrašų formavimą, leidžiantį generuoti ataskaitas pagal įvairius duomenų pjūvius (pvz., pareigos, padalinys, etato dydis, darbo sutarties tipas, nepertraukiamo darbo trukmė, adresai, gimimo datos, atlyginimo sudedamosios dalys, ilgalaikis neatvykimas ir kt.). Turi būti galimybė </w:t>
            </w:r>
            <w:r w:rsidRPr="006F6943">
              <w:rPr>
                <w:rFonts w:ascii="Verdana" w:eastAsia="Verdana" w:hAnsi="Verdana" w:cs="Verdana"/>
                <w:sz w:val="20"/>
              </w:rPr>
              <w:lastRenderedPageBreak/>
              <w:t>formuoti sąrašus su arba be ilgalaikių neatvykimų bei pagal kitus pasirenkamus kriterijus, atsižvelgiant į turimus duomenis.</w:t>
            </w:r>
          </w:p>
          <w:p w14:paraId="31348C64" w14:textId="001F051E" w:rsidR="00EE2CFE" w:rsidRDefault="006F6943" w:rsidP="006F6943">
            <w:pPr>
              <w:jc w:val="both"/>
              <w:rPr>
                <w:rFonts w:ascii="Verdana" w:eastAsia="Verdana" w:hAnsi="Verdana" w:cs="Verdana"/>
                <w:sz w:val="20"/>
              </w:rPr>
            </w:pPr>
            <w:r w:rsidRPr="006F6943">
              <w:rPr>
                <w:rFonts w:ascii="Verdana" w:eastAsia="Verdana" w:hAnsi="Verdana" w:cs="Verdana"/>
                <w:sz w:val="20"/>
              </w:rPr>
              <w:t>Baigtiniai ataskaitų pavyzdžiai bus pateikti Tiekėjui po sutarties pasirašymo.</w:t>
            </w:r>
          </w:p>
        </w:tc>
      </w:tr>
      <w:tr w:rsidR="00EE2CFE" w:rsidRPr="004D0226" w14:paraId="7973C842" w14:textId="77777777" w:rsidTr="00BE2219">
        <w:trPr>
          <w:trHeight w:val="839"/>
          <w:jc w:val="center"/>
        </w:trPr>
        <w:tc>
          <w:tcPr>
            <w:tcW w:w="766" w:type="dxa"/>
          </w:tcPr>
          <w:p w14:paraId="496874A7" w14:textId="01E25C75" w:rsidR="00EE2CFE" w:rsidRDefault="00EE2CFE" w:rsidP="006165BF">
            <w:pPr>
              <w:spacing w:after="240"/>
              <w:jc w:val="center"/>
              <w:rPr>
                <w:rFonts w:ascii="Verdana" w:hAnsi="Verdana"/>
                <w:sz w:val="20"/>
              </w:rPr>
            </w:pPr>
            <w:r>
              <w:rPr>
                <w:rFonts w:ascii="Verdana" w:hAnsi="Verdana"/>
                <w:sz w:val="20"/>
              </w:rPr>
              <w:lastRenderedPageBreak/>
              <w:t>1.14.</w:t>
            </w:r>
          </w:p>
        </w:tc>
        <w:tc>
          <w:tcPr>
            <w:tcW w:w="4616" w:type="dxa"/>
          </w:tcPr>
          <w:p w14:paraId="3B7F2C65" w14:textId="77777777" w:rsidR="00EE2CFE" w:rsidRPr="00EE2CFE" w:rsidRDefault="00EE2CFE" w:rsidP="00EE2CFE">
            <w:pPr>
              <w:spacing w:after="240"/>
              <w:jc w:val="both"/>
              <w:rPr>
                <w:rFonts w:ascii="Verdana" w:hAnsi="Verdana"/>
                <w:sz w:val="20"/>
              </w:rPr>
            </w:pPr>
            <w:r w:rsidRPr="00EE2CFE">
              <w:rPr>
                <w:rFonts w:ascii="Verdana" w:hAnsi="Verdana"/>
                <w:sz w:val="20"/>
              </w:rPr>
              <w:t>12 p. II alternatyva, 2 lentelė.</w:t>
            </w:r>
          </w:p>
          <w:p w14:paraId="47501298" w14:textId="06437689" w:rsidR="00EE2CFE" w:rsidRPr="00EE2CFE" w:rsidRDefault="00EE2CFE" w:rsidP="00EE2CFE">
            <w:pPr>
              <w:spacing w:after="240"/>
              <w:jc w:val="both"/>
              <w:rPr>
                <w:rFonts w:ascii="Verdana" w:hAnsi="Verdana"/>
                <w:sz w:val="20"/>
              </w:rPr>
            </w:pPr>
            <w:r w:rsidRPr="00EE2CFE">
              <w:rPr>
                <w:rFonts w:ascii="Verdana" w:hAnsi="Verdana"/>
                <w:sz w:val="20"/>
              </w:rPr>
              <w:t>163. Visa Sistemos darbui užtikrinti reikalinga programinė įranga (duomenų bazės valdymo sistema ir kita pagal Sistemos reikalavimus) turi būti įtraukta į pasiūlymo kainą. Šią programinę įrangą Tiekėjas turės pateikti ir įdiegti kartu su Sistema</w:t>
            </w:r>
          </w:p>
        </w:tc>
        <w:tc>
          <w:tcPr>
            <w:tcW w:w="4678" w:type="dxa"/>
          </w:tcPr>
          <w:p w14:paraId="6B780CEF" w14:textId="77777777" w:rsidR="00EE2CFE" w:rsidRPr="00EE2CFE" w:rsidRDefault="00EE2CFE" w:rsidP="00EE2CFE">
            <w:pPr>
              <w:jc w:val="both"/>
              <w:rPr>
                <w:rFonts w:ascii="Verdana" w:eastAsia="Verdana" w:hAnsi="Verdana" w:cs="Verdana"/>
                <w:sz w:val="20"/>
              </w:rPr>
            </w:pPr>
            <w:r w:rsidRPr="00EE2CFE">
              <w:rPr>
                <w:rFonts w:ascii="Verdana" w:eastAsia="Verdana" w:hAnsi="Verdana" w:cs="Verdana"/>
                <w:sz w:val="20"/>
              </w:rPr>
              <w:t>1. Prašome nurodyti kurioje pasiūlymo eilutėje nurodyti duomenų bazės valdymo sistemos kainą.</w:t>
            </w:r>
          </w:p>
          <w:p w14:paraId="65E62895" w14:textId="77950DC7" w:rsidR="00EE2CFE" w:rsidRPr="00EE2CFE" w:rsidRDefault="00EE2CFE" w:rsidP="00EE2CFE">
            <w:pPr>
              <w:jc w:val="both"/>
              <w:rPr>
                <w:rFonts w:ascii="Verdana" w:eastAsia="Verdana" w:hAnsi="Verdana" w:cs="Verdana"/>
                <w:sz w:val="20"/>
              </w:rPr>
            </w:pPr>
            <w:r w:rsidRPr="00EE2CFE">
              <w:rPr>
                <w:rFonts w:ascii="Verdana" w:eastAsia="Verdana" w:hAnsi="Verdana" w:cs="Verdana"/>
                <w:sz w:val="20"/>
              </w:rPr>
              <w:t>2. Ar sistema bus diegiama esamoje techninėje įrangoje? Jeigu taip, prašome pateikti techninės įrangos esamus resursus.</w:t>
            </w:r>
          </w:p>
        </w:tc>
        <w:tc>
          <w:tcPr>
            <w:tcW w:w="4678" w:type="dxa"/>
          </w:tcPr>
          <w:p w14:paraId="6337FAEE" w14:textId="66DB08CD" w:rsidR="006F6943" w:rsidRPr="006F6943" w:rsidRDefault="006F6943" w:rsidP="006F6943">
            <w:pPr>
              <w:jc w:val="both"/>
              <w:rPr>
                <w:rFonts w:ascii="Verdana" w:eastAsia="Verdana" w:hAnsi="Verdana" w:cs="Verdana"/>
                <w:sz w:val="20"/>
              </w:rPr>
            </w:pPr>
            <w:r w:rsidRPr="006F6943">
              <w:rPr>
                <w:rFonts w:ascii="Verdana" w:eastAsia="Verdana" w:hAnsi="Verdana" w:cs="Verdana"/>
                <w:sz w:val="20"/>
              </w:rPr>
              <w:t>1.</w:t>
            </w:r>
            <w:r>
              <w:rPr>
                <w:rFonts w:ascii="Verdana" w:eastAsia="Verdana" w:hAnsi="Verdana" w:cs="Verdana"/>
                <w:sz w:val="20"/>
              </w:rPr>
              <w:t xml:space="preserve"> </w:t>
            </w:r>
            <w:r w:rsidRPr="006F6943">
              <w:rPr>
                <w:rFonts w:ascii="Verdana" w:eastAsia="Verdana" w:hAnsi="Verdana" w:cs="Verdana"/>
                <w:sz w:val="20"/>
              </w:rPr>
              <w:t xml:space="preserve">Duomenų bazės valdymo sistemos (DBVS) kaina turi būti įtraukta į pasiūlymo formos 3.2 punkte esančios lentelės 6 eilutę </w:t>
            </w:r>
            <w:r>
              <w:rPr>
                <w:rFonts w:ascii="Verdana" w:eastAsia="Verdana" w:hAnsi="Verdana" w:cs="Verdana"/>
                <w:sz w:val="20"/>
              </w:rPr>
              <w:t>„</w:t>
            </w:r>
            <w:r w:rsidRPr="006F6943">
              <w:rPr>
                <w:rFonts w:ascii="Verdana" w:eastAsia="Verdana" w:hAnsi="Verdana" w:cs="Verdana"/>
                <w:sz w:val="20"/>
              </w:rPr>
              <w:t xml:space="preserve">Sistemos diegimo/konfigūravimo/testavimo darbai“.    </w:t>
            </w:r>
          </w:p>
          <w:p w14:paraId="49AFD463" w14:textId="01549DDD" w:rsidR="00EE2CFE" w:rsidRDefault="006F6943" w:rsidP="006F6943">
            <w:pPr>
              <w:jc w:val="both"/>
              <w:rPr>
                <w:rFonts w:ascii="Verdana" w:eastAsia="Verdana" w:hAnsi="Verdana" w:cs="Verdana"/>
                <w:sz w:val="20"/>
              </w:rPr>
            </w:pPr>
            <w:r w:rsidRPr="006F6943">
              <w:rPr>
                <w:rFonts w:ascii="Verdana" w:eastAsia="Verdana" w:hAnsi="Verdana" w:cs="Verdana"/>
                <w:sz w:val="20"/>
              </w:rPr>
              <w:t>2.</w:t>
            </w:r>
            <w:r>
              <w:rPr>
                <w:rFonts w:ascii="Verdana" w:eastAsia="Verdana" w:hAnsi="Verdana" w:cs="Verdana"/>
                <w:sz w:val="20"/>
              </w:rPr>
              <w:t xml:space="preserve"> </w:t>
            </w:r>
            <w:r w:rsidRPr="006F6943">
              <w:rPr>
                <w:rFonts w:ascii="Verdana" w:eastAsia="Verdana" w:hAnsi="Verdana" w:cs="Verdana"/>
                <w:sz w:val="20"/>
              </w:rPr>
              <w:t>Reikalavimai nurodyti Techninės specifikacijos 2 lentelės 7 eilutėje. Esamos sistemos resursai: 2 VM po 2 vCPU core, 16GB RAM, 160 GB HDD</w:t>
            </w:r>
            <w:r>
              <w:rPr>
                <w:rFonts w:ascii="Verdana" w:eastAsia="Verdana" w:hAnsi="Verdana" w:cs="Verdana"/>
                <w:sz w:val="20"/>
              </w:rPr>
              <w:t>.</w:t>
            </w:r>
          </w:p>
        </w:tc>
      </w:tr>
      <w:tr w:rsidR="00EE2CFE" w:rsidRPr="004D0226" w14:paraId="0BCC652F" w14:textId="77777777" w:rsidTr="00BE2219">
        <w:trPr>
          <w:trHeight w:val="839"/>
          <w:jc w:val="center"/>
        </w:trPr>
        <w:tc>
          <w:tcPr>
            <w:tcW w:w="766" w:type="dxa"/>
          </w:tcPr>
          <w:p w14:paraId="234A8B2F" w14:textId="3673FF26" w:rsidR="00EE2CFE" w:rsidRDefault="00EE2CFE" w:rsidP="006165BF">
            <w:pPr>
              <w:spacing w:after="240"/>
              <w:jc w:val="center"/>
              <w:rPr>
                <w:rFonts w:ascii="Verdana" w:hAnsi="Verdana"/>
                <w:sz w:val="20"/>
              </w:rPr>
            </w:pPr>
            <w:r>
              <w:rPr>
                <w:rFonts w:ascii="Verdana" w:hAnsi="Verdana"/>
                <w:sz w:val="20"/>
              </w:rPr>
              <w:t>1.15.</w:t>
            </w:r>
          </w:p>
        </w:tc>
        <w:tc>
          <w:tcPr>
            <w:tcW w:w="4616" w:type="dxa"/>
          </w:tcPr>
          <w:p w14:paraId="51BE659F" w14:textId="04891C3B" w:rsidR="00EE2CFE" w:rsidRPr="00EE2CFE" w:rsidRDefault="00EE2CFE" w:rsidP="00EE2CFE">
            <w:pPr>
              <w:spacing w:after="240"/>
              <w:jc w:val="both"/>
              <w:rPr>
                <w:rFonts w:ascii="Verdana" w:hAnsi="Verdana"/>
                <w:sz w:val="20"/>
              </w:rPr>
            </w:pPr>
            <w:r w:rsidRPr="00EE2CFE">
              <w:rPr>
                <w:rFonts w:ascii="Verdana" w:hAnsi="Verdana"/>
                <w:sz w:val="20"/>
              </w:rPr>
              <w:t>12 p. II alternatyva, 2 lentelė.</w:t>
            </w:r>
          </w:p>
          <w:p w14:paraId="7DCA4E7B" w14:textId="104D6785" w:rsidR="00EE2CFE" w:rsidRPr="00EE2CFE" w:rsidRDefault="00EE2CFE" w:rsidP="00EE2CFE">
            <w:pPr>
              <w:spacing w:after="240"/>
              <w:jc w:val="both"/>
              <w:rPr>
                <w:rFonts w:ascii="Verdana" w:hAnsi="Verdana"/>
                <w:sz w:val="20"/>
              </w:rPr>
            </w:pPr>
            <w:r w:rsidRPr="00EE2CFE">
              <w:rPr>
                <w:rFonts w:ascii="Verdana" w:hAnsi="Verdana"/>
                <w:sz w:val="20"/>
              </w:rPr>
              <w:t>167. Garantinis laikotarpis Sistemai prasideda nuo galutinio priėmimo-perdavimo akto pasirašymo dienos ir trunka 12 mėnesių, per kuriuos Tiekėjas privalo neatlygintinai atlikti programinės įrangos defektų šalinimą, taisyti Sistemos klaidas ir neatitikimus specifikacijai, atlikti Sistemos optimizavimą (jei reikalinga), teikti konsultacinę pagalbą naudotojams, taip pat užtikrinti, kad Sistema atitinka visus techninėje specifikacijoje numatytus funkcinius ir nefunkcinius reikalavimus, bei užtikrinti jos suderinamumą su kitomis Užsakovo naudojamomis sistemomis.  Garantinis laikotarpis pratęsiamas tokiam laikui, kiek sistema neveikė dėl garantiniu laikotarpiu atsiradusių defektų šalinimo</w:t>
            </w:r>
          </w:p>
        </w:tc>
        <w:tc>
          <w:tcPr>
            <w:tcW w:w="4678" w:type="dxa"/>
          </w:tcPr>
          <w:p w14:paraId="5531BEAA" w14:textId="777F6578" w:rsidR="00EE2CFE" w:rsidRPr="00EE2CFE" w:rsidRDefault="00EE2CFE" w:rsidP="00EE2CFE">
            <w:pPr>
              <w:jc w:val="both"/>
              <w:rPr>
                <w:rFonts w:ascii="Verdana" w:eastAsia="Verdana" w:hAnsi="Verdana" w:cs="Verdana"/>
                <w:sz w:val="20"/>
              </w:rPr>
            </w:pPr>
            <w:r w:rsidRPr="00EE2CFE">
              <w:rPr>
                <w:rFonts w:ascii="Verdana" w:eastAsia="Verdana" w:hAnsi="Verdana" w:cs="Verdana"/>
                <w:sz w:val="20"/>
              </w:rPr>
              <w:t>Pagal pateiktus reikalavimus integracija numatyta su DocLogix. Prašome patikslinti su kokiomis kitomis sistemomis turi būti užtikrintas suderinamumas?</w:t>
            </w:r>
          </w:p>
        </w:tc>
        <w:tc>
          <w:tcPr>
            <w:tcW w:w="4678" w:type="dxa"/>
          </w:tcPr>
          <w:p w14:paraId="706C74DE" w14:textId="4FA48E1E" w:rsidR="00EE2CFE" w:rsidRDefault="006F6943" w:rsidP="00BA4793">
            <w:pPr>
              <w:jc w:val="both"/>
              <w:rPr>
                <w:rFonts w:ascii="Verdana" w:eastAsia="Verdana" w:hAnsi="Verdana" w:cs="Verdana"/>
                <w:sz w:val="20"/>
              </w:rPr>
            </w:pPr>
            <w:r w:rsidRPr="006F6943">
              <w:rPr>
                <w:rFonts w:ascii="Verdana" w:eastAsia="Verdana" w:hAnsi="Verdana" w:cs="Verdana"/>
                <w:sz w:val="20"/>
              </w:rPr>
              <w:t>Šiuo metu reikalinga integracija tik su Doclogix sistema.</w:t>
            </w:r>
          </w:p>
        </w:tc>
      </w:tr>
      <w:tr w:rsidR="00EE2CFE" w:rsidRPr="004D0226" w14:paraId="4C4FD9E3" w14:textId="77777777" w:rsidTr="00BE2219">
        <w:trPr>
          <w:trHeight w:val="839"/>
          <w:jc w:val="center"/>
        </w:trPr>
        <w:tc>
          <w:tcPr>
            <w:tcW w:w="766" w:type="dxa"/>
          </w:tcPr>
          <w:p w14:paraId="796D53FA" w14:textId="227B57A7" w:rsidR="00EE2CFE" w:rsidRDefault="00EE2CFE" w:rsidP="006165BF">
            <w:pPr>
              <w:spacing w:after="240"/>
              <w:jc w:val="center"/>
              <w:rPr>
                <w:rFonts w:ascii="Verdana" w:hAnsi="Verdana"/>
                <w:sz w:val="20"/>
              </w:rPr>
            </w:pPr>
            <w:r>
              <w:rPr>
                <w:rFonts w:ascii="Verdana" w:hAnsi="Verdana"/>
                <w:sz w:val="20"/>
              </w:rPr>
              <w:lastRenderedPageBreak/>
              <w:t>1.16.</w:t>
            </w:r>
          </w:p>
        </w:tc>
        <w:tc>
          <w:tcPr>
            <w:tcW w:w="4616" w:type="dxa"/>
          </w:tcPr>
          <w:p w14:paraId="723B99C0" w14:textId="766C952C" w:rsidR="00EE2CFE" w:rsidRPr="00EE2CFE" w:rsidRDefault="00EE2CFE" w:rsidP="00EE2CFE">
            <w:pPr>
              <w:spacing w:after="240"/>
              <w:jc w:val="both"/>
              <w:rPr>
                <w:rFonts w:ascii="Verdana" w:hAnsi="Verdana"/>
                <w:sz w:val="20"/>
              </w:rPr>
            </w:pPr>
            <w:r w:rsidRPr="00EE2CFE">
              <w:rPr>
                <w:rFonts w:ascii="Verdana" w:hAnsi="Verdana"/>
                <w:sz w:val="20"/>
              </w:rPr>
              <w:t>14.7. Tiekėjas palaikymo paslaugų vykdymo metu turi fiksuoti visus Perkančiosios organizacijos el. paštu užregistruotus incidentus, jų sprendimo eigą, bei kas mėnesį (ne vėliau kaip paskutinę einamojo mėnesio darbo dieną) elektroniniu paštu teikia Perkančiajai organizacijai ataskaitas apie užfiksuotus incidentus, jų sprendimus bei jiems spręsti sugaištą laiką darbo valandomis.</w:t>
            </w:r>
          </w:p>
        </w:tc>
        <w:tc>
          <w:tcPr>
            <w:tcW w:w="4678" w:type="dxa"/>
          </w:tcPr>
          <w:p w14:paraId="7386455F" w14:textId="687DE280" w:rsidR="00EE2CFE" w:rsidRPr="00EE2CFE" w:rsidRDefault="00EE2CFE" w:rsidP="00EE2CFE">
            <w:pPr>
              <w:jc w:val="both"/>
              <w:rPr>
                <w:rFonts w:ascii="Verdana" w:eastAsia="Verdana" w:hAnsi="Verdana" w:cs="Verdana"/>
                <w:sz w:val="20"/>
              </w:rPr>
            </w:pPr>
            <w:r w:rsidRPr="00EE2CFE">
              <w:rPr>
                <w:rFonts w:ascii="Verdana" w:eastAsia="Verdana" w:hAnsi="Verdana" w:cs="Verdana"/>
                <w:sz w:val="20"/>
              </w:rPr>
              <w:t>Paslaugų teikėjas klientų incidentų valdymui naudoja savo sukurtą klientų aptarnavimo sistemą (angl. HelpDesk), kuriose klientai gali matyti visą punkte nurodomą informaciją. Ar paslaugų teikimas bus laikomas tinkamai vykdomu, jei abiejų šalių patogumai incidentai bus fiksuojami ir informacija bus teikiama Paslaugų tiekėjo klientų aptarnavimo informacinėje sistemoje?</w:t>
            </w:r>
          </w:p>
        </w:tc>
        <w:tc>
          <w:tcPr>
            <w:tcW w:w="4678" w:type="dxa"/>
          </w:tcPr>
          <w:p w14:paraId="7E7BDE01" w14:textId="625635E4" w:rsidR="006F6943" w:rsidRPr="006F6943" w:rsidRDefault="006F6943" w:rsidP="006F6943">
            <w:pPr>
              <w:jc w:val="both"/>
              <w:rPr>
                <w:rFonts w:ascii="Verdana" w:eastAsia="Verdana" w:hAnsi="Verdana" w:cs="Verdana"/>
                <w:sz w:val="20"/>
              </w:rPr>
            </w:pPr>
            <w:r w:rsidRPr="006F6943">
              <w:rPr>
                <w:rFonts w:ascii="Verdana" w:eastAsia="Verdana" w:hAnsi="Verdana" w:cs="Verdana"/>
                <w:sz w:val="20"/>
              </w:rPr>
              <w:t xml:space="preserve">Vadovaujantis </w:t>
            </w:r>
            <w:r>
              <w:rPr>
                <w:rFonts w:ascii="Verdana" w:eastAsia="Verdana" w:hAnsi="Verdana" w:cs="Verdana"/>
                <w:sz w:val="20"/>
              </w:rPr>
              <w:t>P</w:t>
            </w:r>
            <w:r w:rsidRPr="006F6943">
              <w:rPr>
                <w:rFonts w:ascii="Verdana" w:eastAsia="Verdana" w:hAnsi="Verdana" w:cs="Verdana"/>
                <w:sz w:val="20"/>
              </w:rPr>
              <w:t>irkimo dokumentais, incidentai turi būti registruojami el. paštu – tai privaloma registravimo forma. Tiekėjas gali naudoti savo incidentų valdymo (HelpDesk) sistemą, jei el. laiškai automatiškai fiksuojami joje, tačiau el. pašto kanalas turi išlikti veikiantis ir aktyvus.</w:t>
            </w:r>
          </w:p>
          <w:p w14:paraId="012039A3" w14:textId="7100D601" w:rsidR="00EE2CFE" w:rsidRDefault="006F6943" w:rsidP="006F6943">
            <w:pPr>
              <w:jc w:val="both"/>
              <w:rPr>
                <w:rFonts w:ascii="Verdana" w:eastAsia="Verdana" w:hAnsi="Verdana" w:cs="Verdana"/>
                <w:sz w:val="20"/>
              </w:rPr>
            </w:pPr>
            <w:r w:rsidRPr="006F6943">
              <w:rPr>
                <w:rFonts w:ascii="Verdana" w:eastAsia="Verdana" w:hAnsi="Verdana" w:cs="Verdana"/>
                <w:sz w:val="20"/>
              </w:rPr>
              <w:t>Pagal Techninės specifikacijos 14.7 punktą, Tiekėjas privalo kas mėnesį el. paštu pateikti ataskaitas apie incidentus, jų sprendimus ir sprendimui sugaištą darbo laiką.</w:t>
            </w:r>
          </w:p>
        </w:tc>
      </w:tr>
      <w:tr w:rsidR="00EE2CFE" w:rsidRPr="004D0226" w14:paraId="470F05DA" w14:textId="77777777" w:rsidTr="00BE2219">
        <w:trPr>
          <w:trHeight w:val="839"/>
          <w:jc w:val="center"/>
        </w:trPr>
        <w:tc>
          <w:tcPr>
            <w:tcW w:w="766" w:type="dxa"/>
          </w:tcPr>
          <w:p w14:paraId="7F13C424" w14:textId="592980BF" w:rsidR="00EE2CFE" w:rsidRDefault="00EE2CFE" w:rsidP="006165BF">
            <w:pPr>
              <w:spacing w:after="240"/>
              <w:jc w:val="center"/>
              <w:rPr>
                <w:rFonts w:ascii="Verdana" w:hAnsi="Verdana"/>
                <w:sz w:val="20"/>
              </w:rPr>
            </w:pPr>
            <w:r>
              <w:rPr>
                <w:rFonts w:ascii="Verdana" w:hAnsi="Verdana"/>
                <w:sz w:val="20"/>
              </w:rPr>
              <w:t>2.</w:t>
            </w:r>
          </w:p>
        </w:tc>
        <w:tc>
          <w:tcPr>
            <w:tcW w:w="9294" w:type="dxa"/>
            <w:gridSpan w:val="2"/>
          </w:tcPr>
          <w:p w14:paraId="696F3839" w14:textId="77777777" w:rsidR="00EE2CFE" w:rsidRPr="00EE2CFE" w:rsidRDefault="00EE2CFE" w:rsidP="00EE2CFE">
            <w:pPr>
              <w:jc w:val="both"/>
              <w:rPr>
                <w:rFonts w:ascii="Verdana" w:eastAsia="Verdana" w:hAnsi="Verdana" w:cs="Verdana"/>
                <w:b/>
                <w:bCs/>
                <w:i/>
                <w:iCs/>
                <w:sz w:val="20"/>
              </w:rPr>
            </w:pPr>
            <w:r w:rsidRPr="00EE2CFE">
              <w:rPr>
                <w:rFonts w:ascii="Verdana" w:eastAsia="Verdana" w:hAnsi="Verdana" w:cs="Verdana"/>
                <w:b/>
                <w:bCs/>
                <w:i/>
                <w:iCs/>
                <w:sz w:val="20"/>
              </w:rPr>
              <w:t xml:space="preserve">SUPAPRASTINTO VIEŠOJO PIRKIMO „PERSONALO VALDYMO IR DARBO UŽMOKESČIO APSKAITOS SISTEMOS NUOMOS, VYSTYMO IR PALAIKYMO“  ATVIRO KONKURSO SPECIALIOSIOS SĄLYGOS </w:t>
            </w:r>
          </w:p>
          <w:p w14:paraId="428D987A" w14:textId="6ACCC2EA" w:rsidR="00EE2CFE" w:rsidRPr="00EE2CFE" w:rsidRDefault="00EE2CFE" w:rsidP="00EE2CFE">
            <w:pPr>
              <w:jc w:val="both"/>
              <w:rPr>
                <w:rFonts w:ascii="Verdana" w:eastAsia="Verdana" w:hAnsi="Verdana" w:cs="Verdana"/>
                <w:sz w:val="20"/>
              </w:rPr>
            </w:pPr>
            <w:r w:rsidRPr="00EE2CFE">
              <w:rPr>
                <w:rFonts w:ascii="Verdana" w:eastAsia="Verdana" w:hAnsi="Verdana" w:cs="Verdana"/>
                <w:b/>
                <w:bCs/>
                <w:i/>
                <w:iCs/>
                <w:sz w:val="20"/>
              </w:rPr>
              <w:t xml:space="preserve"> Versija Nr. 1</w:t>
            </w:r>
          </w:p>
        </w:tc>
        <w:tc>
          <w:tcPr>
            <w:tcW w:w="4678" w:type="dxa"/>
          </w:tcPr>
          <w:p w14:paraId="4D1F5BBB" w14:textId="77777777" w:rsidR="00EE2CFE" w:rsidRDefault="00EE2CFE" w:rsidP="00BA4793">
            <w:pPr>
              <w:jc w:val="both"/>
              <w:rPr>
                <w:rFonts w:ascii="Verdana" w:eastAsia="Verdana" w:hAnsi="Verdana" w:cs="Verdana"/>
                <w:sz w:val="20"/>
              </w:rPr>
            </w:pPr>
          </w:p>
        </w:tc>
      </w:tr>
      <w:tr w:rsidR="00EE2CFE" w:rsidRPr="004D0226" w14:paraId="598FA55A" w14:textId="77777777" w:rsidTr="00BE2219">
        <w:trPr>
          <w:trHeight w:val="839"/>
          <w:jc w:val="center"/>
        </w:trPr>
        <w:tc>
          <w:tcPr>
            <w:tcW w:w="766" w:type="dxa"/>
          </w:tcPr>
          <w:p w14:paraId="4924E991" w14:textId="4A847D40" w:rsidR="00EE2CFE" w:rsidRDefault="00EE2CFE" w:rsidP="006165BF">
            <w:pPr>
              <w:spacing w:after="240"/>
              <w:jc w:val="center"/>
              <w:rPr>
                <w:rFonts w:ascii="Verdana" w:hAnsi="Verdana"/>
                <w:sz w:val="20"/>
              </w:rPr>
            </w:pPr>
            <w:r>
              <w:rPr>
                <w:rFonts w:ascii="Verdana" w:hAnsi="Verdana"/>
                <w:sz w:val="20"/>
              </w:rPr>
              <w:t>2.1.</w:t>
            </w:r>
          </w:p>
        </w:tc>
        <w:tc>
          <w:tcPr>
            <w:tcW w:w="4616" w:type="dxa"/>
          </w:tcPr>
          <w:p w14:paraId="2821491A" w14:textId="7F0DD97E" w:rsidR="00EE2CFE" w:rsidRPr="00EE2CFE" w:rsidRDefault="00EE2CFE" w:rsidP="00EE2CFE">
            <w:pPr>
              <w:spacing w:after="240"/>
              <w:jc w:val="both"/>
              <w:rPr>
                <w:rFonts w:ascii="Verdana" w:hAnsi="Verdana"/>
                <w:sz w:val="20"/>
              </w:rPr>
            </w:pPr>
            <w:r w:rsidRPr="00EE2CFE">
              <w:rPr>
                <w:rFonts w:ascii="Verdana" w:hAnsi="Verdana"/>
                <w:sz w:val="20"/>
              </w:rPr>
              <w:t xml:space="preserve">6.1.9 p. Tiekėjas turi pateikti Sistemos administratoriaus ir naudotojo išsamias (ne mažiau negu techninėje specifikacijoje nurodyti reikalavimai) darbo su Sistema dokumentacijas lietuvių kalba (netaikoma jeigu pasirenkama I alternatyva).  </w:t>
            </w:r>
          </w:p>
        </w:tc>
        <w:tc>
          <w:tcPr>
            <w:tcW w:w="4678" w:type="dxa"/>
          </w:tcPr>
          <w:p w14:paraId="1FFE33BA" w14:textId="6D9742F8" w:rsidR="00EE2CFE" w:rsidRPr="00EE2CFE" w:rsidRDefault="00EE2CFE" w:rsidP="00EE2CFE">
            <w:pPr>
              <w:jc w:val="both"/>
              <w:rPr>
                <w:rFonts w:ascii="Verdana" w:eastAsia="Verdana" w:hAnsi="Verdana" w:cs="Verdana"/>
                <w:sz w:val="20"/>
              </w:rPr>
            </w:pPr>
            <w:r w:rsidRPr="00EE2CFE">
              <w:rPr>
                <w:rFonts w:ascii="Verdana" w:eastAsia="Verdana" w:hAnsi="Verdana" w:cs="Verdana"/>
                <w:sz w:val="20"/>
              </w:rPr>
              <w:t>Ar tiekėjas su pasiūlymu turi pateikti 6.1.9 p. nurodytus dokumentus? Ar gal šie dokumentai teikiami tik tada ir tik tokia apimti, kiek reikia pagrįsti atitikimą techniniams reikalavimams, kaip nurodyta Pirkimo sąlygų 2 priedo „Techninė specifikacija“ 7.1 p.?</w:t>
            </w:r>
          </w:p>
        </w:tc>
        <w:tc>
          <w:tcPr>
            <w:tcW w:w="4678" w:type="dxa"/>
          </w:tcPr>
          <w:p w14:paraId="761332C5" w14:textId="65B645AA" w:rsidR="00EE2CFE" w:rsidRDefault="006F6943" w:rsidP="00BA4793">
            <w:pPr>
              <w:jc w:val="both"/>
              <w:rPr>
                <w:rFonts w:ascii="Verdana" w:eastAsia="Verdana" w:hAnsi="Verdana" w:cs="Verdana"/>
                <w:sz w:val="20"/>
              </w:rPr>
            </w:pPr>
            <w:r w:rsidRPr="006F6943">
              <w:rPr>
                <w:rFonts w:ascii="Verdana" w:eastAsia="Verdana" w:hAnsi="Verdana" w:cs="Verdana"/>
                <w:sz w:val="20"/>
              </w:rPr>
              <w:t>Tiekėjas privalo kartu su pasiūlymu pateikti visus Specialiųjų Pirkimo sąlygų 6.1 p. nurodytus dokumentus, įskaitant ir 6.1.9 p. nurodytus dokumentaciją.</w:t>
            </w:r>
          </w:p>
        </w:tc>
      </w:tr>
      <w:tr w:rsidR="00EE2CFE" w:rsidRPr="004D0226" w14:paraId="0F3A09E7" w14:textId="77777777" w:rsidTr="00BE2219">
        <w:trPr>
          <w:trHeight w:val="261"/>
          <w:jc w:val="center"/>
        </w:trPr>
        <w:tc>
          <w:tcPr>
            <w:tcW w:w="766" w:type="dxa"/>
          </w:tcPr>
          <w:p w14:paraId="41917B4A" w14:textId="3147E080" w:rsidR="00EE2CFE" w:rsidRDefault="00EE2CFE" w:rsidP="006165BF">
            <w:pPr>
              <w:spacing w:after="240"/>
              <w:jc w:val="center"/>
              <w:rPr>
                <w:rFonts w:ascii="Verdana" w:hAnsi="Verdana"/>
                <w:sz w:val="20"/>
              </w:rPr>
            </w:pPr>
            <w:r>
              <w:rPr>
                <w:rFonts w:ascii="Verdana" w:hAnsi="Verdana"/>
                <w:sz w:val="20"/>
              </w:rPr>
              <w:t>3.</w:t>
            </w:r>
          </w:p>
        </w:tc>
        <w:tc>
          <w:tcPr>
            <w:tcW w:w="9294" w:type="dxa"/>
            <w:gridSpan w:val="2"/>
          </w:tcPr>
          <w:p w14:paraId="280D732F" w14:textId="5BB76178" w:rsidR="00EE2CFE" w:rsidRPr="00EE2CFE" w:rsidRDefault="00EE2CFE" w:rsidP="00EE2CFE">
            <w:pPr>
              <w:jc w:val="both"/>
              <w:rPr>
                <w:rFonts w:ascii="Verdana" w:eastAsia="Verdana" w:hAnsi="Verdana" w:cs="Verdana"/>
                <w:b/>
                <w:bCs/>
                <w:i/>
                <w:iCs/>
                <w:sz w:val="20"/>
              </w:rPr>
            </w:pPr>
            <w:r w:rsidRPr="00EE2CFE">
              <w:rPr>
                <w:rFonts w:ascii="Verdana" w:eastAsia="Verdana" w:hAnsi="Verdana" w:cs="Verdana"/>
                <w:b/>
                <w:bCs/>
                <w:i/>
                <w:iCs/>
                <w:sz w:val="20"/>
              </w:rPr>
              <w:t>Pirkimo sąlygų 3 priedas „Pasiūlymo forma“</w:t>
            </w:r>
          </w:p>
        </w:tc>
        <w:tc>
          <w:tcPr>
            <w:tcW w:w="4678" w:type="dxa"/>
          </w:tcPr>
          <w:p w14:paraId="2708949D" w14:textId="77777777" w:rsidR="00EE2CFE" w:rsidRDefault="00EE2CFE" w:rsidP="00BA4793">
            <w:pPr>
              <w:jc w:val="both"/>
              <w:rPr>
                <w:rFonts w:ascii="Verdana" w:eastAsia="Verdana" w:hAnsi="Verdana" w:cs="Verdana"/>
                <w:sz w:val="20"/>
              </w:rPr>
            </w:pPr>
          </w:p>
        </w:tc>
      </w:tr>
      <w:tr w:rsidR="00EE2CFE" w:rsidRPr="004D0226" w14:paraId="4FE12514" w14:textId="77777777" w:rsidTr="00BE2219">
        <w:trPr>
          <w:trHeight w:val="839"/>
          <w:jc w:val="center"/>
        </w:trPr>
        <w:tc>
          <w:tcPr>
            <w:tcW w:w="766" w:type="dxa"/>
          </w:tcPr>
          <w:p w14:paraId="789A8B2F" w14:textId="709F2C77" w:rsidR="00EE2CFE" w:rsidRDefault="00EE2CFE" w:rsidP="006165BF">
            <w:pPr>
              <w:spacing w:after="240"/>
              <w:jc w:val="center"/>
              <w:rPr>
                <w:rFonts w:ascii="Verdana" w:hAnsi="Verdana"/>
                <w:sz w:val="20"/>
              </w:rPr>
            </w:pPr>
            <w:r>
              <w:rPr>
                <w:rFonts w:ascii="Verdana" w:hAnsi="Verdana"/>
                <w:sz w:val="20"/>
              </w:rPr>
              <w:t>3.1.</w:t>
            </w:r>
          </w:p>
        </w:tc>
        <w:tc>
          <w:tcPr>
            <w:tcW w:w="4616" w:type="dxa"/>
          </w:tcPr>
          <w:p w14:paraId="5BDA7A17" w14:textId="106C6F10" w:rsidR="00EE2CFE" w:rsidRPr="00EE2CFE" w:rsidRDefault="00EE2CFE" w:rsidP="00EE2CFE">
            <w:pPr>
              <w:spacing w:after="240"/>
              <w:jc w:val="both"/>
              <w:rPr>
                <w:rFonts w:ascii="Verdana" w:hAnsi="Verdana"/>
                <w:sz w:val="20"/>
              </w:rPr>
            </w:pPr>
            <w:r w:rsidRPr="00EE2CFE">
              <w:rPr>
                <w:rFonts w:ascii="Verdana" w:hAnsi="Verdana"/>
                <w:sz w:val="20"/>
              </w:rPr>
              <w:t>3.2 p. lentelės 5 eil. “Duomenų importavimas/įvedimas į Sistemą “</w:t>
            </w:r>
          </w:p>
        </w:tc>
        <w:tc>
          <w:tcPr>
            <w:tcW w:w="4678" w:type="dxa"/>
          </w:tcPr>
          <w:p w14:paraId="678AB379" w14:textId="00EC339F" w:rsidR="00EE2CFE" w:rsidRPr="00EE2CFE" w:rsidRDefault="00EE2CFE" w:rsidP="00EE2CFE">
            <w:pPr>
              <w:jc w:val="both"/>
              <w:rPr>
                <w:rFonts w:ascii="Verdana" w:eastAsia="Verdana" w:hAnsi="Verdana" w:cs="Verdana"/>
                <w:sz w:val="20"/>
              </w:rPr>
            </w:pPr>
            <w:r w:rsidRPr="00EE2CFE">
              <w:rPr>
                <w:rFonts w:ascii="Verdana" w:eastAsia="Verdana" w:hAnsi="Verdana" w:cs="Verdana"/>
                <w:sz w:val="20"/>
              </w:rPr>
              <w:t>Prašome patikslinti, kokie duomenys turi būti importuoti</w:t>
            </w:r>
          </w:p>
        </w:tc>
        <w:tc>
          <w:tcPr>
            <w:tcW w:w="4678" w:type="dxa"/>
          </w:tcPr>
          <w:p w14:paraId="4F14111B" w14:textId="0E8E6F8A" w:rsidR="00EE2CFE" w:rsidRDefault="006F6943" w:rsidP="00BA4793">
            <w:pPr>
              <w:jc w:val="both"/>
              <w:rPr>
                <w:rFonts w:ascii="Verdana" w:eastAsia="Verdana" w:hAnsi="Verdana" w:cs="Verdana"/>
                <w:sz w:val="20"/>
              </w:rPr>
            </w:pPr>
            <w:r w:rsidRPr="006F6943">
              <w:rPr>
                <w:rFonts w:ascii="Verdana" w:eastAsia="Verdana" w:hAnsi="Verdana" w:cs="Verdana"/>
                <w:sz w:val="20"/>
              </w:rPr>
              <w:t>Perkančioji organizacija pateiks SQL duomenų bazės kopiją, kurią tiekėjas turi importuoti į siūlomą sistemą. Duomenys iš SQL duomenų bazės su visais sąryšiais turės būti importuoti ir adaptuoti naujoje sistemoje.</w:t>
            </w:r>
          </w:p>
        </w:tc>
      </w:tr>
      <w:tr w:rsidR="00EE2CFE" w:rsidRPr="004D0226" w14:paraId="66A56352" w14:textId="77777777" w:rsidTr="00BE2219">
        <w:trPr>
          <w:trHeight w:val="839"/>
          <w:jc w:val="center"/>
        </w:trPr>
        <w:tc>
          <w:tcPr>
            <w:tcW w:w="766" w:type="dxa"/>
          </w:tcPr>
          <w:p w14:paraId="05EE9C94" w14:textId="0F5B7CD5" w:rsidR="00EE2CFE" w:rsidRDefault="00EE2CFE" w:rsidP="006165BF">
            <w:pPr>
              <w:spacing w:after="240"/>
              <w:jc w:val="center"/>
              <w:rPr>
                <w:rFonts w:ascii="Verdana" w:hAnsi="Verdana"/>
                <w:sz w:val="20"/>
              </w:rPr>
            </w:pPr>
            <w:r>
              <w:rPr>
                <w:rFonts w:ascii="Verdana" w:hAnsi="Verdana"/>
                <w:sz w:val="20"/>
              </w:rPr>
              <w:t>4.</w:t>
            </w:r>
          </w:p>
        </w:tc>
        <w:tc>
          <w:tcPr>
            <w:tcW w:w="9294" w:type="dxa"/>
            <w:gridSpan w:val="2"/>
          </w:tcPr>
          <w:p w14:paraId="5BC01D45" w14:textId="37254E80" w:rsidR="00EE2CFE" w:rsidRPr="00EE2CFE" w:rsidRDefault="00EE2CFE" w:rsidP="00EE2CFE">
            <w:pPr>
              <w:jc w:val="both"/>
              <w:rPr>
                <w:rFonts w:ascii="Verdana" w:eastAsia="Verdana" w:hAnsi="Verdana" w:cs="Verdana"/>
                <w:b/>
                <w:bCs/>
                <w:i/>
                <w:iCs/>
                <w:sz w:val="20"/>
              </w:rPr>
            </w:pPr>
            <w:r w:rsidRPr="00EE2CFE">
              <w:rPr>
                <w:rFonts w:ascii="Verdana" w:eastAsia="Verdana" w:hAnsi="Verdana" w:cs="Verdana"/>
                <w:b/>
                <w:bCs/>
                <w:i/>
                <w:iCs/>
                <w:sz w:val="20"/>
              </w:rPr>
              <w:t>Pirkimo sąlygų 6 priedas „Sutarties projektas“</w:t>
            </w:r>
          </w:p>
        </w:tc>
        <w:tc>
          <w:tcPr>
            <w:tcW w:w="4678" w:type="dxa"/>
          </w:tcPr>
          <w:p w14:paraId="742FBE53" w14:textId="77777777" w:rsidR="00EE2CFE" w:rsidRDefault="00EE2CFE" w:rsidP="00BA4793">
            <w:pPr>
              <w:jc w:val="both"/>
              <w:rPr>
                <w:rFonts w:ascii="Verdana" w:eastAsia="Verdana" w:hAnsi="Verdana" w:cs="Verdana"/>
                <w:sz w:val="20"/>
              </w:rPr>
            </w:pPr>
          </w:p>
        </w:tc>
      </w:tr>
      <w:tr w:rsidR="00EE2CFE" w:rsidRPr="004D0226" w14:paraId="7EEF3EFC" w14:textId="77777777" w:rsidTr="00BE2219">
        <w:trPr>
          <w:trHeight w:val="839"/>
          <w:jc w:val="center"/>
        </w:trPr>
        <w:tc>
          <w:tcPr>
            <w:tcW w:w="766" w:type="dxa"/>
          </w:tcPr>
          <w:p w14:paraId="2FEC7C5B" w14:textId="3FC2F62D" w:rsidR="00EE2CFE" w:rsidRDefault="00EE2CFE" w:rsidP="006165BF">
            <w:pPr>
              <w:spacing w:after="240"/>
              <w:jc w:val="center"/>
              <w:rPr>
                <w:rFonts w:ascii="Verdana" w:hAnsi="Verdana"/>
                <w:sz w:val="20"/>
              </w:rPr>
            </w:pPr>
            <w:r>
              <w:rPr>
                <w:rFonts w:ascii="Verdana" w:hAnsi="Verdana"/>
                <w:sz w:val="20"/>
              </w:rPr>
              <w:t>4.1.</w:t>
            </w:r>
          </w:p>
        </w:tc>
        <w:tc>
          <w:tcPr>
            <w:tcW w:w="4616" w:type="dxa"/>
          </w:tcPr>
          <w:p w14:paraId="1E6B8B73" w14:textId="3C598044" w:rsidR="00EE2CFE" w:rsidRPr="00EE2CFE" w:rsidRDefault="00EE2CFE" w:rsidP="00EE2CFE">
            <w:pPr>
              <w:spacing w:after="240"/>
              <w:jc w:val="both"/>
              <w:rPr>
                <w:rFonts w:ascii="Verdana" w:hAnsi="Verdana"/>
                <w:sz w:val="20"/>
              </w:rPr>
            </w:pPr>
            <w:r w:rsidRPr="00EE2CFE">
              <w:rPr>
                <w:rFonts w:ascii="Verdana" w:hAnsi="Verdana"/>
                <w:sz w:val="20"/>
              </w:rPr>
              <w:t>4.5. Pateikiami dokumentai.</w:t>
            </w:r>
            <w:r>
              <w:rPr>
                <w:rFonts w:ascii="Verdana" w:hAnsi="Verdana"/>
                <w:sz w:val="20"/>
              </w:rPr>
              <w:t xml:space="preserve"> </w:t>
            </w:r>
            <w:r w:rsidRPr="00EE2CFE">
              <w:rPr>
                <w:rFonts w:ascii="Verdana" w:hAnsi="Verdana"/>
                <w:sz w:val="20"/>
              </w:rPr>
              <w:t xml:space="preserve">Suteikus Paslaugas ar Paslaugų dalį turi būti pateikiami šie dokumentai: Paslaugų perdavimo-priėmimo aktas ir Sąskaita. Tiekėjui nepateikus nurodytų dokumentų, </w:t>
            </w:r>
            <w:r w:rsidRPr="00EE2CFE">
              <w:rPr>
                <w:rFonts w:ascii="Verdana" w:hAnsi="Verdana"/>
                <w:sz w:val="20"/>
              </w:rPr>
              <w:lastRenderedPageBreak/>
              <w:t>laikoma, kad Paslaugos neatitinka Sutartyje nustatytų reikalavimų.</w:t>
            </w:r>
          </w:p>
        </w:tc>
        <w:tc>
          <w:tcPr>
            <w:tcW w:w="4678" w:type="dxa"/>
          </w:tcPr>
          <w:p w14:paraId="1ED16CD5" w14:textId="0BAB1AF5" w:rsidR="00EE2CFE" w:rsidRPr="00EE2CFE" w:rsidRDefault="00EE2CFE" w:rsidP="00EE2CFE">
            <w:pPr>
              <w:jc w:val="both"/>
              <w:rPr>
                <w:rFonts w:ascii="Verdana" w:eastAsia="Verdana" w:hAnsi="Verdana" w:cs="Verdana"/>
                <w:sz w:val="20"/>
              </w:rPr>
            </w:pPr>
            <w:r w:rsidRPr="00EE2CFE">
              <w:rPr>
                <w:rFonts w:ascii="Verdana" w:eastAsia="Verdana" w:hAnsi="Verdana" w:cs="Verdana"/>
                <w:sz w:val="20"/>
              </w:rPr>
              <w:lastRenderedPageBreak/>
              <w:t xml:space="preserve">Prašytume patikslinti, ką reiškia nuostata „Tiekėjui nepateikus nurodytų dokumentų, laikoma, kad Paslaugos neatitinka Sutartyje nustatytų reikalavimų.“? Ar paslaugų tinkamumas bus susietas su akto ir sąskaitos </w:t>
            </w:r>
            <w:r w:rsidRPr="00EE2CFE">
              <w:rPr>
                <w:rFonts w:ascii="Verdana" w:eastAsia="Verdana" w:hAnsi="Verdana" w:cs="Verdana"/>
                <w:sz w:val="20"/>
              </w:rPr>
              <w:lastRenderedPageBreak/>
              <w:t>pateikimu? Ar gal ši nuostata reiškia, kad vien dėl sąskaitos/akto nepateikimo Paslaugos nebus laikomos neatitinkančiomis Sutartyje nustatytų reikalavimų?</w:t>
            </w:r>
          </w:p>
        </w:tc>
        <w:tc>
          <w:tcPr>
            <w:tcW w:w="4678" w:type="dxa"/>
          </w:tcPr>
          <w:p w14:paraId="6348E7BE" w14:textId="3CAE86FA" w:rsidR="00EE2CFE" w:rsidRDefault="006F6943" w:rsidP="00BA4793">
            <w:pPr>
              <w:jc w:val="both"/>
              <w:rPr>
                <w:rFonts w:ascii="Verdana" w:eastAsia="Verdana" w:hAnsi="Verdana" w:cs="Verdana"/>
                <w:sz w:val="20"/>
              </w:rPr>
            </w:pPr>
            <w:r w:rsidRPr="006F6943">
              <w:rPr>
                <w:rFonts w:ascii="Verdana" w:eastAsia="Verdana" w:hAnsi="Verdana" w:cs="Verdana"/>
                <w:sz w:val="20"/>
              </w:rPr>
              <w:lastRenderedPageBreak/>
              <w:t xml:space="preserve">Jeigu Tiekėjas, suteikęs perkamas Paslaugas, nepateikia Perkančiajai organizacijai suteiktų paslaugų perdavimo-priėmimo akto ir sąskaitos faktūros, tai Perkančioji organizacija negali priimti </w:t>
            </w:r>
            <w:r w:rsidRPr="006F6943">
              <w:rPr>
                <w:rFonts w:ascii="Verdana" w:eastAsia="Verdana" w:hAnsi="Verdana" w:cs="Verdana"/>
                <w:sz w:val="20"/>
              </w:rPr>
              <w:lastRenderedPageBreak/>
              <w:t>suteiktų Paslaugų ir už jas apmokėti. Tokiu atveju Perkančioji organizacija laikys, kad Paslaugos suteiktos netinkamai, nes Tiekėjas neišpildo sutartinių įsipareigojimų ir Perkančioji organizacija dėl to taip pat negali išpildyti savo sutartinių įsipareigojimų ir atlikti mokėjimo.</w:t>
            </w:r>
          </w:p>
        </w:tc>
      </w:tr>
      <w:tr w:rsidR="00EE2CFE" w:rsidRPr="004D0226" w14:paraId="6408428B" w14:textId="77777777" w:rsidTr="00BE2219">
        <w:trPr>
          <w:trHeight w:val="839"/>
          <w:jc w:val="center"/>
        </w:trPr>
        <w:tc>
          <w:tcPr>
            <w:tcW w:w="766" w:type="dxa"/>
          </w:tcPr>
          <w:p w14:paraId="0E3897E1" w14:textId="5E9DAFB2" w:rsidR="00EE2CFE" w:rsidRDefault="00EE2CFE" w:rsidP="006165BF">
            <w:pPr>
              <w:spacing w:after="240"/>
              <w:jc w:val="center"/>
              <w:rPr>
                <w:rFonts w:ascii="Verdana" w:hAnsi="Verdana"/>
                <w:sz w:val="20"/>
              </w:rPr>
            </w:pPr>
            <w:r>
              <w:rPr>
                <w:rFonts w:ascii="Verdana" w:hAnsi="Verdana"/>
                <w:sz w:val="20"/>
              </w:rPr>
              <w:lastRenderedPageBreak/>
              <w:t>4.2.</w:t>
            </w:r>
          </w:p>
        </w:tc>
        <w:tc>
          <w:tcPr>
            <w:tcW w:w="4616" w:type="dxa"/>
          </w:tcPr>
          <w:p w14:paraId="0AFC2F13" w14:textId="77777777" w:rsidR="00EE2CFE" w:rsidRDefault="00EE2CFE" w:rsidP="00EE2CFE">
            <w:pPr>
              <w:spacing w:after="240"/>
              <w:jc w:val="both"/>
              <w:rPr>
                <w:rFonts w:ascii="Verdana" w:hAnsi="Verdana"/>
                <w:sz w:val="20"/>
              </w:rPr>
            </w:pPr>
            <w:r w:rsidRPr="00EE2CFE">
              <w:rPr>
                <w:rFonts w:ascii="Verdana" w:hAnsi="Verdana"/>
                <w:sz w:val="20"/>
              </w:rPr>
              <w:t>9.2. Tiekėjui taikomos netesybos.</w:t>
            </w:r>
            <w:r>
              <w:rPr>
                <w:rFonts w:ascii="Verdana" w:hAnsi="Verdana"/>
                <w:sz w:val="20"/>
              </w:rPr>
              <w:t xml:space="preserve">            </w:t>
            </w:r>
          </w:p>
          <w:p w14:paraId="2C275DD1" w14:textId="122405B8" w:rsidR="00EE2CFE" w:rsidRPr="00EE2CFE" w:rsidRDefault="00EE2CFE" w:rsidP="00EE2CFE">
            <w:pPr>
              <w:spacing w:after="240"/>
              <w:jc w:val="both"/>
              <w:rPr>
                <w:rFonts w:ascii="Verdana" w:hAnsi="Verdana"/>
                <w:sz w:val="20"/>
              </w:rPr>
            </w:pPr>
            <w:r w:rsidRPr="00EE2CFE">
              <w:rPr>
                <w:rFonts w:ascii="Verdana" w:hAnsi="Verdana"/>
                <w:sz w:val="20"/>
              </w:rPr>
              <w:t>9.2.4. Jeigu Tiekėjas vėluoja pagal Techninės specifikacijos III skyriuje numatytus terminus suteikti Sistemos priežiūros paslaugas, Tiekėjas, Pirkėjui pareikalavus, moka Pirkėjui 20 (dvidešimt) Eur baudą už kiekvieną vėlavimo valandą.</w:t>
            </w:r>
          </w:p>
        </w:tc>
        <w:tc>
          <w:tcPr>
            <w:tcW w:w="4678" w:type="dxa"/>
          </w:tcPr>
          <w:p w14:paraId="7D46F4E9" w14:textId="21A479E1" w:rsidR="00EE2CFE" w:rsidRPr="00EE2CFE" w:rsidRDefault="00EE2CFE" w:rsidP="00EE2CFE">
            <w:pPr>
              <w:jc w:val="both"/>
              <w:rPr>
                <w:rFonts w:ascii="Verdana" w:eastAsia="Verdana" w:hAnsi="Verdana" w:cs="Verdana"/>
                <w:sz w:val="20"/>
              </w:rPr>
            </w:pPr>
            <w:r w:rsidRPr="00EE2CFE">
              <w:rPr>
                <w:rFonts w:ascii="Verdana" w:eastAsia="Verdana" w:hAnsi="Verdana" w:cs="Verdana"/>
                <w:sz w:val="20"/>
              </w:rPr>
              <w:t>Siūloma sąlyga neproporcinga galimiems nuostoliams - 20 eur už valandą sudaro nepagįstai didelę sumą. Tokio pobūdžio bauda viršija kompensacinę funkciją ir įgyja baudimo pobūdį, kas prieštarauja Civilinio kodekso ir viešųjų pirkimų principams. Siūloma mažinti baudos dydį.</w:t>
            </w:r>
          </w:p>
        </w:tc>
        <w:tc>
          <w:tcPr>
            <w:tcW w:w="4678" w:type="dxa"/>
          </w:tcPr>
          <w:p w14:paraId="262E949E" w14:textId="05DD3153" w:rsidR="00EE2CFE" w:rsidRDefault="00197CE8" w:rsidP="00BA4793">
            <w:pPr>
              <w:jc w:val="both"/>
              <w:rPr>
                <w:rFonts w:ascii="Verdana" w:eastAsia="Verdana" w:hAnsi="Verdana" w:cs="Verdana"/>
                <w:sz w:val="20"/>
              </w:rPr>
            </w:pPr>
            <w:r w:rsidRPr="00197CE8">
              <w:rPr>
                <w:rFonts w:ascii="Verdana" w:eastAsia="Verdana" w:hAnsi="Verdana" w:cs="Verdana"/>
                <w:sz w:val="20"/>
              </w:rPr>
              <w:t>Paaiškiname, kad nurodytos sutarties projekto specialiųjų sąlygų 9.2.4 punkto nuostatos nekeisime. Manome, kad nurodyta bauda yra adekvati, įvertinus Perkančiosios organizacijos patiriamus nuostolius dėl darbuotojų negalėjimo tinkamai naudotis Sistema po sutarto termino (vertinamas tik darbuotojų valandinis atlygis, nevertinant kitų galimų nuostolių) bei atsižvelgiant į tai, kad nurodytas netesybų dydis taip pat atliepia industrijoje mokamą valandinį darbuotojui mokamą darbo užmokestį (t.</w:t>
            </w:r>
            <w:r>
              <w:rPr>
                <w:rFonts w:ascii="Verdana" w:eastAsia="Verdana" w:hAnsi="Verdana" w:cs="Verdana"/>
                <w:sz w:val="20"/>
              </w:rPr>
              <w:t xml:space="preserve"> </w:t>
            </w:r>
            <w:r w:rsidRPr="00197CE8">
              <w:rPr>
                <w:rFonts w:ascii="Verdana" w:eastAsia="Verdana" w:hAnsi="Verdana" w:cs="Verdana"/>
                <w:sz w:val="20"/>
              </w:rPr>
              <w:t>y. darbuotojo valandinis atlygis sprendžiant atitinkamo lygio problemą). Perkančioji organizacija tikisi iš savo partnerių tinkamo sutarties vykdymo ir viliasi, kad nurodyta bauda neturės būti taikoma.</w:t>
            </w:r>
          </w:p>
        </w:tc>
      </w:tr>
      <w:tr w:rsidR="00EE2CFE" w:rsidRPr="004D0226" w14:paraId="6166BA0D" w14:textId="77777777" w:rsidTr="00BE2219">
        <w:trPr>
          <w:trHeight w:val="839"/>
          <w:jc w:val="center"/>
        </w:trPr>
        <w:tc>
          <w:tcPr>
            <w:tcW w:w="766" w:type="dxa"/>
          </w:tcPr>
          <w:p w14:paraId="4911BC17" w14:textId="6638546E" w:rsidR="00EE2CFE" w:rsidRDefault="00EE2CFE" w:rsidP="006165BF">
            <w:pPr>
              <w:spacing w:after="240"/>
              <w:jc w:val="center"/>
              <w:rPr>
                <w:rFonts w:ascii="Verdana" w:hAnsi="Verdana"/>
                <w:sz w:val="20"/>
              </w:rPr>
            </w:pPr>
            <w:r>
              <w:rPr>
                <w:rFonts w:ascii="Verdana" w:hAnsi="Verdana"/>
                <w:sz w:val="20"/>
              </w:rPr>
              <w:t>4.3.</w:t>
            </w:r>
          </w:p>
        </w:tc>
        <w:tc>
          <w:tcPr>
            <w:tcW w:w="4616" w:type="dxa"/>
          </w:tcPr>
          <w:p w14:paraId="3D30411E" w14:textId="77777777" w:rsidR="00EE2CFE" w:rsidRDefault="00EE2CFE" w:rsidP="00EE2CFE">
            <w:pPr>
              <w:spacing w:after="240"/>
              <w:jc w:val="both"/>
              <w:rPr>
                <w:rFonts w:ascii="Verdana" w:hAnsi="Verdana"/>
                <w:sz w:val="20"/>
              </w:rPr>
            </w:pPr>
            <w:r w:rsidRPr="00EE2CFE">
              <w:rPr>
                <w:rFonts w:ascii="Verdana" w:hAnsi="Verdana"/>
                <w:sz w:val="20"/>
              </w:rPr>
              <w:t>9.6. Tiekėjui / Pirkėjui taikoma bauda dėl konfidencialumo reikalavimų nesilaikymo.</w:t>
            </w:r>
          </w:p>
          <w:p w14:paraId="48699A38" w14:textId="41A6F5CB" w:rsidR="00EE2CFE" w:rsidRPr="00EE2CFE" w:rsidRDefault="00EE2CFE" w:rsidP="00EE2CFE">
            <w:pPr>
              <w:spacing w:after="240"/>
              <w:jc w:val="both"/>
              <w:rPr>
                <w:rFonts w:ascii="Verdana" w:hAnsi="Verdana"/>
                <w:sz w:val="20"/>
              </w:rPr>
            </w:pPr>
            <w:r w:rsidRPr="00EE2CFE">
              <w:rPr>
                <w:rFonts w:ascii="Verdana" w:hAnsi="Verdana"/>
                <w:sz w:val="20"/>
              </w:rPr>
              <w:t>Tiekėjas, pažeidęs konfidencialumo įsipareigojimus, už kiekvieną atskirą pažeidimą Pirkėjui moka 10 000 (dešimt tūkstančių) EUR dydžio baudą, kuri laikoma minimaliais nuostoliais, bei atlygina visus Pirkėjo patirtus nuostolius, kiek jų nepadengia numatyta bauda.</w:t>
            </w:r>
          </w:p>
        </w:tc>
        <w:tc>
          <w:tcPr>
            <w:tcW w:w="4678" w:type="dxa"/>
          </w:tcPr>
          <w:p w14:paraId="164E2459" w14:textId="13ED8AF3" w:rsidR="00EE2CFE" w:rsidRPr="00EE2CFE" w:rsidRDefault="00EE2CFE" w:rsidP="00EE2CFE">
            <w:pPr>
              <w:jc w:val="both"/>
              <w:rPr>
                <w:rFonts w:ascii="Verdana" w:eastAsia="Verdana" w:hAnsi="Verdana" w:cs="Verdana"/>
                <w:sz w:val="20"/>
              </w:rPr>
            </w:pPr>
            <w:r w:rsidRPr="00EE2CFE">
              <w:rPr>
                <w:rFonts w:ascii="Verdana" w:eastAsia="Verdana" w:hAnsi="Verdana" w:cs="Verdana"/>
                <w:sz w:val="20"/>
              </w:rPr>
              <w:t>Sąlyga numato baudą tik pirkėjo naudai ir pažeidžia šalių interesų pusiausvyrą. Manome, kad konfidencialumo įsipareigojimai turi būti abipusiai, o atsakomybė už jų pažeidimą taikoma abiem šalims. Sąlyga turi saugoti abiejų šalių konfidencialią informaciją ir užtikrinti subalansuotą atsakomybę</w:t>
            </w:r>
          </w:p>
        </w:tc>
        <w:tc>
          <w:tcPr>
            <w:tcW w:w="4678" w:type="dxa"/>
          </w:tcPr>
          <w:p w14:paraId="0DC54451" w14:textId="77777777" w:rsidR="00197CE8" w:rsidRPr="00197CE8" w:rsidRDefault="00197CE8" w:rsidP="00197CE8">
            <w:pPr>
              <w:jc w:val="both"/>
              <w:rPr>
                <w:rFonts w:ascii="Verdana" w:eastAsia="Verdana" w:hAnsi="Verdana" w:cs="Verdana"/>
                <w:sz w:val="20"/>
              </w:rPr>
            </w:pPr>
            <w:r w:rsidRPr="00197CE8">
              <w:rPr>
                <w:rFonts w:ascii="Verdana" w:eastAsia="Verdana" w:hAnsi="Verdana" w:cs="Verdana"/>
                <w:sz w:val="20"/>
              </w:rPr>
              <w:t>Perkančioji organizacija patikslina sutarties projekto specialiųjų sąlygų 9.6 punktą ir vietoje sąvokų „Pirkėjas“ bei „Tiekėjas“ įrašo sąvoką „Šalis“ bei išdėsto punktą nauja redakcija:</w:t>
            </w:r>
          </w:p>
          <w:p w14:paraId="4ED5212E" w14:textId="63DA922B" w:rsidR="00EE2CFE" w:rsidRDefault="00197CE8" w:rsidP="00197CE8">
            <w:pPr>
              <w:jc w:val="both"/>
              <w:rPr>
                <w:rFonts w:ascii="Verdana" w:eastAsia="Verdana" w:hAnsi="Verdana" w:cs="Verdana"/>
                <w:sz w:val="20"/>
              </w:rPr>
            </w:pPr>
            <w:r w:rsidRPr="00197CE8">
              <w:rPr>
                <w:rFonts w:ascii="Verdana" w:eastAsia="Verdana" w:hAnsi="Verdana" w:cs="Verdana"/>
                <w:sz w:val="20"/>
              </w:rPr>
              <w:t>„Šalis, pažeidusi konfidencialumo įsipareigojimus, už kiekvieną atskirą pažeidimą kitai Šaliai moka 10 000 (dešimt tūkstančių) EUR dydžio baudą, kuri laikoma minimaliais nuostoliais, bei atlygina visus kitos Šalies patirtus nuostolius, kiek jų nepadengia numatyta bauda.“</w:t>
            </w:r>
          </w:p>
        </w:tc>
      </w:tr>
      <w:tr w:rsidR="00EE2CFE" w:rsidRPr="004D0226" w14:paraId="5DE16D15" w14:textId="77777777" w:rsidTr="00BE2219">
        <w:trPr>
          <w:trHeight w:val="839"/>
          <w:jc w:val="center"/>
        </w:trPr>
        <w:tc>
          <w:tcPr>
            <w:tcW w:w="766" w:type="dxa"/>
          </w:tcPr>
          <w:p w14:paraId="61AE61B3" w14:textId="53DC4225" w:rsidR="00EE2CFE" w:rsidRDefault="00EE2CFE" w:rsidP="006165BF">
            <w:pPr>
              <w:spacing w:after="240"/>
              <w:jc w:val="center"/>
              <w:rPr>
                <w:rFonts w:ascii="Verdana" w:hAnsi="Verdana"/>
                <w:sz w:val="20"/>
              </w:rPr>
            </w:pPr>
            <w:r>
              <w:rPr>
                <w:rFonts w:ascii="Verdana" w:hAnsi="Verdana"/>
                <w:sz w:val="20"/>
              </w:rPr>
              <w:lastRenderedPageBreak/>
              <w:t>4.4.</w:t>
            </w:r>
          </w:p>
        </w:tc>
        <w:tc>
          <w:tcPr>
            <w:tcW w:w="4616" w:type="dxa"/>
          </w:tcPr>
          <w:p w14:paraId="79E7019E" w14:textId="4309016A" w:rsidR="00EE2CFE" w:rsidRPr="00EE2CFE" w:rsidRDefault="00EE2CFE" w:rsidP="00EE2CFE">
            <w:pPr>
              <w:spacing w:after="240"/>
              <w:jc w:val="both"/>
              <w:rPr>
                <w:rFonts w:ascii="Verdana" w:hAnsi="Verdana"/>
                <w:sz w:val="20"/>
              </w:rPr>
            </w:pPr>
            <w:r w:rsidRPr="00EE2CFE">
              <w:rPr>
                <w:rFonts w:ascii="Verdana" w:hAnsi="Verdana"/>
                <w:sz w:val="20"/>
              </w:rPr>
              <w:t xml:space="preserve">14.6. Po Sutarties sudarymo per 5 (penkias) darbo dienas Tiekėjas turi pateikti duomenis apie tai ar jis yra duomenų valdytojas ar duomenų tvarkytojas. Pirkėjas, įvertinęs pateiktą informaciją, pateiks atsakymą per 7 (septynias) darbo dienas nuo Tiekėjo pateiktos informacijos gavimo dienos. Nustačius, kad Tiekėjas yra duomenų tvarkytojas kartu su atsakymu jam bus pateikta pasirašyti duomenų tvarkymo sutartis, nurodyta Pirkimo dokumentų Pasiūlymo formos 1.2.2 punkte, kurią Tiekėjas turi pasirašyti per 7 (septynias) darbo dienas. Tiekėjas praleidęs terminą pasirašyti duomenų tvarkymo sutartį už kiekvieną sekančią kalendorinę dieną mokės Specialiųjų sąlygų 9.10 punkte numatytą baudą.  </w:t>
            </w:r>
          </w:p>
        </w:tc>
        <w:tc>
          <w:tcPr>
            <w:tcW w:w="4678" w:type="dxa"/>
          </w:tcPr>
          <w:p w14:paraId="2E35F253" w14:textId="3C093E58" w:rsidR="00EE2CFE" w:rsidRPr="00EE2CFE" w:rsidRDefault="00EE2CFE" w:rsidP="00EE2CFE">
            <w:pPr>
              <w:jc w:val="both"/>
              <w:rPr>
                <w:rFonts w:ascii="Verdana" w:eastAsia="Verdana" w:hAnsi="Verdana" w:cs="Verdana"/>
                <w:sz w:val="20"/>
              </w:rPr>
            </w:pPr>
            <w:r w:rsidRPr="00EE2CFE">
              <w:rPr>
                <w:rFonts w:ascii="Verdana" w:eastAsia="Verdana" w:hAnsi="Verdana" w:cs="Verdana"/>
                <w:sz w:val="20"/>
              </w:rPr>
              <w:t>Prašome, pateikti paaiškinimus dėl šio reikalavimo. Tas asmuo, kuris nustato duomenų tvarkymo tikslus ir priemones yra laikomas šių duomenų valdytoju. Kokią informaciją ir dėl kokių priežasčių turi pateikti šioje situacijoje paslaugų teikėjas.</w:t>
            </w:r>
          </w:p>
        </w:tc>
        <w:tc>
          <w:tcPr>
            <w:tcW w:w="4678" w:type="dxa"/>
          </w:tcPr>
          <w:p w14:paraId="669E3197" w14:textId="6563CE6F" w:rsidR="00EE2CFE" w:rsidRDefault="00197CE8" w:rsidP="00BA4793">
            <w:pPr>
              <w:jc w:val="both"/>
              <w:rPr>
                <w:rFonts w:ascii="Verdana" w:eastAsia="Verdana" w:hAnsi="Verdana" w:cs="Verdana"/>
                <w:sz w:val="20"/>
              </w:rPr>
            </w:pPr>
            <w:r w:rsidRPr="00197CE8">
              <w:rPr>
                <w:rFonts w:ascii="Verdana" w:eastAsia="Verdana" w:hAnsi="Verdana" w:cs="Verdana"/>
                <w:sz w:val="20"/>
              </w:rPr>
              <w:t xml:space="preserve">Paaiškiname, kad </w:t>
            </w:r>
            <w:r>
              <w:rPr>
                <w:rFonts w:ascii="Verdana" w:eastAsia="Verdana" w:hAnsi="Verdana" w:cs="Verdana"/>
                <w:sz w:val="20"/>
              </w:rPr>
              <w:t>T</w:t>
            </w:r>
            <w:r w:rsidRPr="00197CE8">
              <w:rPr>
                <w:rFonts w:ascii="Verdana" w:eastAsia="Verdana" w:hAnsi="Verdana" w:cs="Verdana"/>
                <w:sz w:val="20"/>
              </w:rPr>
              <w:t>iekėjas turės pateikti informaciją kokius asmens duomenis ir kokia apimtimi tvarkys vykdydamas šią sutartį ir atitinkamai pagal tai P</w:t>
            </w:r>
            <w:r>
              <w:rPr>
                <w:rFonts w:ascii="Verdana" w:eastAsia="Verdana" w:hAnsi="Verdana" w:cs="Verdana"/>
                <w:sz w:val="20"/>
              </w:rPr>
              <w:t>erkančioji organizacija</w:t>
            </w:r>
            <w:r w:rsidRPr="00197CE8">
              <w:rPr>
                <w:rFonts w:ascii="Verdana" w:eastAsia="Verdana" w:hAnsi="Verdana" w:cs="Verdana"/>
                <w:sz w:val="20"/>
              </w:rPr>
              <w:t xml:space="preserve"> priims sprendimą dėl nurodytos sutarties sudarymo</w:t>
            </w:r>
            <w:r>
              <w:rPr>
                <w:rFonts w:ascii="Verdana" w:eastAsia="Verdana" w:hAnsi="Verdana" w:cs="Verdana"/>
                <w:sz w:val="20"/>
              </w:rPr>
              <w:t>.</w:t>
            </w:r>
          </w:p>
        </w:tc>
      </w:tr>
      <w:tr w:rsidR="00EE2CFE" w:rsidRPr="004D0226" w14:paraId="2EBA9AB9" w14:textId="77777777" w:rsidTr="00BE2219">
        <w:trPr>
          <w:trHeight w:val="839"/>
          <w:jc w:val="center"/>
        </w:trPr>
        <w:tc>
          <w:tcPr>
            <w:tcW w:w="766" w:type="dxa"/>
          </w:tcPr>
          <w:p w14:paraId="0B85DA90" w14:textId="55B6B2DA" w:rsidR="00EE2CFE" w:rsidRDefault="00EE2CFE" w:rsidP="006165BF">
            <w:pPr>
              <w:spacing w:after="240"/>
              <w:jc w:val="center"/>
              <w:rPr>
                <w:rFonts w:ascii="Verdana" w:hAnsi="Verdana"/>
                <w:sz w:val="20"/>
              </w:rPr>
            </w:pPr>
            <w:r>
              <w:rPr>
                <w:rFonts w:ascii="Verdana" w:hAnsi="Verdana"/>
                <w:sz w:val="20"/>
              </w:rPr>
              <w:t>5.</w:t>
            </w:r>
          </w:p>
        </w:tc>
        <w:tc>
          <w:tcPr>
            <w:tcW w:w="9294" w:type="dxa"/>
            <w:gridSpan w:val="2"/>
          </w:tcPr>
          <w:p w14:paraId="11192D39" w14:textId="50B46737" w:rsidR="00EE2CFE" w:rsidRPr="00EE2CFE" w:rsidRDefault="00EE2CFE" w:rsidP="00EE2CFE">
            <w:pPr>
              <w:jc w:val="both"/>
              <w:rPr>
                <w:rFonts w:ascii="Verdana" w:eastAsia="Verdana" w:hAnsi="Verdana" w:cs="Verdana"/>
                <w:sz w:val="20"/>
              </w:rPr>
            </w:pPr>
            <w:r w:rsidRPr="00EE2CFE">
              <w:rPr>
                <w:rFonts w:ascii="Verdana" w:eastAsia="Verdana" w:hAnsi="Verdana" w:cs="Verdana"/>
                <w:sz w:val="20"/>
              </w:rPr>
              <w:t>Tuo pačiu prašytume nukelti pasiūlymų pateikimo terminą, kad tiekėjai spėtų atsižvelgti į pateikiamus atsakymus ir tinkamai pasiruošti pateikti pasiūlymą. Iš anksto dėkojame.</w:t>
            </w:r>
          </w:p>
        </w:tc>
        <w:tc>
          <w:tcPr>
            <w:tcW w:w="4678" w:type="dxa"/>
          </w:tcPr>
          <w:p w14:paraId="0DE89576" w14:textId="30E55D74" w:rsidR="00EE2CFE" w:rsidRDefault="00197CE8" w:rsidP="00BA4793">
            <w:pPr>
              <w:jc w:val="both"/>
              <w:rPr>
                <w:rFonts w:ascii="Verdana" w:eastAsia="Verdana" w:hAnsi="Verdana" w:cs="Verdana"/>
                <w:sz w:val="20"/>
              </w:rPr>
            </w:pPr>
            <w:r>
              <w:rPr>
                <w:rFonts w:ascii="Verdana" w:eastAsia="Verdana" w:hAnsi="Verdana" w:cs="Verdana"/>
                <w:sz w:val="20"/>
              </w:rPr>
              <w:t>Komisija</w:t>
            </w:r>
            <w:r w:rsidRPr="00197CE8">
              <w:rPr>
                <w:rFonts w:ascii="Verdana" w:eastAsia="Verdana" w:hAnsi="Verdana" w:cs="Verdana"/>
                <w:sz w:val="20"/>
              </w:rPr>
              <w:t>, išnagrinėjusi tiekėjo prašymą, priėmė sprendimą nepratęsti pasiūlymų pateikimo termino, nes esminių Pirkimo dokumentų pakeitimų neatlikta, o pasiūlymų pateikimo terminas jau buvo kartą pratęstas.</w:t>
            </w:r>
          </w:p>
        </w:tc>
      </w:tr>
    </w:tbl>
    <w:p w14:paraId="5D8C150D" w14:textId="03F61092" w:rsidR="0073381C" w:rsidRDefault="008A43D6" w:rsidP="008A43D6">
      <w:pPr>
        <w:ind w:firstLine="567"/>
        <w:jc w:val="both"/>
        <w:rPr>
          <w:rFonts w:ascii="Verdana" w:hAnsi="Verdana"/>
          <w:sz w:val="20"/>
          <w:lang w:val="fi-FI"/>
        </w:rPr>
      </w:pPr>
      <w:r w:rsidRPr="004D0226">
        <w:rPr>
          <w:rFonts w:ascii="Verdana" w:hAnsi="Verdana"/>
          <w:sz w:val="20"/>
          <w:lang w:val="fi-FI"/>
        </w:rPr>
        <w:t>* Tiekėjo pateiktas tekstas nėra redaguotas.</w:t>
      </w:r>
    </w:p>
    <w:p w14:paraId="73A8E970" w14:textId="77777777" w:rsidR="002C1F27" w:rsidRPr="002C1F27" w:rsidRDefault="002C1F27" w:rsidP="002C1F27">
      <w:pPr>
        <w:rPr>
          <w:rFonts w:ascii="Verdana" w:hAnsi="Verdana"/>
          <w:sz w:val="20"/>
        </w:rPr>
      </w:pPr>
    </w:p>
    <w:p w14:paraId="3C90C759" w14:textId="77777777" w:rsidR="002C1F27" w:rsidRPr="002C1F27" w:rsidRDefault="002C1F27" w:rsidP="002C1F27">
      <w:pPr>
        <w:rPr>
          <w:rFonts w:ascii="Verdana" w:hAnsi="Verdana"/>
          <w:sz w:val="20"/>
        </w:rPr>
      </w:pPr>
    </w:p>
    <w:p w14:paraId="42566140" w14:textId="77777777" w:rsidR="002C1F27" w:rsidRPr="002C1F27" w:rsidRDefault="002C1F27" w:rsidP="002C1F27">
      <w:pPr>
        <w:rPr>
          <w:rFonts w:ascii="Verdana" w:hAnsi="Verdana"/>
          <w:sz w:val="20"/>
        </w:rPr>
      </w:pPr>
    </w:p>
    <w:p w14:paraId="7ECEB828" w14:textId="77777777" w:rsidR="002C1F27" w:rsidRDefault="002C1F27" w:rsidP="002C1F27">
      <w:pPr>
        <w:rPr>
          <w:rFonts w:ascii="Verdana" w:hAnsi="Verdana"/>
          <w:sz w:val="20"/>
          <w:lang w:val="fi-FI"/>
        </w:rPr>
      </w:pPr>
    </w:p>
    <w:p w14:paraId="39039ACE" w14:textId="320C8F73" w:rsidR="002C1F27" w:rsidRPr="002C1F27" w:rsidRDefault="002C1F27" w:rsidP="002C1F27">
      <w:pPr>
        <w:rPr>
          <w:rFonts w:ascii="Verdana" w:hAnsi="Verdana"/>
          <w:sz w:val="20"/>
        </w:rPr>
      </w:pPr>
    </w:p>
    <w:sectPr w:rsidR="002C1F27" w:rsidRPr="002C1F27" w:rsidSect="00BE2219">
      <w:pgSz w:w="16838" w:h="11906" w:orient="landscape"/>
      <w:pgMar w:top="1701" w:right="1134"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1C1970" w14:textId="77777777" w:rsidR="000D5C10" w:rsidRDefault="000D5C10" w:rsidP="00BE3577">
      <w:r>
        <w:separator/>
      </w:r>
    </w:p>
  </w:endnote>
  <w:endnote w:type="continuationSeparator" w:id="0">
    <w:p w14:paraId="02934B7C" w14:textId="77777777" w:rsidR="000D5C10" w:rsidRDefault="000D5C10" w:rsidP="00BE3577">
      <w:r>
        <w:continuationSeparator/>
      </w:r>
    </w:p>
  </w:endnote>
  <w:endnote w:type="continuationNotice" w:id="1">
    <w:p w14:paraId="54CB1EFD" w14:textId="77777777" w:rsidR="000D5C10" w:rsidRDefault="000D5C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97952E" w14:textId="77777777" w:rsidR="000D5C10" w:rsidRDefault="000D5C10" w:rsidP="00BE3577">
      <w:r>
        <w:separator/>
      </w:r>
    </w:p>
  </w:footnote>
  <w:footnote w:type="continuationSeparator" w:id="0">
    <w:p w14:paraId="650B5B74" w14:textId="77777777" w:rsidR="000D5C10" w:rsidRDefault="000D5C10" w:rsidP="00BE3577">
      <w:r>
        <w:continuationSeparator/>
      </w:r>
    </w:p>
  </w:footnote>
  <w:footnote w:type="continuationNotice" w:id="1">
    <w:p w14:paraId="128748A3" w14:textId="77777777" w:rsidR="000D5C10" w:rsidRDefault="000D5C1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69C2D"/>
    <w:multiLevelType w:val="hybridMultilevel"/>
    <w:tmpl w:val="24BC827C"/>
    <w:lvl w:ilvl="0" w:tplc="332EC54C">
      <w:start w:val="1"/>
      <w:numFmt w:val="bullet"/>
      <w:lvlText w:val=""/>
      <w:lvlJc w:val="left"/>
      <w:pPr>
        <w:ind w:left="720" w:hanging="360"/>
      </w:pPr>
      <w:rPr>
        <w:rFonts w:ascii="Symbol" w:hAnsi="Symbol" w:hint="default"/>
      </w:rPr>
    </w:lvl>
    <w:lvl w:ilvl="1" w:tplc="6DD89794">
      <w:start w:val="1"/>
      <w:numFmt w:val="bullet"/>
      <w:lvlText w:val="o"/>
      <w:lvlJc w:val="left"/>
      <w:pPr>
        <w:ind w:left="1440" w:hanging="360"/>
      </w:pPr>
      <w:rPr>
        <w:rFonts w:ascii="Courier New" w:hAnsi="Courier New" w:hint="default"/>
      </w:rPr>
    </w:lvl>
    <w:lvl w:ilvl="2" w:tplc="95322CC0">
      <w:start w:val="1"/>
      <w:numFmt w:val="bullet"/>
      <w:lvlText w:val=""/>
      <w:lvlJc w:val="left"/>
      <w:pPr>
        <w:ind w:left="2160" w:hanging="360"/>
      </w:pPr>
      <w:rPr>
        <w:rFonts w:ascii="Wingdings" w:hAnsi="Wingdings" w:hint="default"/>
      </w:rPr>
    </w:lvl>
    <w:lvl w:ilvl="3" w:tplc="1FDED23C">
      <w:start w:val="1"/>
      <w:numFmt w:val="bullet"/>
      <w:lvlText w:val=""/>
      <w:lvlJc w:val="left"/>
      <w:pPr>
        <w:ind w:left="2880" w:hanging="360"/>
      </w:pPr>
      <w:rPr>
        <w:rFonts w:ascii="Symbol" w:hAnsi="Symbol" w:hint="default"/>
      </w:rPr>
    </w:lvl>
    <w:lvl w:ilvl="4" w:tplc="EF5AF8EE">
      <w:start w:val="1"/>
      <w:numFmt w:val="bullet"/>
      <w:lvlText w:val="o"/>
      <w:lvlJc w:val="left"/>
      <w:pPr>
        <w:ind w:left="3600" w:hanging="360"/>
      </w:pPr>
      <w:rPr>
        <w:rFonts w:ascii="Courier New" w:hAnsi="Courier New" w:hint="default"/>
      </w:rPr>
    </w:lvl>
    <w:lvl w:ilvl="5" w:tplc="7E5647BE">
      <w:start w:val="1"/>
      <w:numFmt w:val="bullet"/>
      <w:lvlText w:val=""/>
      <w:lvlJc w:val="left"/>
      <w:pPr>
        <w:ind w:left="4320" w:hanging="360"/>
      </w:pPr>
      <w:rPr>
        <w:rFonts w:ascii="Wingdings" w:hAnsi="Wingdings" w:hint="default"/>
      </w:rPr>
    </w:lvl>
    <w:lvl w:ilvl="6" w:tplc="90E41A6E">
      <w:start w:val="1"/>
      <w:numFmt w:val="bullet"/>
      <w:lvlText w:val=""/>
      <w:lvlJc w:val="left"/>
      <w:pPr>
        <w:ind w:left="5040" w:hanging="360"/>
      </w:pPr>
      <w:rPr>
        <w:rFonts w:ascii="Symbol" w:hAnsi="Symbol" w:hint="default"/>
      </w:rPr>
    </w:lvl>
    <w:lvl w:ilvl="7" w:tplc="75B2D1E6">
      <w:start w:val="1"/>
      <w:numFmt w:val="bullet"/>
      <w:lvlText w:val="o"/>
      <w:lvlJc w:val="left"/>
      <w:pPr>
        <w:ind w:left="5760" w:hanging="360"/>
      </w:pPr>
      <w:rPr>
        <w:rFonts w:ascii="Courier New" w:hAnsi="Courier New" w:hint="default"/>
      </w:rPr>
    </w:lvl>
    <w:lvl w:ilvl="8" w:tplc="01183B5A">
      <w:start w:val="1"/>
      <w:numFmt w:val="bullet"/>
      <w:lvlText w:val=""/>
      <w:lvlJc w:val="left"/>
      <w:pPr>
        <w:ind w:left="6480" w:hanging="360"/>
      </w:pPr>
      <w:rPr>
        <w:rFonts w:ascii="Wingdings" w:hAnsi="Wingdings" w:hint="default"/>
      </w:rPr>
    </w:lvl>
  </w:abstractNum>
  <w:abstractNum w:abstractNumId="1" w15:restartNumberingAfterBreak="0">
    <w:nsid w:val="11E2CC9F"/>
    <w:multiLevelType w:val="hybridMultilevel"/>
    <w:tmpl w:val="8A265758"/>
    <w:lvl w:ilvl="0" w:tplc="2D881A7A">
      <w:start w:val="1"/>
      <w:numFmt w:val="bullet"/>
      <w:lvlText w:val=""/>
      <w:lvlJc w:val="left"/>
      <w:pPr>
        <w:ind w:left="720" w:hanging="360"/>
      </w:pPr>
      <w:rPr>
        <w:rFonts w:ascii="Symbol" w:hAnsi="Symbol" w:hint="default"/>
      </w:rPr>
    </w:lvl>
    <w:lvl w:ilvl="1" w:tplc="22A0988A">
      <w:start w:val="1"/>
      <w:numFmt w:val="bullet"/>
      <w:lvlText w:val="o"/>
      <w:lvlJc w:val="left"/>
      <w:pPr>
        <w:ind w:left="1440" w:hanging="360"/>
      </w:pPr>
      <w:rPr>
        <w:rFonts w:ascii="Courier New" w:hAnsi="Courier New" w:hint="default"/>
      </w:rPr>
    </w:lvl>
    <w:lvl w:ilvl="2" w:tplc="892A7760">
      <w:start w:val="1"/>
      <w:numFmt w:val="bullet"/>
      <w:lvlText w:val=""/>
      <w:lvlJc w:val="left"/>
      <w:pPr>
        <w:ind w:left="2160" w:hanging="360"/>
      </w:pPr>
      <w:rPr>
        <w:rFonts w:ascii="Wingdings" w:hAnsi="Wingdings" w:hint="default"/>
      </w:rPr>
    </w:lvl>
    <w:lvl w:ilvl="3" w:tplc="27044EF4">
      <w:start w:val="1"/>
      <w:numFmt w:val="bullet"/>
      <w:lvlText w:val=""/>
      <w:lvlJc w:val="left"/>
      <w:pPr>
        <w:ind w:left="2880" w:hanging="360"/>
      </w:pPr>
      <w:rPr>
        <w:rFonts w:ascii="Symbol" w:hAnsi="Symbol" w:hint="default"/>
      </w:rPr>
    </w:lvl>
    <w:lvl w:ilvl="4" w:tplc="684EFA0A">
      <w:start w:val="1"/>
      <w:numFmt w:val="bullet"/>
      <w:lvlText w:val="o"/>
      <w:lvlJc w:val="left"/>
      <w:pPr>
        <w:ind w:left="3600" w:hanging="360"/>
      </w:pPr>
      <w:rPr>
        <w:rFonts w:ascii="Courier New" w:hAnsi="Courier New" w:hint="default"/>
      </w:rPr>
    </w:lvl>
    <w:lvl w:ilvl="5" w:tplc="0AF2653C">
      <w:start w:val="1"/>
      <w:numFmt w:val="bullet"/>
      <w:lvlText w:val=""/>
      <w:lvlJc w:val="left"/>
      <w:pPr>
        <w:ind w:left="4320" w:hanging="360"/>
      </w:pPr>
      <w:rPr>
        <w:rFonts w:ascii="Wingdings" w:hAnsi="Wingdings" w:hint="default"/>
      </w:rPr>
    </w:lvl>
    <w:lvl w:ilvl="6" w:tplc="44BEAA5C">
      <w:start w:val="1"/>
      <w:numFmt w:val="bullet"/>
      <w:lvlText w:val=""/>
      <w:lvlJc w:val="left"/>
      <w:pPr>
        <w:ind w:left="5040" w:hanging="360"/>
      </w:pPr>
      <w:rPr>
        <w:rFonts w:ascii="Symbol" w:hAnsi="Symbol" w:hint="default"/>
      </w:rPr>
    </w:lvl>
    <w:lvl w:ilvl="7" w:tplc="3E2C7558">
      <w:start w:val="1"/>
      <w:numFmt w:val="bullet"/>
      <w:lvlText w:val="o"/>
      <w:lvlJc w:val="left"/>
      <w:pPr>
        <w:ind w:left="5760" w:hanging="360"/>
      </w:pPr>
      <w:rPr>
        <w:rFonts w:ascii="Courier New" w:hAnsi="Courier New" w:hint="default"/>
      </w:rPr>
    </w:lvl>
    <w:lvl w:ilvl="8" w:tplc="0C3CA05E">
      <w:start w:val="1"/>
      <w:numFmt w:val="bullet"/>
      <w:lvlText w:val=""/>
      <w:lvlJc w:val="left"/>
      <w:pPr>
        <w:ind w:left="6480" w:hanging="360"/>
      </w:pPr>
      <w:rPr>
        <w:rFonts w:ascii="Wingdings" w:hAnsi="Wingdings" w:hint="default"/>
      </w:rPr>
    </w:lvl>
  </w:abstractNum>
  <w:abstractNum w:abstractNumId="2" w15:restartNumberingAfterBreak="0">
    <w:nsid w:val="14E59CD7"/>
    <w:multiLevelType w:val="hybridMultilevel"/>
    <w:tmpl w:val="07E6727C"/>
    <w:lvl w:ilvl="0" w:tplc="A27AD218">
      <w:start w:val="1"/>
      <w:numFmt w:val="bullet"/>
      <w:lvlText w:val=""/>
      <w:lvlJc w:val="left"/>
      <w:pPr>
        <w:ind w:left="720" w:hanging="360"/>
      </w:pPr>
      <w:rPr>
        <w:rFonts w:ascii="Symbol" w:hAnsi="Symbol" w:hint="default"/>
      </w:rPr>
    </w:lvl>
    <w:lvl w:ilvl="1" w:tplc="72C0ADDE">
      <w:start w:val="1"/>
      <w:numFmt w:val="bullet"/>
      <w:lvlText w:val="o"/>
      <w:lvlJc w:val="left"/>
      <w:pPr>
        <w:ind w:left="1440" w:hanging="360"/>
      </w:pPr>
      <w:rPr>
        <w:rFonts w:ascii="Courier New" w:hAnsi="Courier New" w:hint="default"/>
      </w:rPr>
    </w:lvl>
    <w:lvl w:ilvl="2" w:tplc="885A6408">
      <w:start w:val="1"/>
      <w:numFmt w:val="bullet"/>
      <w:lvlText w:val=""/>
      <w:lvlJc w:val="left"/>
      <w:pPr>
        <w:ind w:left="2160" w:hanging="360"/>
      </w:pPr>
      <w:rPr>
        <w:rFonts w:ascii="Wingdings" w:hAnsi="Wingdings" w:hint="default"/>
      </w:rPr>
    </w:lvl>
    <w:lvl w:ilvl="3" w:tplc="1A22E9B6">
      <w:start w:val="1"/>
      <w:numFmt w:val="bullet"/>
      <w:lvlText w:val=""/>
      <w:lvlJc w:val="left"/>
      <w:pPr>
        <w:ind w:left="2880" w:hanging="360"/>
      </w:pPr>
      <w:rPr>
        <w:rFonts w:ascii="Symbol" w:hAnsi="Symbol" w:hint="default"/>
      </w:rPr>
    </w:lvl>
    <w:lvl w:ilvl="4" w:tplc="69C080BC">
      <w:start w:val="1"/>
      <w:numFmt w:val="bullet"/>
      <w:lvlText w:val="o"/>
      <w:lvlJc w:val="left"/>
      <w:pPr>
        <w:ind w:left="3600" w:hanging="360"/>
      </w:pPr>
      <w:rPr>
        <w:rFonts w:ascii="Courier New" w:hAnsi="Courier New" w:hint="default"/>
      </w:rPr>
    </w:lvl>
    <w:lvl w:ilvl="5" w:tplc="3DB81204">
      <w:start w:val="1"/>
      <w:numFmt w:val="bullet"/>
      <w:lvlText w:val=""/>
      <w:lvlJc w:val="left"/>
      <w:pPr>
        <w:ind w:left="4320" w:hanging="360"/>
      </w:pPr>
      <w:rPr>
        <w:rFonts w:ascii="Wingdings" w:hAnsi="Wingdings" w:hint="default"/>
      </w:rPr>
    </w:lvl>
    <w:lvl w:ilvl="6" w:tplc="74F413D6">
      <w:start w:val="1"/>
      <w:numFmt w:val="bullet"/>
      <w:lvlText w:val=""/>
      <w:lvlJc w:val="left"/>
      <w:pPr>
        <w:ind w:left="5040" w:hanging="360"/>
      </w:pPr>
      <w:rPr>
        <w:rFonts w:ascii="Symbol" w:hAnsi="Symbol" w:hint="default"/>
      </w:rPr>
    </w:lvl>
    <w:lvl w:ilvl="7" w:tplc="7B6413B8">
      <w:start w:val="1"/>
      <w:numFmt w:val="bullet"/>
      <w:lvlText w:val="o"/>
      <w:lvlJc w:val="left"/>
      <w:pPr>
        <w:ind w:left="5760" w:hanging="360"/>
      </w:pPr>
      <w:rPr>
        <w:rFonts w:ascii="Courier New" w:hAnsi="Courier New" w:hint="default"/>
      </w:rPr>
    </w:lvl>
    <w:lvl w:ilvl="8" w:tplc="C74C3988">
      <w:start w:val="1"/>
      <w:numFmt w:val="bullet"/>
      <w:lvlText w:val=""/>
      <w:lvlJc w:val="left"/>
      <w:pPr>
        <w:ind w:left="6480" w:hanging="360"/>
      </w:pPr>
      <w:rPr>
        <w:rFonts w:ascii="Wingdings" w:hAnsi="Wingdings" w:hint="default"/>
      </w:rPr>
    </w:lvl>
  </w:abstractNum>
  <w:abstractNum w:abstractNumId="3" w15:restartNumberingAfterBreak="0">
    <w:nsid w:val="24D7BBCC"/>
    <w:multiLevelType w:val="hybridMultilevel"/>
    <w:tmpl w:val="07047110"/>
    <w:lvl w:ilvl="0" w:tplc="030E8262">
      <w:start w:val="1"/>
      <w:numFmt w:val="decimal"/>
      <w:lvlText w:val="%1."/>
      <w:lvlJc w:val="left"/>
      <w:pPr>
        <w:ind w:left="1080" w:hanging="360"/>
      </w:pPr>
    </w:lvl>
    <w:lvl w:ilvl="1" w:tplc="682A955C">
      <w:start w:val="1"/>
      <w:numFmt w:val="lowerLetter"/>
      <w:lvlText w:val="%2."/>
      <w:lvlJc w:val="left"/>
      <w:pPr>
        <w:ind w:left="1800" w:hanging="360"/>
      </w:pPr>
    </w:lvl>
    <w:lvl w:ilvl="2" w:tplc="4DE49BE4">
      <w:start w:val="1"/>
      <w:numFmt w:val="lowerRoman"/>
      <w:lvlText w:val="%3."/>
      <w:lvlJc w:val="right"/>
      <w:pPr>
        <w:ind w:left="2520" w:hanging="180"/>
      </w:pPr>
    </w:lvl>
    <w:lvl w:ilvl="3" w:tplc="E1BA3F28">
      <w:start w:val="1"/>
      <w:numFmt w:val="decimal"/>
      <w:lvlText w:val="%4."/>
      <w:lvlJc w:val="left"/>
      <w:pPr>
        <w:ind w:left="3240" w:hanging="360"/>
      </w:pPr>
    </w:lvl>
    <w:lvl w:ilvl="4" w:tplc="5540128C">
      <w:start w:val="1"/>
      <w:numFmt w:val="lowerLetter"/>
      <w:lvlText w:val="%5."/>
      <w:lvlJc w:val="left"/>
      <w:pPr>
        <w:ind w:left="3960" w:hanging="360"/>
      </w:pPr>
    </w:lvl>
    <w:lvl w:ilvl="5" w:tplc="C90EDCCC">
      <w:start w:val="1"/>
      <w:numFmt w:val="lowerRoman"/>
      <w:lvlText w:val="%6."/>
      <w:lvlJc w:val="right"/>
      <w:pPr>
        <w:ind w:left="4680" w:hanging="180"/>
      </w:pPr>
    </w:lvl>
    <w:lvl w:ilvl="6" w:tplc="1B54CE8E">
      <w:start w:val="1"/>
      <w:numFmt w:val="decimal"/>
      <w:lvlText w:val="%7."/>
      <w:lvlJc w:val="left"/>
      <w:pPr>
        <w:ind w:left="5400" w:hanging="360"/>
      </w:pPr>
    </w:lvl>
    <w:lvl w:ilvl="7" w:tplc="B7CCBF96">
      <w:start w:val="1"/>
      <w:numFmt w:val="lowerLetter"/>
      <w:lvlText w:val="%8."/>
      <w:lvlJc w:val="left"/>
      <w:pPr>
        <w:ind w:left="6120" w:hanging="360"/>
      </w:pPr>
    </w:lvl>
    <w:lvl w:ilvl="8" w:tplc="763EAF0A">
      <w:start w:val="1"/>
      <w:numFmt w:val="lowerRoman"/>
      <w:lvlText w:val="%9."/>
      <w:lvlJc w:val="right"/>
      <w:pPr>
        <w:ind w:left="6840" w:hanging="180"/>
      </w:pPr>
    </w:lvl>
  </w:abstractNum>
  <w:abstractNum w:abstractNumId="4" w15:restartNumberingAfterBreak="0">
    <w:nsid w:val="363447EC"/>
    <w:multiLevelType w:val="hybridMultilevel"/>
    <w:tmpl w:val="00AAD566"/>
    <w:lvl w:ilvl="0" w:tplc="5F082D4E">
      <w:start w:val="1"/>
      <w:numFmt w:val="bullet"/>
      <w:lvlText w:val=""/>
      <w:lvlJc w:val="left"/>
      <w:pPr>
        <w:ind w:left="720" w:hanging="360"/>
      </w:pPr>
      <w:rPr>
        <w:rFonts w:ascii="Symbol" w:hAnsi="Symbol" w:hint="default"/>
      </w:rPr>
    </w:lvl>
    <w:lvl w:ilvl="1" w:tplc="98848202">
      <w:start w:val="1"/>
      <w:numFmt w:val="bullet"/>
      <w:lvlText w:val="o"/>
      <w:lvlJc w:val="left"/>
      <w:pPr>
        <w:ind w:left="1440" w:hanging="360"/>
      </w:pPr>
      <w:rPr>
        <w:rFonts w:ascii="Courier New" w:hAnsi="Courier New" w:hint="default"/>
      </w:rPr>
    </w:lvl>
    <w:lvl w:ilvl="2" w:tplc="080E741A">
      <w:start w:val="1"/>
      <w:numFmt w:val="bullet"/>
      <w:lvlText w:val=""/>
      <w:lvlJc w:val="left"/>
      <w:pPr>
        <w:ind w:left="2160" w:hanging="360"/>
      </w:pPr>
      <w:rPr>
        <w:rFonts w:ascii="Wingdings" w:hAnsi="Wingdings" w:hint="default"/>
      </w:rPr>
    </w:lvl>
    <w:lvl w:ilvl="3" w:tplc="A01869FA">
      <w:start w:val="1"/>
      <w:numFmt w:val="bullet"/>
      <w:lvlText w:val=""/>
      <w:lvlJc w:val="left"/>
      <w:pPr>
        <w:ind w:left="2880" w:hanging="360"/>
      </w:pPr>
      <w:rPr>
        <w:rFonts w:ascii="Symbol" w:hAnsi="Symbol" w:hint="default"/>
      </w:rPr>
    </w:lvl>
    <w:lvl w:ilvl="4" w:tplc="3ACE802C">
      <w:start w:val="1"/>
      <w:numFmt w:val="bullet"/>
      <w:lvlText w:val="o"/>
      <w:lvlJc w:val="left"/>
      <w:pPr>
        <w:ind w:left="3600" w:hanging="360"/>
      </w:pPr>
      <w:rPr>
        <w:rFonts w:ascii="Courier New" w:hAnsi="Courier New" w:hint="default"/>
      </w:rPr>
    </w:lvl>
    <w:lvl w:ilvl="5" w:tplc="AD762946">
      <w:start w:val="1"/>
      <w:numFmt w:val="bullet"/>
      <w:lvlText w:val=""/>
      <w:lvlJc w:val="left"/>
      <w:pPr>
        <w:ind w:left="4320" w:hanging="360"/>
      </w:pPr>
      <w:rPr>
        <w:rFonts w:ascii="Wingdings" w:hAnsi="Wingdings" w:hint="default"/>
      </w:rPr>
    </w:lvl>
    <w:lvl w:ilvl="6" w:tplc="EEB062A6">
      <w:start w:val="1"/>
      <w:numFmt w:val="bullet"/>
      <w:lvlText w:val=""/>
      <w:lvlJc w:val="left"/>
      <w:pPr>
        <w:ind w:left="5040" w:hanging="360"/>
      </w:pPr>
      <w:rPr>
        <w:rFonts w:ascii="Symbol" w:hAnsi="Symbol" w:hint="default"/>
      </w:rPr>
    </w:lvl>
    <w:lvl w:ilvl="7" w:tplc="FE20A622">
      <w:start w:val="1"/>
      <w:numFmt w:val="bullet"/>
      <w:lvlText w:val="o"/>
      <w:lvlJc w:val="left"/>
      <w:pPr>
        <w:ind w:left="5760" w:hanging="360"/>
      </w:pPr>
      <w:rPr>
        <w:rFonts w:ascii="Courier New" w:hAnsi="Courier New" w:hint="default"/>
      </w:rPr>
    </w:lvl>
    <w:lvl w:ilvl="8" w:tplc="126AE82C">
      <w:start w:val="1"/>
      <w:numFmt w:val="bullet"/>
      <w:lvlText w:val=""/>
      <w:lvlJc w:val="left"/>
      <w:pPr>
        <w:ind w:left="6480" w:hanging="360"/>
      </w:pPr>
      <w:rPr>
        <w:rFonts w:ascii="Wingdings" w:hAnsi="Wingdings" w:hint="default"/>
      </w:rPr>
    </w:lvl>
  </w:abstractNum>
  <w:abstractNum w:abstractNumId="5" w15:restartNumberingAfterBreak="0">
    <w:nsid w:val="4377F9C3"/>
    <w:multiLevelType w:val="hybridMultilevel"/>
    <w:tmpl w:val="FE082724"/>
    <w:lvl w:ilvl="0" w:tplc="F9F0F446">
      <w:start w:val="1"/>
      <w:numFmt w:val="bullet"/>
      <w:lvlText w:val=""/>
      <w:lvlJc w:val="left"/>
      <w:pPr>
        <w:ind w:left="720" w:hanging="360"/>
      </w:pPr>
      <w:rPr>
        <w:rFonts w:ascii="Symbol" w:hAnsi="Symbol" w:hint="default"/>
      </w:rPr>
    </w:lvl>
    <w:lvl w:ilvl="1" w:tplc="E19483A4">
      <w:start w:val="1"/>
      <w:numFmt w:val="bullet"/>
      <w:lvlText w:val="o"/>
      <w:lvlJc w:val="left"/>
      <w:pPr>
        <w:ind w:left="1440" w:hanging="360"/>
      </w:pPr>
      <w:rPr>
        <w:rFonts w:ascii="Courier New" w:hAnsi="Courier New" w:hint="default"/>
      </w:rPr>
    </w:lvl>
    <w:lvl w:ilvl="2" w:tplc="8B2C9202">
      <w:start w:val="1"/>
      <w:numFmt w:val="bullet"/>
      <w:lvlText w:val=""/>
      <w:lvlJc w:val="left"/>
      <w:pPr>
        <w:ind w:left="2160" w:hanging="360"/>
      </w:pPr>
      <w:rPr>
        <w:rFonts w:ascii="Wingdings" w:hAnsi="Wingdings" w:hint="default"/>
      </w:rPr>
    </w:lvl>
    <w:lvl w:ilvl="3" w:tplc="CFDCD408">
      <w:start w:val="1"/>
      <w:numFmt w:val="bullet"/>
      <w:lvlText w:val=""/>
      <w:lvlJc w:val="left"/>
      <w:pPr>
        <w:ind w:left="2880" w:hanging="360"/>
      </w:pPr>
      <w:rPr>
        <w:rFonts w:ascii="Symbol" w:hAnsi="Symbol" w:hint="default"/>
      </w:rPr>
    </w:lvl>
    <w:lvl w:ilvl="4" w:tplc="CBD06BB2">
      <w:start w:val="1"/>
      <w:numFmt w:val="bullet"/>
      <w:lvlText w:val="o"/>
      <w:lvlJc w:val="left"/>
      <w:pPr>
        <w:ind w:left="3600" w:hanging="360"/>
      </w:pPr>
      <w:rPr>
        <w:rFonts w:ascii="Courier New" w:hAnsi="Courier New" w:hint="default"/>
      </w:rPr>
    </w:lvl>
    <w:lvl w:ilvl="5" w:tplc="0C52E3B0">
      <w:start w:val="1"/>
      <w:numFmt w:val="bullet"/>
      <w:lvlText w:val=""/>
      <w:lvlJc w:val="left"/>
      <w:pPr>
        <w:ind w:left="4320" w:hanging="360"/>
      </w:pPr>
      <w:rPr>
        <w:rFonts w:ascii="Wingdings" w:hAnsi="Wingdings" w:hint="default"/>
      </w:rPr>
    </w:lvl>
    <w:lvl w:ilvl="6" w:tplc="5AD62F1E">
      <w:start w:val="1"/>
      <w:numFmt w:val="bullet"/>
      <w:lvlText w:val=""/>
      <w:lvlJc w:val="left"/>
      <w:pPr>
        <w:ind w:left="5040" w:hanging="360"/>
      </w:pPr>
      <w:rPr>
        <w:rFonts w:ascii="Symbol" w:hAnsi="Symbol" w:hint="default"/>
      </w:rPr>
    </w:lvl>
    <w:lvl w:ilvl="7" w:tplc="EAC64558">
      <w:start w:val="1"/>
      <w:numFmt w:val="bullet"/>
      <w:lvlText w:val="o"/>
      <w:lvlJc w:val="left"/>
      <w:pPr>
        <w:ind w:left="5760" w:hanging="360"/>
      </w:pPr>
      <w:rPr>
        <w:rFonts w:ascii="Courier New" w:hAnsi="Courier New" w:hint="default"/>
      </w:rPr>
    </w:lvl>
    <w:lvl w:ilvl="8" w:tplc="A870670E">
      <w:start w:val="1"/>
      <w:numFmt w:val="bullet"/>
      <w:lvlText w:val=""/>
      <w:lvlJc w:val="left"/>
      <w:pPr>
        <w:ind w:left="6480" w:hanging="360"/>
      </w:pPr>
      <w:rPr>
        <w:rFonts w:ascii="Wingdings" w:hAnsi="Wingdings" w:hint="default"/>
      </w:rPr>
    </w:lvl>
  </w:abstractNum>
  <w:abstractNum w:abstractNumId="6" w15:restartNumberingAfterBreak="0">
    <w:nsid w:val="4D3F1FA6"/>
    <w:multiLevelType w:val="hybridMultilevel"/>
    <w:tmpl w:val="4718CD4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52AB979"/>
    <w:multiLevelType w:val="hybridMultilevel"/>
    <w:tmpl w:val="78F0FED0"/>
    <w:lvl w:ilvl="0" w:tplc="3600F35A">
      <w:start w:val="1"/>
      <w:numFmt w:val="bullet"/>
      <w:lvlText w:val=""/>
      <w:lvlJc w:val="left"/>
      <w:pPr>
        <w:ind w:left="720" w:hanging="360"/>
      </w:pPr>
      <w:rPr>
        <w:rFonts w:ascii="Symbol" w:hAnsi="Symbol" w:hint="default"/>
      </w:rPr>
    </w:lvl>
    <w:lvl w:ilvl="1" w:tplc="503C789C">
      <w:start w:val="1"/>
      <w:numFmt w:val="bullet"/>
      <w:lvlText w:val="o"/>
      <w:lvlJc w:val="left"/>
      <w:pPr>
        <w:ind w:left="1440" w:hanging="360"/>
      </w:pPr>
      <w:rPr>
        <w:rFonts w:ascii="Courier New" w:hAnsi="Courier New" w:hint="default"/>
      </w:rPr>
    </w:lvl>
    <w:lvl w:ilvl="2" w:tplc="5FE8B466">
      <w:start w:val="1"/>
      <w:numFmt w:val="bullet"/>
      <w:lvlText w:val=""/>
      <w:lvlJc w:val="left"/>
      <w:pPr>
        <w:ind w:left="2160" w:hanging="360"/>
      </w:pPr>
      <w:rPr>
        <w:rFonts w:ascii="Wingdings" w:hAnsi="Wingdings" w:hint="default"/>
      </w:rPr>
    </w:lvl>
    <w:lvl w:ilvl="3" w:tplc="1A101ADA">
      <w:start w:val="1"/>
      <w:numFmt w:val="bullet"/>
      <w:lvlText w:val=""/>
      <w:lvlJc w:val="left"/>
      <w:pPr>
        <w:ind w:left="2880" w:hanging="360"/>
      </w:pPr>
      <w:rPr>
        <w:rFonts w:ascii="Symbol" w:hAnsi="Symbol" w:hint="default"/>
      </w:rPr>
    </w:lvl>
    <w:lvl w:ilvl="4" w:tplc="9878A7B8">
      <w:start w:val="1"/>
      <w:numFmt w:val="bullet"/>
      <w:lvlText w:val="o"/>
      <w:lvlJc w:val="left"/>
      <w:pPr>
        <w:ind w:left="3600" w:hanging="360"/>
      </w:pPr>
      <w:rPr>
        <w:rFonts w:ascii="Courier New" w:hAnsi="Courier New" w:hint="default"/>
      </w:rPr>
    </w:lvl>
    <w:lvl w:ilvl="5" w:tplc="B7746CCC">
      <w:start w:val="1"/>
      <w:numFmt w:val="bullet"/>
      <w:lvlText w:val=""/>
      <w:lvlJc w:val="left"/>
      <w:pPr>
        <w:ind w:left="4320" w:hanging="360"/>
      </w:pPr>
      <w:rPr>
        <w:rFonts w:ascii="Wingdings" w:hAnsi="Wingdings" w:hint="default"/>
      </w:rPr>
    </w:lvl>
    <w:lvl w:ilvl="6" w:tplc="35E63486">
      <w:start w:val="1"/>
      <w:numFmt w:val="bullet"/>
      <w:lvlText w:val=""/>
      <w:lvlJc w:val="left"/>
      <w:pPr>
        <w:ind w:left="5040" w:hanging="360"/>
      </w:pPr>
      <w:rPr>
        <w:rFonts w:ascii="Symbol" w:hAnsi="Symbol" w:hint="default"/>
      </w:rPr>
    </w:lvl>
    <w:lvl w:ilvl="7" w:tplc="6EE83124">
      <w:start w:val="1"/>
      <w:numFmt w:val="bullet"/>
      <w:lvlText w:val="o"/>
      <w:lvlJc w:val="left"/>
      <w:pPr>
        <w:ind w:left="5760" w:hanging="360"/>
      </w:pPr>
      <w:rPr>
        <w:rFonts w:ascii="Courier New" w:hAnsi="Courier New" w:hint="default"/>
      </w:rPr>
    </w:lvl>
    <w:lvl w:ilvl="8" w:tplc="B99C18F0">
      <w:start w:val="1"/>
      <w:numFmt w:val="bullet"/>
      <w:lvlText w:val=""/>
      <w:lvlJc w:val="left"/>
      <w:pPr>
        <w:ind w:left="6480" w:hanging="360"/>
      </w:pPr>
      <w:rPr>
        <w:rFonts w:ascii="Wingdings" w:hAnsi="Wingdings" w:hint="default"/>
      </w:rPr>
    </w:lvl>
  </w:abstractNum>
  <w:abstractNum w:abstractNumId="8" w15:restartNumberingAfterBreak="0">
    <w:nsid w:val="5625D20A"/>
    <w:multiLevelType w:val="hybridMultilevel"/>
    <w:tmpl w:val="77D8288A"/>
    <w:lvl w:ilvl="0" w:tplc="8CCA90B2">
      <w:start w:val="1"/>
      <w:numFmt w:val="bullet"/>
      <w:lvlText w:val=""/>
      <w:lvlJc w:val="left"/>
      <w:pPr>
        <w:ind w:left="720" w:hanging="360"/>
      </w:pPr>
      <w:rPr>
        <w:rFonts w:ascii="Symbol" w:hAnsi="Symbol" w:hint="default"/>
      </w:rPr>
    </w:lvl>
    <w:lvl w:ilvl="1" w:tplc="90FEF886">
      <w:start w:val="1"/>
      <w:numFmt w:val="bullet"/>
      <w:lvlText w:val=""/>
      <w:lvlJc w:val="left"/>
      <w:pPr>
        <w:ind w:left="1440" w:hanging="360"/>
      </w:pPr>
      <w:rPr>
        <w:rFonts w:ascii="Symbol" w:hAnsi="Symbol" w:hint="default"/>
      </w:rPr>
    </w:lvl>
    <w:lvl w:ilvl="2" w:tplc="B35C5C86">
      <w:start w:val="1"/>
      <w:numFmt w:val="bullet"/>
      <w:lvlText w:val=""/>
      <w:lvlJc w:val="left"/>
      <w:pPr>
        <w:ind w:left="2160" w:hanging="360"/>
      </w:pPr>
      <w:rPr>
        <w:rFonts w:ascii="Wingdings" w:hAnsi="Wingdings" w:hint="default"/>
      </w:rPr>
    </w:lvl>
    <w:lvl w:ilvl="3" w:tplc="D48CB65C">
      <w:start w:val="1"/>
      <w:numFmt w:val="bullet"/>
      <w:lvlText w:val=""/>
      <w:lvlJc w:val="left"/>
      <w:pPr>
        <w:ind w:left="2880" w:hanging="360"/>
      </w:pPr>
      <w:rPr>
        <w:rFonts w:ascii="Symbol" w:hAnsi="Symbol" w:hint="default"/>
      </w:rPr>
    </w:lvl>
    <w:lvl w:ilvl="4" w:tplc="59BAABBA">
      <w:start w:val="1"/>
      <w:numFmt w:val="bullet"/>
      <w:lvlText w:val="o"/>
      <w:lvlJc w:val="left"/>
      <w:pPr>
        <w:ind w:left="3600" w:hanging="360"/>
      </w:pPr>
      <w:rPr>
        <w:rFonts w:ascii="Courier New" w:hAnsi="Courier New" w:hint="default"/>
      </w:rPr>
    </w:lvl>
    <w:lvl w:ilvl="5" w:tplc="A814BC3A">
      <w:start w:val="1"/>
      <w:numFmt w:val="bullet"/>
      <w:lvlText w:val=""/>
      <w:lvlJc w:val="left"/>
      <w:pPr>
        <w:ind w:left="4320" w:hanging="360"/>
      </w:pPr>
      <w:rPr>
        <w:rFonts w:ascii="Wingdings" w:hAnsi="Wingdings" w:hint="default"/>
      </w:rPr>
    </w:lvl>
    <w:lvl w:ilvl="6" w:tplc="7E725AFA">
      <w:start w:val="1"/>
      <w:numFmt w:val="bullet"/>
      <w:lvlText w:val=""/>
      <w:lvlJc w:val="left"/>
      <w:pPr>
        <w:ind w:left="5040" w:hanging="360"/>
      </w:pPr>
      <w:rPr>
        <w:rFonts w:ascii="Symbol" w:hAnsi="Symbol" w:hint="default"/>
      </w:rPr>
    </w:lvl>
    <w:lvl w:ilvl="7" w:tplc="7B56106E">
      <w:start w:val="1"/>
      <w:numFmt w:val="bullet"/>
      <w:lvlText w:val="o"/>
      <w:lvlJc w:val="left"/>
      <w:pPr>
        <w:ind w:left="5760" w:hanging="360"/>
      </w:pPr>
      <w:rPr>
        <w:rFonts w:ascii="Courier New" w:hAnsi="Courier New" w:hint="default"/>
      </w:rPr>
    </w:lvl>
    <w:lvl w:ilvl="8" w:tplc="B58E873C">
      <w:start w:val="1"/>
      <w:numFmt w:val="bullet"/>
      <w:lvlText w:val=""/>
      <w:lvlJc w:val="left"/>
      <w:pPr>
        <w:ind w:left="6480" w:hanging="360"/>
      </w:pPr>
      <w:rPr>
        <w:rFonts w:ascii="Wingdings" w:hAnsi="Wingdings" w:hint="default"/>
      </w:rPr>
    </w:lvl>
  </w:abstractNum>
  <w:abstractNum w:abstractNumId="9" w15:restartNumberingAfterBreak="0">
    <w:nsid w:val="5740B204"/>
    <w:multiLevelType w:val="hybridMultilevel"/>
    <w:tmpl w:val="75E692A4"/>
    <w:lvl w:ilvl="0" w:tplc="00CE1984">
      <w:start w:val="1"/>
      <w:numFmt w:val="bullet"/>
      <w:lvlText w:val=""/>
      <w:lvlJc w:val="left"/>
      <w:pPr>
        <w:ind w:left="720" w:hanging="360"/>
      </w:pPr>
      <w:rPr>
        <w:rFonts w:ascii="Symbol" w:hAnsi="Symbol" w:hint="default"/>
      </w:rPr>
    </w:lvl>
    <w:lvl w:ilvl="1" w:tplc="3C2A8742">
      <w:start w:val="1"/>
      <w:numFmt w:val="bullet"/>
      <w:lvlText w:val="o"/>
      <w:lvlJc w:val="left"/>
      <w:pPr>
        <w:ind w:left="1440" w:hanging="360"/>
      </w:pPr>
      <w:rPr>
        <w:rFonts w:ascii="Courier New" w:hAnsi="Courier New" w:hint="default"/>
      </w:rPr>
    </w:lvl>
    <w:lvl w:ilvl="2" w:tplc="89200BE4">
      <w:start w:val="1"/>
      <w:numFmt w:val="bullet"/>
      <w:lvlText w:val=""/>
      <w:lvlJc w:val="left"/>
      <w:pPr>
        <w:ind w:left="2160" w:hanging="360"/>
      </w:pPr>
      <w:rPr>
        <w:rFonts w:ascii="Wingdings" w:hAnsi="Wingdings" w:hint="default"/>
      </w:rPr>
    </w:lvl>
    <w:lvl w:ilvl="3" w:tplc="9B4635A6">
      <w:start w:val="1"/>
      <w:numFmt w:val="bullet"/>
      <w:lvlText w:val=""/>
      <w:lvlJc w:val="left"/>
      <w:pPr>
        <w:ind w:left="2880" w:hanging="360"/>
      </w:pPr>
      <w:rPr>
        <w:rFonts w:ascii="Symbol" w:hAnsi="Symbol" w:hint="default"/>
      </w:rPr>
    </w:lvl>
    <w:lvl w:ilvl="4" w:tplc="81CA9976">
      <w:start w:val="1"/>
      <w:numFmt w:val="bullet"/>
      <w:lvlText w:val="o"/>
      <w:lvlJc w:val="left"/>
      <w:pPr>
        <w:ind w:left="3600" w:hanging="360"/>
      </w:pPr>
      <w:rPr>
        <w:rFonts w:ascii="Courier New" w:hAnsi="Courier New" w:hint="default"/>
      </w:rPr>
    </w:lvl>
    <w:lvl w:ilvl="5" w:tplc="D062F768">
      <w:start w:val="1"/>
      <w:numFmt w:val="bullet"/>
      <w:lvlText w:val=""/>
      <w:lvlJc w:val="left"/>
      <w:pPr>
        <w:ind w:left="4320" w:hanging="360"/>
      </w:pPr>
      <w:rPr>
        <w:rFonts w:ascii="Wingdings" w:hAnsi="Wingdings" w:hint="default"/>
      </w:rPr>
    </w:lvl>
    <w:lvl w:ilvl="6" w:tplc="0A221B7E">
      <w:start w:val="1"/>
      <w:numFmt w:val="bullet"/>
      <w:lvlText w:val=""/>
      <w:lvlJc w:val="left"/>
      <w:pPr>
        <w:ind w:left="5040" w:hanging="360"/>
      </w:pPr>
      <w:rPr>
        <w:rFonts w:ascii="Symbol" w:hAnsi="Symbol" w:hint="default"/>
      </w:rPr>
    </w:lvl>
    <w:lvl w:ilvl="7" w:tplc="2DBABC36">
      <w:start w:val="1"/>
      <w:numFmt w:val="bullet"/>
      <w:lvlText w:val="o"/>
      <w:lvlJc w:val="left"/>
      <w:pPr>
        <w:ind w:left="5760" w:hanging="360"/>
      </w:pPr>
      <w:rPr>
        <w:rFonts w:ascii="Courier New" w:hAnsi="Courier New" w:hint="default"/>
      </w:rPr>
    </w:lvl>
    <w:lvl w:ilvl="8" w:tplc="E1FAEEEC">
      <w:start w:val="1"/>
      <w:numFmt w:val="bullet"/>
      <w:lvlText w:val=""/>
      <w:lvlJc w:val="left"/>
      <w:pPr>
        <w:ind w:left="6480" w:hanging="360"/>
      </w:pPr>
      <w:rPr>
        <w:rFonts w:ascii="Wingdings" w:hAnsi="Wingdings" w:hint="default"/>
      </w:rPr>
    </w:lvl>
  </w:abstractNum>
  <w:abstractNum w:abstractNumId="10" w15:restartNumberingAfterBreak="0">
    <w:nsid w:val="70ECE732"/>
    <w:multiLevelType w:val="hybridMultilevel"/>
    <w:tmpl w:val="AF26B7F0"/>
    <w:lvl w:ilvl="0" w:tplc="2BB89C2C">
      <w:start w:val="1"/>
      <w:numFmt w:val="decimal"/>
      <w:lvlText w:val="%1."/>
      <w:lvlJc w:val="left"/>
      <w:pPr>
        <w:ind w:left="720" w:hanging="360"/>
      </w:pPr>
    </w:lvl>
    <w:lvl w:ilvl="1" w:tplc="D1D216F0">
      <w:start w:val="1"/>
      <w:numFmt w:val="lowerLetter"/>
      <w:lvlText w:val="%2."/>
      <w:lvlJc w:val="left"/>
      <w:pPr>
        <w:ind w:left="1440" w:hanging="360"/>
      </w:pPr>
    </w:lvl>
    <w:lvl w:ilvl="2" w:tplc="67362232">
      <w:start w:val="1"/>
      <w:numFmt w:val="lowerRoman"/>
      <w:lvlText w:val="%3."/>
      <w:lvlJc w:val="right"/>
      <w:pPr>
        <w:ind w:left="2160" w:hanging="180"/>
      </w:pPr>
    </w:lvl>
    <w:lvl w:ilvl="3" w:tplc="332A4B1A">
      <w:start w:val="1"/>
      <w:numFmt w:val="decimal"/>
      <w:lvlText w:val="%4."/>
      <w:lvlJc w:val="left"/>
      <w:pPr>
        <w:ind w:left="2880" w:hanging="360"/>
      </w:pPr>
    </w:lvl>
    <w:lvl w:ilvl="4" w:tplc="8962EE4C">
      <w:start w:val="1"/>
      <w:numFmt w:val="lowerLetter"/>
      <w:lvlText w:val="%5."/>
      <w:lvlJc w:val="left"/>
      <w:pPr>
        <w:ind w:left="3600" w:hanging="360"/>
      </w:pPr>
    </w:lvl>
    <w:lvl w:ilvl="5" w:tplc="9F923F08">
      <w:start w:val="1"/>
      <w:numFmt w:val="lowerRoman"/>
      <w:lvlText w:val="%6."/>
      <w:lvlJc w:val="right"/>
      <w:pPr>
        <w:ind w:left="4320" w:hanging="180"/>
      </w:pPr>
    </w:lvl>
    <w:lvl w:ilvl="6" w:tplc="84D09572">
      <w:start w:val="1"/>
      <w:numFmt w:val="decimal"/>
      <w:lvlText w:val="%7."/>
      <w:lvlJc w:val="left"/>
      <w:pPr>
        <w:ind w:left="5040" w:hanging="360"/>
      </w:pPr>
    </w:lvl>
    <w:lvl w:ilvl="7" w:tplc="C0367D48">
      <w:start w:val="1"/>
      <w:numFmt w:val="lowerLetter"/>
      <w:lvlText w:val="%8."/>
      <w:lvlJc w:val="left"/>
      <w:pPr>
        <w:ind w:left="5760" w:hanging="360"/>
      </w:pPr>
    </w:lvl>
    <w:lvl w:ilvl="8" w:tplc="AD8EBF44">
      <w:start w:val="1"/>
      <w:numFmt w:val="lowerRoman"/>
      <w:lvlText w:val="%9."/>
      <w:lvlJc w:val="right"/>
      <w:pPr>
        <w:ind w:left="6480" w:hanging="180"/>
      </w:pPr>
    </w:lvl>
  </w:abstractNum>
  <w:num w:numId="1" w16cid:durableId="748120080">
    <w:abstractNumId w:val="0"/>
  </w:num>
  <w:num w:numId="2" w16cid:durableId="1659118006">
    <w:abstractNumId w:val="9"/>
  </w:num>
  <w:num w:numId="3" w16cid:durableId="2072922030">
    <w:abstractNumId w:val="7"/>
  </w:num>
  <w:num w:numId="4" w16cid:durableId="1318605934">
    <w:abstractNumId w:val="2"/>
  </w:num>
  <w:num w:numId="5" w16cid:durableId="2121338554">
    <w:abstractNumId w:val="4"/>
  </w:num>
  <w:num w:numId="6" w16cid:durableId="1691108302">
    <w:abstractNumId w:val="1"/>
  </w:num>
  <w:num w:numId="7" w16cid:durableId="1358192957">
    <w:abstractNumId w:val="5"/>
  </w:num>
  <w:num w:numId="8" w16cid:durableId="47723939">
    <w:abstractNumId w:val="3"/>
  </w:num>
  <w:num w:numId="9" w16cid:durableId="740449326">
    <w:abstractNumId w:val="8"/>
  </w:num>
  <w:num w:numId="10" w16cid:durableId="403457630">
    <w:abstractNumId w:val="10"/>
  </w:num>
  <w:num w:numId="11" w16cid:durableId="65472279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DBB"/>
    <w:rsid w:val="00035EEA"/>
    <w:rsid w:val="00051003"/>
    <w:rsid w:val="00070DBB"/>
    <w:rsid w:val="00076032"/>
    <w:rsid w:val="00081013"/>
    <w:rsid w:val="000B1350"/>
    <w:rsid w:val="000B66D7"/>
    <w:rsid w:val="000C6015"/>
    <w:rsid w:val="000D5C10"/>
    <w:rsid w:val="000E1C95"/>
    <w:rsid w:val="00131ED8"/>
    <w:rsid w:val="00141CDB"/>
    <w:rsid w:val="001575E7"/>
    <w:rsid w:val="00161930"/>
    <w:rsid w:val="0016709B"/>
    <w:rsid w:val="00197CE8"/>
    <w:rsid w:val="001A024B"/>
    <w:rsid w:val="001A133D"/>
    <w:rsid w:val="002056E2"/>
    <w:rsid w:val="00205D7F"/>
    <w:rsid w:val="00226F1E"/>
    <w:rsid w:val="002675F0"/>
    <w:rsid w:val="002C1F27"/>
    <w:rsid w:val="002C24CA"/>
    <w:rsid w:val="002C7100"/>
    <w:rsid w:val="002E3D64"/>
    <w:rsid w:val="00361CE2"/>
    <w:rsid w:val="003A150C"/>
    <w:rsid w:val="003A1583"/>
    <w:rsid w:val="003B2DC8"/>
    <w:rsid w:val="003B5E5C"/>
    <w:rsid w:val="003F50C9"/>
    <w:rsid w:val="003F55DD"/>
    <w:rsid w:val="00403512"/>
    <w:rsid w:val="0040653F"/>
    <w:rsid w:val="00452CD5"/>
    <w:rsid w:val="00461472"/>
    <w:rsid w:val="0048064E"/>
    <w:rsid w:val="004D0226"/>
    <w:rsid w:val="004E11FA"/>
    <w:rsid w:val="004F2C0D"/>
    <w:rsid w:val="005014E6"/>
    <w:rsid w:val="00505DC5"/>
    <w:rsid w:val="00507393"/>
    <w:rsid w:val="00523F44"/>
    <w:rsid w:val="00533E33"/>
    <w:rsid w:val="005379EB"/>
    <w:rsid w:val="00557E16"/>
    <w:rsid w:val="00564570"/>
    <w:rsid w:val="005B142A"/>
    <w:rsid w:val="005B15F3"/>
    <w:rsid w:val="005B70E0"/>
    <w:rsid w:val="005E2D91"/>
    <w:rsid w:val="006165BF"/>
    <w:rsid w:val="006565CE"/>
    <w:rsid w:val="006B677B"/>
    <w:rsid w:val="006D5EDB"/>
    <w:rsid w:val="006F6943"/>
    <w:rsid w:val="00702C18"/>
    <w:rsid w:val="00710222"/>
    <w:rsid w:val="0073381C"/>
    <w:rsid w:val="00763C8C"/>
    <w:rsid w:val="00774F21"/>
    <w:rsid w:val="0078306A"/>
    <w:rsid w:val="007872B9"/>
    <w:rsid w:val="007A63B0"/>
    <w:rsid w:val="007D6E2F"/>
    <w:rsid w:val="00807A7C"/>
    <w:rsid w:val="00827F10"/>
    <w:rsid w:val="00842B8B"/>
    <w:rsid w:val="008876A0"/>
    <w:rsid w:val="00895321"/>
    <w:rsid w:val="008A43D6"/>
    <w:rsid w:val="008A7CCE"/>
    <w:rsid w:val="008B7FC5"/>
    <w:rsid w:val="008F0FB9"/>
    <w:rsid w:val="00972579"/>
    <w:rsid w:val="0098799F"/>
    <w:rsid w:val="009A7576"/>
    <w:rsid w:val="009F06BC"/>
    <w:rsid w:val="00A14656"/>
    <w:rsid w:val="00A7361C"/>
    <w:rsid w:val="00A764E9"/>
    <w:rsid w:val="00AA2756"/>
    <w:rsid w:val="00AD3E7C"/>
    <w:rsid w:val="00AE49A8"/>
    <w:rsid w:val="00AF3761"/>
    <w:rsid w:val="00B03E0E"/>
    <w:rsid w:val="00B64FD3"/>
    <w:rsid w:val="00BA0E36"/>
    <w:rsid w:val="00BA4793"/>
    <w:rsid w:val="00BC57FF"/>
    <w:rsid w:val="00BE2219"/>
    <w:rsid w:val="00BE3577"/>
    <w:rsid w:val="00C26956"/>
    <w:rsid w:val="00C27153"/>
    <w:rsid w:val="00C362A8"/>
    <w:rsid w:val="00C91337"/>
    <w:rsid w:val="00CA230F"/>
    <w:rsid w:val="00CA70D3"/>
    <w:rsid w:val="00CB1DF7"/>
    <w:rsid w:val="00CC360A"/>
    <w:rsid w:val="00CE5197"/>
    <w:rsid w:val="00D065BD"/>
    <w:rsid w:val="00D1773B"/>
    <w:rsid w:val="00D31089"/>
    <w:rsid w:val="00D35DF9"/>
    <w:rsid w:val="00DC4B31"/>
    <w:rsid w:val="00DE4D59"/>
    <w:rsid w:val="00E26D3E"/>
    <w:rsid w:val="00E67890"/>
    <w:rsid w:val="00E74D4F"/>
    <w:rsid w:val="00E81252"/>
    <w:rsid w:val="00E86EC1"/>
    <w:rsid w:val="00E95332"/>
    <w:rsid w:val="00EA43CE"/>
    <w:rsid w:val="00EB3978"/>
    <w:rsid w:val="00EE2CFE"/>
    <w:rsid w:val="00F32CB9"/>
    <w:rsid w:val="00F42C16"/>
    <w:rsid w:val="00FA7524"/>
    <w:rsid w:val="00FC4EA6"/>
    <w:rsid w:val="00FC7320"/>
    <w:rsid w:val="00FD579D"/>
    <w:rsid w:val="0286B111"/>
    <w:rsid w:val="03CA7EE3"/>
    <w:rsid w:val="0504188B"/>
    <w:rsid w:val="052DFF9A"/>
    <w:rsid w:val="0547F0A9"/>
    <w:rsid w:val="054B9591"/>
    <w:rsid w:val="05E3298F"/>
    <w:rsid w:val="05E63A65"/>
    <w:rsid w:val="065C7FBD"/>
    <w:rsid w:val="06BF714E"/>
    <w:rsid w:val="0723C6F8"/>
    <w:rsid w:val="073E0732"/>
    <w:rsid w:val="092F84C7"/>
    <w:rsid w:val="097F9FD3"/>
    <w:rsid w:val="0A1BFE42"/>
    <w:rsid w:val="0A7C88B7"/>
    <w:rsid w:val="0AF463A8"/>
    <w:rsid w:val="0B2C10A3"/>
    <w:rsid w:val="0BA70A2B"/>
    <w:rsid w:val="0BD3B159"/>
    <w:rsid w:val="0C7884B3"/>
    <w:rsid w:val="0DB9122F"/>
    <w:rsid w:val="0E007D9D"/>
    <w:rsid w:val="0E094AC3"/>
    <w:rsid w:val="0E34FA8F"/>
    <w:rsid w:val="0E561725"/>
    <w:rsid w:val="0F688A6C"/>
    <w:rsid w:val="0F865B95"/>
    <w:rsid w:val="101317D3"/>
    <w:rsid w:val="10243D2C"/>
    <w:rsid w:val="10F5CF01"/>
    <w:rsid w:val="11BA363B"/>
    <w:rsid w:val="121D5F18"/>
    <w:rsid w:val="122C3418"/>
    <w:rsid w:val="134C787B"/>
    <w:rsid w:val="13C68544"/>
    <w:rsid w:val="159335BE"/>
    <w:rsid w:val="15C42714"/>
    <w:rsid w:val="163D5F53"/>
    <w:rsid w:val="171E081E"/>
    <w:rsid w:val="1817BF5F"/>
    <w:rsid w:val="196784B1"/>
    <w:rsid w:val="1AC5AD2E"/>
    <w:rsid w:val="1B1FCE6A"/>
    <w:rsid w:val="1B7DFA27"/>
    <w:rsid w:val="1BB15B37"/>
    <w:rsid w:val="1C3B3500"/>
    <w:rsid w:val="1CF97829"/>
    <w:rsid w:val="1DA2757D"/>
    <w:rsid w:val="1DC0E5B1"/>
    <w:rsid w:val="1DC5834D"/>
    <w:rsid w:val="1ED2D36F"/>
    <w:rsid w:val="1EF00FB8"/>
    <w:rsid w:val="1F05CB3B"/>
    <w:rsid w:val="1FA1AEAE"/>
    <w:rsid w:val="1FC92BC9"/>
    <w:rsid w:val="20204CBF"/>
    <w:rsid w:val="2072CCB5"/>
    <w:rsid w:val="21EDEAC7"/>
    <w:rsid w:val="22915BBB"/>
    <w:rsid w:val="24816940"/>
    <w:rsid w:val="259C4870"/>
    <w:rsid w:val="25CDC785"/>
    <w:rsid w:val="25F03EB6"/>
    <w:rsid w:val="27028D47"/>
    <w:rsid w:val="27481710"/>
    <w:rsid w:val="27E80693"/>
    <w:rsid w:val="284CCCD1"/>
    <w:rsid w:val="28F95FB9"/>
    <w:rsid w:val="2921609D"/>
    <w:rsid w:val="29494F35"/>
    <w:rsid w:val="299CE413"/>
    <w:rsid w:val="2A686B91"/>
    <w:rsid w:val="2B8EDE3F"/>
    <w:rsid w:val="2C466860"/>
    <w:rsid w:val="2C6C6996"/>
    <w:rsid w:val="2C916E98"/>
    <w:rsid w:val="2E140590"/>
    <w:rsid w:val="2E16F059"/>
    <w:rsid w:val="2E999EED"/>
    <w:rsid w:val="2ED59DF1"/>
    <w:rsid w:val="2EE14BD0"/>
    <w:rsid w:val="2EE15759"/>
    <w:rsid w:val="2F2445FF"/>
    <w:rsid w:val="2F8882E5"/>
    <w:rsid w:val="30090E96"/>
    <w:rsid w:val="315DBC9D"/>
    <w:rsid w:val="31AF53C1"/>
    <w:rsid w:val="32C2D17D"/>
    <w:rsid w:val="32EC6F16"/>
    <w:rsid w:val="349645C3"/>
    <w:rsid w:val="36480A94"/>
    <w:rsid w:val="3765C253"/>
    <w:rsid w:val="377AE9DD"/>
    <w:rsid w:val="37B78B14"/>
    <w:rsid w:val="382732F3"/>
    <w:rsid w:val="3844E978"/>
    <w:rsid w:val="39056B8C"/>
    <w:rsid w:val="3977DB82"/>
    <w:rsid w:val="3988F842"/>
    <w:rsid w:val="39B8E92E"/>
    <w:rsid w:val="3BDF3DCB"/>
    <w:rsid w:val="3C1DD974"/>
    <w:rsid w:val="3CDD783E"/>
    <w:rsid w:val="3D26AFCA"/>
    <w:rsid w:val="3D7B4945"/>
    <w:rsid w:val="3DD1CEC1"/>
    <w:rsid w:val="3E3A5B1B"/>
    <w:rsid w:val="3EBDA200"/>
    <w:rsid w:val="3F445014"/>
    <w:rsid w:val="3FE3FB5F"/>
    <w:rsid w:val="40BEE6D0"/>
    <w:rsid w:val="42424663"/>
    <w:rsid w:val="425C131A"/>
    <w:rsid w:val="437D4CB9"/>
    <w:rsid w:val="44189EDD"/>
    <w:rsid w:val="44C9BC21"/>
    <w:rsid w:val="452EF467"/>
    <w:rsid w:val="4540329B"/>
    <w:rsid w:val="454A7C8C"/>
    <w:rsid w:val="45F797BA"/>
    <w:rsid w:val="463AA383"/>
    <w:rsid w:val="466622C9"/>
    <w:rsid w:val="468136C0"/>
    <w:rsid w:val="4735AF01"/>
    <w:rsid w:val="48B38756"/>
    <w:rsid w:val="49255142"/>
    <w:rsid w:val="492EEAB2"/>
    <w:rsid w:val="4B303CF0"/>
    <w:rsid w:val="4BF644B2"/>
    <w:rsid w:val="4C025F38"/>
    <w:rsid w:val="4C6B88AC"/>
    <w:rsid w:val="4D5C4937"/>
    <w:rsid w:val="4D6969FD"/>
    <w:rsid w:val="4E2537C1"/>
    <w:rsid w:val="4EB7EF28"/>
    <w:rsid w:val="4F01AB27"/>
    <w:rsid w:val="4F782E05"/>
    <w:rsid w:val="4FBFB912"/>
    <w:rsid w:val="50B21FB7"/>
    <w:rsid w:val="50B753D3"/>
    <w:rsid w:val="50C7582D"/>
    <w:rsid w:val="50CF1D84"/>
    <w:rsid w:val="52AEF3B8"/>
    <w:rsid w:val="53923F33"/>
    <w:rsid w:val="5549639B"/>
    <w:rsid w:val="55F1E65E"/>
    <w:rsid w:val="56A8D8A2"/>
    <w:rsid w:val="56B71E50"/>
    <w:rsid w:val="579AF6DF"/>
    <w:rsid w:val="58D9C9C5"/>
    <w:rsid w:val="59441536"/>
    <w:rsid w:val="5A136476"/>
    <w:rsid w:val="5A8FD0E8"/>
    <w:rsid w:val="5A91A664"/>
    <w:rsid w:val="5A955CB6"/>
    <w:rsid w:val="5B945853"/>
    <w:rsid w:val="5BEE92F5"/>
    <w:rsid w:val="5CA6844F"/>
    <w:rsid w:val="5CB0692B"/>
    <w:rsid w:val="5D08E186"/>
    <w:rsid w:val="5D7AECCA"/>
    <w:rsid w:val="5DF537A7"/>
    <w:rsid w:val="5E46011F"/>
    <w:rsid w:val="5E52B33F"/>
    <w:rsid w:val="5E532F98"/>
    <w:rsid w:val="5EC9F9F6"/>
    <w:rsid w:val="608E4A78"/>
    <w:rsid w:val="60E1B7EA"/>
    <w:rsid w:val="6132B9F5"/>
    <w:rsid w:val="6171AE6C"/>
    <w:rsid w:val="62C7900C"/>
    <w:rsid w:val="62DE6F1C"/>
    <w:rsid w:val="631753E7"/>
    <w:rsid w:val="6428E015"/>
    <w:rsid w:val="64FD0AF3"/>
    <w:rsid w:val="6515B8AB"/>
    <w:rsid w:val="65C7AF7C"/>
    <w:rsid w:val="66A584DE"/>
    <w:rsid w:val="66C67928"/>
    <w:rsid w:val="676F30A0"/>
    <w:rsid w:val="67E11E58"/>
    <w:rsid w:val="68ECBC95"/>
    <w:rsid w:val="69872EC1"/>
    <w:rsid w:val="69AB2F83"/>
    <w:rsid w:val="69B4ECA3"/>
    <w:rsid w:val="6A9D59A9"/>
    <w:rsid w:val="6B144DDA"/>
    <w:rsid w:val="6B70DA17"/>
    <w:rsid w:val="6B8A6922"/>
    <w:rsid w:val="6BCA63C6"/>
    <w:rsid w:val="6C6391A7"/>
    <w:rsid w:val="6D40C79E"/>
    <w:rsid w:val="6D526379"/>
    <w:rsid w:val="6D55B101"/>
    <w:rsid w:val="6DB4920B"/>
    <w:rsid w:val="6DBF3331"/>
    <w:rsid w:val="6E6E656C"/>
    <w:rsid w:val="6EF4390A"/>
    <w:rsid w:val="6F8BADA7"/>
    <w:rsid w:val="6F923E1A"/>
    <w:rsid w:val="706B93B2"/>
    <w:rsid w:val="713A5790"/>
    <w:rsid w:val="71BD547B"/>
    <w:rsid w:val="7201586D"/>
    <w:rsid w:val="72895180"/>
    <w:rsid w:val="7496AAF1"/>
    <w:rsid w:val="753D0AE4"/>
    <w:rsid w:val="753E410B"/>
    <w:rsid w:val="76054CC8"/>
    <w:rsid w:val="760DFAF4"/>
    <w:rsid w:val="762CEB12"/>
    <w:rsid w:val="7648A052"/>
    <w:rsid w:val="7698AEC4"/>
    <w:rsid w:val="76B7D9C3"/>
    <w:rsid w:val="76F882DB"/>
    <w:rsid w:val="770D2FE9"/>
    <w:rsid w:val="77245604"/>
    <w:rsid w:val="77B97B79"/>
    <w:rsid w:val="7801A002"/>
    <w:rsid w:val="781D4726"/>
    <w:rsid w:val="78805241"/>
    <w:rsid w:val="78AE617E"/>
    <w:rsid w:val="7AA8D4EE"/>
    <w:rsid w:val="7AD3DCFC"/>
    <w:rsid w:val="7AFF7003"/>
    <w:rsid w:val="7B9DF459"/>
    <w:rsid w:val="7BA9A059"/>
    <w:rsid w:val="7C0ED09B"/>
    <w:rsid w:val="7CAB03A4"/>
    <w:rsid w:val="7D173FF6"/>
    <w:rsid w:val="7D5DBE2A"/>
    <w:rsid w:val="7DB7E663"/>
    <w:rsid w:val="7E20C451"/>
    <w:rsid w:val="7EAA4D88"/>
    <w:rsid w:val="7F625179"/>
    <w:rsid w:val="7FDE190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060C449"/>
  <w15:chartTrackingRefBased/>
  <w15:docId w15:val="{E8BBCD69-943D-462C-A8BB-FFDD441EE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0DBB"/>
    <w:pPr>
      <w:spacing w:after="0" w:line="240" w:lineRule="auto"/>
    </w:pPr>
    <w:rPr>
      <w:rFonts w:ascii="Times New Roman" w:eastAsia="Times New Roman" w:hAnsi="Times New Roman" w:cs="Times New Roman"/>
      <w:sz w:val="24"/>
      <w:szCs w:val="20"/>
      <w:lang w:eastAsia="lt-LT"/>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0DBB"/>
    <w:pPr>
      <w:ind w:left="720"/>
      <w:contextualSpacing/>
    </w:pPr>
  </w:style>
  <w:style w:type="character" w:styleId="Hyperlink">
    <w:name w:val="Hyperlink"/>
    <w:basedOn w:val="DefaultParagraphFont"/>
    <w:uiPriority w:val="99"/>
    <w:unhideWhenUsed/>
    <w:rsid w:val="00070DBB"/>
    <w:rPr>
      <w:color w:val="0563C1" w:themeColor="hyperlink"/>
      <w:u w:val="single"/>
    </w:rPr>
  </w:style>
  <w:style w:type="character" w:styleId="UnresolvedMention">
    <w:name w:val="Unresolved Mention"/>
    <w:basedOn w:val="DefaultParagraphFont"/>
    <w:uiPriority w:val="99"/>
    <w:semiHidden/>
    <w:unhideWhenUsed/>
    <w:rsid w:val="00070DBB"/>
    <w:rPr>
      <w:color w:val="605E5C"/>
      <w:shd w:val="clear" w:color="auto" w:fill="E1DFDD"/>
    </w:rPr>
  </w:style>
  <w:style w:type="character" w:customStyle="1" w:styleId="BodyTextChar">
    <w:name w:val="Body Text Char"/>
    <w:aliases w:val="Char4 Char"/>
    <w:basedOn w:val="DefaultParagraphFont"/>
    <w:link w:val="BodyText"/>
    <w:locked/>
    <w:rsid w:val="00070DBB"/>
    <w:rPr>
      <w:rFonts w:ascii="Times New Roman" w:eastAsia="Times New Roman" w:hAnsi="Times New Roman" w:cs="Times New Roman"/>
      <w:sz w:val="24"/>
      <w:szCs w:val="20"/>
    </w:rPr>
  </w:style>
  <w:style w:type="paragraph" w:styleId="BodyText">
    <w:name w:val="Body Text"/>
    <w:aliases w:val="Char4"/>
    <w:basedOn w:val="Normal"/>
    <w:link w:val="BodyTextChar"/>
    <w:uiPriority w:val="1"/>
    <w:unhideWhenUsed/>
    <w:qFormat/>
    <w:rsid w:val="00070DBB"/>
    <w:pPr>
      <w:spacing w:after="120"/>
    </w:pPr>
    <w:rPr>
      <w:lang w:eastAsia="en-US"/>
    </w:rPr>
  </w:style>
  <w:style w:type="character" w:customStyle="1" w:styleId="BodyTextChar1">
    <w:name w:val="Body Text Char1"/>
    <w:basedOn w:val="DefaultParagraphFont"/>
    <w:uiPriority w:val="99"/>
    <w:semiHidden/>
    <w:rsid w:val="00070DBB"/>
    <w:rPr>
      <w:rFonts w:ascii="Times New Roman" w:eastAsia="Times New Roman" w:hAnsi="Times New Roman" w:cs="Times New Roman"/>
      <w:sz w:val="24"/>
      <w:szCs w:val="20"/>
      <w:lang w:eastAsia="lt-LT"/>
    </w:rPr>
  </w:style>
  <w:style w:type="paragraph" w:customStyle="1" w:styleId="Body2">
    <w:name w:val="Body 2"/>
    <w:rsid w:val="00070DBB"/>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sz w:val="22"/>
      <w:bdr w:val="nil"/>
      <w:lang w:val="en-US" w:eastAsia="lt-LT"/>
    </w:rPr>
  </w:style>
  <w:style w:type="paragraph" w:customStyle="1" w:styleId="Default">
    <w:name w:val="Default"/>
    <w:rsid w:val="00141CDB"/>
    <w:pPr>
      <w:autoSpaceDE w:val="0"/>
      <w:autoSpaceDN w:val="0"/>
      <w:adjustRightInd w:val="0"/>
      <w:spacing w:after="0" w:line="240" w:lineRule="auto"/>
    </w:pPr>
    <w:rPr>
      <w:rFonts w:ascii="Arial" w:hAnsi="Arial" w:cs="Arial"/>
      <w:color w:val="000000"/>
      <w:sz w:val="24"/>
      <w:szCs w:val="24"/>
      <w:lang w:val="en-US" w:bidi="he-IL"/>
    </w:rPr>
  </w:style>
  <w:style w:type="paragraph" w:styleId="FootnoteText">
    <w:name w:val="footnote text"/>
    <w:basedOn w:val="Normal"/>
    <w:link w:val="FootnoteTextChar"/>
    <w:uiPriority w:val="99"/>
    <w:semiHidden/>
    <w:unhideWhenUsed/>
    <w:rsid w:val="00BE3577"/>
    <w:rPr>
      <w:sz w:val="20"/>
    </w:rPr>
  </w:style>
  <w:style w:type="character" w:customStyle="1" w:styleId="FootnoteTextChar">
    <w:name w:val="Footnote Text Char"/>
    <w:basedOn w:val="DefaultParagraphFont"/>
    <w:link w:val="FootnoteText"/>
    <w:uiPriority w:val="99"/>
    <w:semiHidden/>
    <w:rsid w:val="00BE3577"/>
    <w:rPr>
      <w:rFonts w:ascii="Times New Roman" w:eastAsia="Times New Roman" w:hAnsi="Times New Roman" w:cs="Times New Roman"/>
      <w:szCs w:val="20"/>
      <w:lang w:eastAsia="lt-LT"/>
    </w:rPr>
  </w:style>
  <w:style w:type="character" w:styleId="FootnoteReference">
    <w:name w:val="footnote reference"/>
    <w:basedOn w:val="DefaultParagraphFont"/>
    <w:uiPriority w:val="99"/>
    <w:semiHidden/>
    <w:unhideWhenUsed/>
    <w:rsid w:val="00BE3577"/>
    <w:rPr>
      <w:vertAlign w:val="superscript"/>
    </w:rPr>
  </w:style>
  <w:style w:type="paragraph" w:styleId="Header">
    <w:name w:val="header"/>
    <w:basedOn w:val="Normal"/>
    <w:link w:val="HeaderChar"/>
    <w:uiPriority w:val="99"/>
    <w:semiHidden/>
    <w:unhideWhenUsed/>
    <w:rsid w:val="00827F10"/>
    <w:pPr>
      <w:tabs>
        <w:tab w:val="center" w:pos="4986"/>
        <w:tab w:val="right" w:pos="9972"/>
      </w:tabs>
    </w:pPr>
  </w:style>
  <w:style w:type="character" w:customStyle="1" w:styleId="HeaderChar">
    <w:name w:val="Header Char"/>
    <w:basedOn w:val="DefaultParagraphFont"/>
    <w:link w:val="Header"/>
    <w:uiPriority w:val="99"/>
    <w:semiHidden/>
    <w:rsid w:val="00827F10"/>
    <w:rPr>
      <w:rFonts w:ascii="Times New Roman" w:eastAsia="Times New Roman" w:hAnsi="Times New Roman" w:cs="Times New Roman"/>
      <w:sz w:val="24"/>
      <w:szCs w:val="20"/>
      <w:lang w:eastAsia="lt-LT"/>
    </w:rPr>
  </w:style>
  <w:style w:type="paragraph" w:styleId="Footer">
    <w:name w:val="footer"/>
    <w:basedOn w:val="Normal"/>
    <w:link w:val="FooterChar"/>
    <w:uiPriority w:val="99"/>
    <w:semiHidden/>
    <w:unhideWhenUsed/>
    <w:rsid w:val="00827F10"/>
    <w:pPr>
      <w:tabs>
        <w:tab w:val="center" w:pos="4986"/>
        <w:tab w:val="right" w:pos="9972"/>
      </w:tabs>
    </w:pPr>
  </w:style>
  <w:style w:type="character" w:customStyle="1" w:styleId="FooterChar">
    <w:name w:val="Footer Char"/>
    <w:basedOn w:val="DefaultParagraphFont"/>
    <w:link w:val="Footer"/>
    <w:uiPriority w:val="99"/>
    <w:semiHidden/>
    <w:rsid w:val="00827F10"/>
    <w:rPr>
      <w:rFonts w:ascii="Times New Roman" w:eastAsia="Times New Roman" w:hAnsi="Times New Roman" w:cs="Times New Roman"/>
      <w:sz w:val="24"/>
      <w:szCs w:val="20"/>
      <w:lang w:eastAsia="lt-LT"/>
    </w:rPr>
  </w:style>
  <w:style w:type="table" w:styleId="TableGrid">
    <w:name w:val="Table Grid"/>
    <w:basedOn w:val="TableNormal"/>
    <w:uiPriority w:val="39"/>
    <w:rsid w:val="007338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Pr>
      <w:rFonts w:asciiTheme="majorHAnsi" w:eastAsiaTheme="majorEastAsia" w:hAnsiTheme="majorHAnsi" w:cstheme="majorBidi"/>
      <w:color w:val="1F3763" w:themeColor="accent1" w:themeShade="7F"/>
      <w:sz w:val="24"/>
      <w:szCs w:val="24"/>
    </w:rPr>
  </w:style>
  <w:style w:type="paragraph" w:styleId="Revision">
    <w:name w:val="Revision"/>
    <w:hidden/>
    <w:uiPriority w:val="99"/>
    <w:semiHidden/>
    <w:rsid w:val="00226F1E"/>
    <w:pPr>
      <w:spacing w:after="0" w:line="240" w:lineRule="auto"/>
    </w:pPr>
    <w:rPr>
      <w:rFonts w:ascii="Times New Roman" w:eastAsia="Times New Roman" w:hAnsi="Times New Roman" w:cs="Times New Roman"/>
      <w:sz w:val="24"/>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489606">
      <w:bodyDiv w:val="1"/>
      <w:marLeft w:val="0"/>
      <w:marRight w:val="0"/>
      <w:marTop w:val="0"/>
      <w:marBottom w:val="0"/>
      <w:divBdr>
        <w:top w:val="none" w:sz="0" w:space="0" w:color="auto"/>
        <w:left w:val="none" w:sz="0" w:space="0" w:color="auto"/>
        <w:bottom w:val="none" w:sz="0" w:space="0" w:color="auto"/>
        <w:right w:val="none" w:sz="0" w:space="0" w:color="auto"/>
      </w:divBdr>
    </w:div>
    <w:div w:id="602884157">
      <w:bodyDiv w:val="1"/>
      <w:marLeft w:val="0"/>
      <w:marRight w:val="0"/>
      <w:marTop w:val="0"/>
      <w:marBottom w:val="0"/>
      <w:divBdr>
        <w:top w:val="none" w:sz="0" w:space="0" w:color="auto"/>
        <w:left w:val="none" w:sz="0" w:space="0" w:color="auto"/>
        <w:bottom w:val="none" w:sz="0" w:space="0" w:color="auto"/>
        <w:right w:val="none" w:sz="0" w:space="0" w:color="auto"/>
      </w:divBdr>
    </w:div>
    <w:div w:id="650408404">
      <w:bodyDiv w:val="1"/>
      <w:marLeft w:val="0"/>
      <w:marRight w:val="0"/>
      <w:marTop w:val="0"/>
      <w:marBottom w:val="0"/>
      <w:divBdr>
        <w:top w:val="none" w:sz="0" w:space="0" w:color="auto"/>
        <w:left w:val="none" w:sz="0" w:space="0" w:color="auto"/>
        <w:bottom w:val="none" w:sz="0" w:space="0" w:color="auto"/>
        <w:right w:val="none" w:sz="0" w:space="0" w:color="auto"/>
      </w:divBdr>
    </w:div>
    <w:div w:id="824931084">
      <w:bodyDiv w:val="1"/>
      <w:marLeft w:val="0"/>
      <w:marRight w:val="0"/>
      <w:marTop w:val="0"/>
      <w:marBottom w:val="0"/>
      <w:divBdr>
        <w:top w:val="none" w:sz="0" w:space="0" w:color="auto"/>
        <w:left w:val="none" w:sz="0" w:space="0" w:color="auto"/>
        <w:bottom w:val="none" w:sz="0" w:space="0" w:color="auto"/>
        <w:right w:val="none" w:sz="0" w:space="0" w:color="auto"/>
      </w:divBdr>
      <w:divsChild>
        <w:div w:id="535971032">
          <w:marLeft w:val="0"/>
          <w:marRight w:val="0"/>
          <w:marTop w:val="0"/>
          <w:marBottom w:val="0"/>
          <w:divBdr>
            <w:top w:val="none" w:sz="0" w:space="0" w:color="auto"/>
            <w:left w:val="none" w:sz="0" w:space="0" w:color="auto"/>
            <w:bottom w:val="none" w:sz="0" w:space="0" w:color="auto"/>
            <w:right w:val="none" w:sz="0" w:space="0" w:color="auto"/>
          </w:divBdr>
        </w:div>
      </w:divsChild>
    </w:div>
    <w:div w:id="914508902">
      <w:bodyDiv w:val="1"/>
      <w:marLeft w:val="0"/>
      <w:marRight w:val="0"/>
      <w:marTop w:val="0"/>
      <w:marBottom w:val="0"/>
      <w:divBdr>
        <w:top w:val="none" w:sz="0" w:space="0" w:color="auto"/>
        <w:left w:val="none" w:sz="0" w:space="0" w:color="auto"/>
        <w:bottom w:val="none" w:sz="0" w:space="0" w:color="auto"/>
        <w:right w:val="none" w:sz="0" w:space="0" w:color="auto"/>
      </w:divBdr>
    </w:div>
    <w:div w:id="1398746058">
      <w:bodyDiv w:val="1"/>
      <w:marLeft w:val="0"/>
      <w:marRight w:val="0"/>
      <w:marTop w:val="0"/>
      <w:marBottom w:val="0"/>
      <w:divBdr>
        <w:top w:val="none" w:sz="0" w:space="0" w:color="auto"/>
        <w:left w:val="none" w:sz="0" w:space="0" w:color="auto"/>
        <w:bottom w:val="none" w:sz="0" w:space="0" w:color="auto"/>
        <w:right w:val="none" w:sz="0" w:space="0" w:color="auto"/>
      </w:divBdr>
    </w:div>
    <w:div w:id="1452095266">
      <w:bodyDiv w:val="1"/>
      <w:marLeft w:val="0"/>
      <w:marRight w:val="0"/>
      <w:marTop w:val="0"/>
      <w:marBottom w:val="0"/>
      <w:divBdr>
        <w:top w:val="none" w:sz="0" w:space="0" w:color="auto"/>
        <w:left w:val="none" w:sz="0" w:space="0" w:color="auto"/>
        <w:bottom w:val="none" w:sz="0" w:space="0" w:color="auto"/>
        <w:right w:val="none" w:sz="0" w:space="0" w:color="auto"/>
      </w:divBdr>
    </w:div>
    <w:div w:id="1521238928">
      <w:bodyDiv w:val="1"/>
      <w:marLeft w:val="0"/>
      <w:marRight w:val="0"/>
      <w:marTop w:val="0"/>
      <w:marBottom w:val="0"/>
      <w:divBdr>
        <w:top w:val="none" w:sz="0" w:space="0" w:color="auto"/>
        <w:left w:val="none" w:sz="0" w:space="0" w:color="auto"/>
        <w:bottom w:val="none" w:sz="0" w:space="0" w:color="auto"/>
        <w:right w:val="none" w:sz="0" w:space="0" w:color="auto"/>
      </w:divBdr>
    </w:div>
    <w:div w:id="2121990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7A9FB4986A2DF6419B13804FF34544C3" ma:contentTypeVersion="3" ma:contentTypeDescription="Kurkite naują dokumentą." ma:contentTypeScope="" ma:versionID="fe55888e92bae244f4d36cf523a6a7e3">
  <xsd:schema xmlns:xsd="http://www.w3.org/2001/XMLSchema" xmlns:xs="http://www.w3.org/2001/XMLSchema" xmlns:p="http://schemas.microsoft.com/office/2006/metadata/properties" xmlns:ns2="12e5cc7c-db12-4f3f-a010-9da89ee4d6b7" targetNamespace="http://schemas.microsoft.com/office/2006/metadata/properties" ma:root="true" ma:fieldsID="eee207e2af25a4d290ad3095459d0da8" ns2:_="">
    <xsd:import namespace="12e5cc7c-db12-4f3f-a010-9da89ee4d6b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e5cc7c-db12-4f3f-a010-9da89ee4d6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909EAE-7BC9-4C68-B27E-3F236E91F0B8}">
  <ds:schemaRefs>
    <ds:schemaRef ds:uri="http://schemas.openxmlformats.org/officeDocument/2006/bibliography"/>
  </ds:schemaRefs>
</ds:datastoreItem>
</file>

<file path=customXml/itemProps2.xml><?xml version="1.0" encoding="utf-8"?>
<ds:datastoreItem xmlns:ds="http://schemas.openxmlformats.org/officeDocument/2006/customXml" ds:itemID="{369CC1B5-19D3-49B7-B086-DFF41728AD0B}">
  <ds:schemaRefs>
    <ds:schemaRef ds:uri="http://schemas.microsoft.com/sharepoint/v3/contenttype/forms"/>
  </ds:schemaRefs>
</ds:datastoreItem>
</file>

<file path=customXml/itemProps3.xml><?xml version="1.0" encoding="utf-8"?>
<ds:datastoreItem xmlns:ds="http://schemas.openxmlformats.org/officeDocument/2006/customXml" ds:itemID="{DB948EC0-C6AD-4A9F-A6BF-830C95E473F1}">
  <ds:schemaRefs>
    <ds:schemaRef ds:uri="http://schemas.microsoft.com/office/2006/documentManagement/types"/>
    <ds:schemaRef ds:uri="http://www.w3.org/XML/1998/namespace"/>
    <ds:schemaRef ds:uri="http://purl.org/dc/elements/1.1/"/>
    <ds:schemaRef ds:uri="http://purl.org/dc/dcmitype/"/>
    <ds:schemaRef ds:uri="http://schemas.microsoft.com/office/infopath/2007/PartnerControls"/>
    <ds:schemaRef ds:uri="http://schemas.openxmlformats.org/package/2006/metadata/core-properties"/>
    <ds:schemaRef ds:uri="06305702-d8cb-4e08-8e33-a08479b0995d"/>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5A484A74-D2F7-404B-9D6F-51996F8F11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e5cc7c-db12-4f3f-a010-9da89ee4d6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6f32780-7999-413e-bf6a-675bbeb34e60}" enabled="1" method="Standard" siteId="{d8967df1-82fd-49ae-8495-bfd989f50b97}" contentBits="0" removed="0"/>
</clbl:labelList>
</file>

<file path=docProps/app.xml><?xml version="1.0" encoding="utf-8"?>
<Properties xmlns="http://schemas.openxmlformats.org/officeDocument/2006/extended-properties" xmlns:vt="http://schemas.openxmlformats.org/officeDocument/2006/docPropsVTypes">
  <Template>Normal</Template>
  <TotalTime>120</TotalTime>
  <Pages>9</Pages>
  <Words>13907</Words>
  <Characters>7927</Characters>
  <Application>Microsoft Office Word</Application>
  <DocSecurity>0</DocSecurity>
  <Lines>66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Artūras Kudarauskas</dc:creator>
  <cp:keywords/>
  <dc:description/>
  <cp:lastModifiedBy>Agnė Pavilonė</cp:lastModifiedBy>
  <cp:revision>36</cp:revision>
  <cp:lastPrinted>2023-06-30T02:12:00Z</cp:lastPrinted>
  <dcterms:created xsi:type="dcterms:W3CDTF">2024-08-13T10:03:00Z</dcterms:created>
  <dcterms:modified xsi:type="dcterms:W3CDTF">2025-06-20T08:31:00Z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0x0101007A9FB4986A2DF6419B13804FF34544C3</vt:lpwstr>
  </property>
</Properties>
</file>