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3366B4" w14:paraId="1A8A251C" w14:textId="77777777">
        <w:trPr>
          <w:trHeight w:val="340"/>
        </w:trPr>
        <w:tc>
          <w:tcPr>
            <w:tcW w:w="10060" w:type="dxa"/>
            <w:tcBorders>
              <w:top w:val="nil"/>
              <w:left w:val="nil"/>
              <w:bottom w:val="nil"/>
              <w:right w:val="nil"/>
            </w:tcBorders>
            <w:shd w:val="clear" w:color="auto" w:fill="auto"/>
            <w:vAlign w:val="center"/>
          </w:tcPr>
          <w:p w14:paraId="3B06E10E" w14:textId="5D20F3CC" w:rsidR="003366B4" w:rsidRDefault="00FC36D9">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1</w:t>
            </w:r>
            <w:r w:rsidR="002847A4">
              <w:rPr>
                <w:rFonts w:ascii="Times New Roman" w:eastAsia="Times New Roman" w:hAnsi="Times New Roman" w:cs="Times New Roman"/>
                <w:b/>
                <w:bCs/>
                <w:sz w:val="28"/>
                <w:szCs w:val="28"/>
                <w:lang w:eastAsia="lt-LT"/>
              </w:rPr>
              <w:t xml:space="preserve"> pried</w:t>
            </w:r>
            <w:r>
              <w:rPr>
                <w:rFonts w:ascii="Times New Roman" w:eastAsia="Times New Roman" w:hAnsi="Times New Roman" w:cs="Times New Roman"/>
                <w:b/>
                <w:bCs/>
                <w:sz w:val="28"/>
                <w:szCs w:val="28"/>
                <w:lang w:eastAsia="lt-LT"/>
              </w:rPr>
              <w:t>o 1.3.</w:t>
            </w:r>
            <w:r w:rsidR="002847A4">
              <w:rPr>
                <w:rFonts w:ascii="Times New Roman" w:eastAsia="Times New Roman" w:hAnsi="Times New Roman" w:cs="Times New Roman"/>
                <w:b/>
                <w:bCs/>
                <w:sz w:val="28"/>
                <w:szCs w:val="28"/>
                <w:lang w:eastAsia="lt-LT"/>
              </w:rPr>
              <w:t xml:space="preserve"> Techninė specifikacija</w:t>
            </w:r>
          </w:p>
          <w:p w14:paraId="11F49C12" w14:textId="77777777" w:rsidR="003366B4" w:rsidRDefault="002847A4">
            <w:pPr>
              <w:jc w:val="right"/>
              <w:rPr>
                <w:rFonts w:ascii="Times New Roman" w:hAnsi="Times New Roman" w:cs="Times New Roman"/>
                <w:b/>
                <w:bCs/>
                <w:sz w:val="28"/>
                <w:szCs w:val="28"/>
              </w:rPr>
            </w:pPr>
            <w:r>
              <w:rPr>
                <w:rFonts w:ascii="Times New Roman" w:hAnsi="Times New Roman" w:cs="Times New Roman"/>
                <w:b/>
                <w:bCs/>
                <w:sz w:val="28"/>
                <w:szCs w:val="28"/>
              </w:rPr>
              <w:t>3 Pirkimo dalis: Ekranas</w:t>
            </w:r>
          </w:p>
          <w:p w14:paraId="70142B0A" w14:textId="77777777" w:rsidR="003366B4" w:rsidRDefault="003366B4">
            <w:pPr>
              <w:spacing w:after="0" w:line="240" w:lineRule="auto"/>
              <w:jc w:val="right"/>
              <w:rPr>
                <w:rFonts w:ascii="Times New Roman" w:eastAsia="Times New Roman" w:hAnsi="Times New Roman" w:cs="Times New Roman"/>
                <w:b/>
                <w:bCs/>
                <w:sz w:val="28"/>
                <w:szCs w:val="28"/>
                <w:lang w:eastAsia="lt-LT"/>
              </w:rPr>
            </w:pPr>
          </w:p>
          <w:p w14:paraId="50C409EE" w14:textId="77777777" w:rsidR="003366B4" w:rsidRDefault="003366B4">
            <w:pPr>
              <w:spacing w:after="0" w:line="240" w:lineRule="auto"/>
              <w:jc w:val="both"/>
              <w:rPr>
                <w:rFonts w:ascii="Times New Roman" w:eastAsia="Times New Roman" w:hAnsi="Times New Roman" w:cs="Times New Roman"/>
                <w:b/>
                <w:bCs/>
                <w:sz w:val="28"/>
                <w:szCs w:val="28"/>
                <w:lang w:eastAsia="lt-LT"/>
              </w:rPr>
            </w:pPr>
          </w:p>
          <w:p w14:paraId="0BBDCD80" w14:textId="77777777" w:rsidR="003366B4" w:rsidRDefault="003366B4">
            <w:pPr>
              <w:spacing w:after="0" w:line="240" w:lineRule="auto"/>
              <w:jc w:val="both"/>
              <w:rPr>
                <w:rFonts w:ascii="Times New Roman" w:eastAsia="Times New Roman" w:hAnsi="Times New Roman" w:cs="Times New Roman"/>
                <w:b/>
                <w:bCs/>
                <w:sz w:val="28"/>
                <w:szCs w:val="28"/>
                <w:lang w:eastAsia="lt-LT"/>
              </w:rPr>
            </w:pPr>
          </w:p>
          <w:p w14:paraId="0B815968" w14:textId="77777777" w:rsidR="003366B4" w:rsidRDefault="002847A4">
            <w:pPr>
              <w:pStyle w:val="ListParagraph"/>
              <w:numPr>
                <w:ilvl w:val="0"/>
                <w:numId w:val="1"/>
              </w:num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C4F9D34" w14:textId="77777777" w:rsidR="003366B4" w:rsidRDefault="002847A4">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154EDD76" w14:textId="77777777" w:rsidR="003366B4" w:rsidRDefault="002847A4">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b/>
                <w:bCs/>
              </w:rPr>
              <w:t xml:space="preserve"> Aplinkos apsaugos reikalavimai:</w:t>
            </w:r>
          </w:p>
          <w:p w14:paraId="0D92BE3A" w14:textId="77777777" w:rsidR="003366B4" w:rsidRDefault="002847A4">
            <w:pPr>
              <w:spacing w:after="0" w:line="240" w:lineRule="auto"/>
              <w:jc w:val="both"/>
              <w:rPr>
                <w:rFonts w:ascii="Times New Roman" w:eastAsia="Calibri Light" w:hAnsi="Times New Roman" w:cs="Times New Roman"/>
                <w:bCs/>
                <w:lang w:eastAsia="lt-LT"/>
              </w:rPr>
            </w:pPr>
            <w:r>
              <w:rPr>
                <w:rFonts w:ascii="Times New Roman" w:hAnsi="Times New Roman" w:cs="Times New Roman"/>
              </w:rPr>
              <w:t xml:space="preserve">1)  </w:t>
            </w:r>
            <w:r>
              <w:rPr>
                <w:rFonts w:ascii="Times New Roman" w:hAnsi="Times New Roman" w:cs="Times New Roman"/>
                <w:color w:val="000000"/>
                <w:kern w:val="0"/>
                <w:shd w:val="clear" w:color="auto" w:fill="FFFFFF"/>
                <w14:ligatures w14:val="none"/>
              </w:rPr>
              <w:t xml:space="preserve">Aplinkosauginiai kriterijai Prekėms nustatomi vadovaujantis </w:t>
            </w:r>
            <w:r>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Pr>
                <w:rFonts w:ascii="Times New Roman" w:hAnsi="Times New Roman" w:cs="Times New Roman"/>
                <w:color w:val="000000"/>
                <w:kern w:val="0"/>
                <w:lang w:val="en-US"/>
                <w14:ligatures w14:val="none"/>
              </w:rPr>
              <w:t>D1-508</w:t>
            </w:r>
            <w:r>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Pr>
                <w:rFonts w:ascii="Times New Roman" w:hAnsi="Times New Roman" w:cs="Times New Roman"/>
                <w:kern w:val="0"/>
                <w14:ligatures w14:val="none"/>
              </w:rPr>
              <w:t xml:space="preserve">“ aktualios redakcijos </w:t>
            </w:r>
            <w:r>
              <w:rPr>
                <w:rFonts w:ascii="Times New Roman" w:eastAsiaTheme="majorEastAsia" w:hAnsi="Times New Roman" w:cs="Times New Roman"/>
                <w:bCs/>
              </w:rPr>
              <w:t xml:space="preserve"> VI skyriaus  6 dalimi.</w:t>
            </w:r>
            <w:r>
              <w:rPr>
                <w:rFonts w:ascii="Times New Roman" w:eastAsia="Calibri Light" w:hAnsi="Times New Roman" w:cs="Times New Roman"/>
                <w:bCs/>
                <w:lang w:eastAsia="lt-LT"/>
              </w:rPr>
              <w:t xml:space="preserve"> </w:t>
            </w:r>
          </w:p>
          <w:p w14:paraId="5198800D" w14:textId="77777777" w:rsidR="003366B4" w:rsidRDefault="002847A4">
            <w:pPr>
              <w:pStyle w:val="ListParagraph"/>
              <w:tabs>
                <w:tab w:val="left" w:pos="1276"/>
              </w:tabs>
              <w:spacing w:after="0" w:line="240" w:lineRule="auto"/>
              <w:ind w:left="0"/>
              <w:jc w:val="both"/>
              <w:rPr>
                <w:rFonts w:ascii="Times New Roman" w:hAnsi="Times New Roman" w:cs="Times New Roman"/>
                <w:color w:val="000000"/>
              </w:rPr>
            </w:pPr>
            <w:r>
              <w:rPr>
                <w:rFonts w:ascii="Times New Roman" w:hAnsi="Times New Roman" w:cs="Times New Roman"/>
                <w:color w:val="000000"/>
              </w:rPr>
              <w:t xml:space="preserve">2) </w:t>
            </w:r>
            <w:bookmarkStart w:id="0" w:name="_Hlk180147780"/>
            <w:r>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Pr>
                <w:rFonts w:ascii="Times New Roman" w:hAnsi="Times New Roman" w:cs="Times New Roman"/>
                <w:color w:val="000000"/>
              </w:rPr>
              <w:t>.</w:t>
            </w:r>
          </w:p>
          <w:p w14:paraId="6275496A" w14:textId="77777777" w:rsidR="003366B4" w:rsidRDefault="002847A4">
            <w:pPr>
              <w:spacing w:after="0" w:line="240" w:lineRule="auto"/>
              <w:rPr>
                <w:rFonts w:ascii="Times New Roman" w:hAnsi="Times New Roman" w:cs="Times New Roman"/>
                <w:b/>
                <w:bCs/>
              </w:rPr>
            </w:pPr>
            <w:r>
              <w:rPr>
                <w:rFonts w:ascii="Times New Roman" w:hAnsi="Times New Roman" w:cs="Times New Roman"/>
                <w:b/>
                <w:bCs/>
              </w:rPr>
              <w:t>Lentelė „Aplinkos apsaugos reikalavimai“:</w:t>
            </w:r>
          </w:p>
          <w:p w14:paraId="488E476A" w14:textId="77777777" w:rsidR="003366B4" w:rsidRDefault="002847A4">
            <w:pPr>
              <w:spacing w:after="0" w:line="240" w:lineRule="auto"/>
              <w:rPr>
                <w:rFonts w:ascii="Times New Roman" w:hAnsi="Times New Roman" w:cs="Times New Roman"/>
                <w:b/>
                <w:bCs/>
              </w:rPr>
            </w:pPr>
            <w:r>
              <w:rPr>
                <w:rFonts w:ascii="Times New Roman" w:eastAsia="Calibri" w:hAnsi="Times New Roman" w:cs="Times New Roman"/>
              </w:rPr>
              <w:t>Tiekėjas turi atitikti šioje lentelėje nustatytus reikalavimus</w:t>
            </w:r>
            <w:r>
              <w:rPr>
                <w:rFonts w:ascii="Times New Roman" w:hAnsi="Times New Roman" w:cs="Times New Roman"/>
              </w:rPr>
              <w:t xml:space="preserve"> dėl energijos vartojimo</w:t>
            </w:r>
            <w:r>
              <w:rPr>
                <w:rFonts w:ascii="Times New Roman" w:eastAsia="Calibri" w:hAnsi="Times New Roman" w:cs="Times New Roman"/>
                <w:i/>
                <w:iCs/>
                <w:color w:val="FF0000"/>
              </w:rPr>
              <w:t xml:space="preserve"> </w:t>
            </w:r>
            <w:r>
              <w:rPr>
                <w:rFonts w:ascii="Times New Roman" w:eastAsia="Calibri" w:hAnsi="Times New Roman" w:cs="Times New Roman"/>
                <w:iCs/>
              </w:rPr>
              <w:t>ir aplinkos apsaugos</w:t>
            </w:r>
            <w:r>
              <w:rPr>
                <w:rFonts w:ascii="Times New Roman" w:hAnsi="Times New Roman" w:cs="Times New Roman"/>
              </w:rPr>
              <w:t xml:space="preserve"> </w:t>
            </w:r>
            <w:r>
              <w:rPr>
                <w:rFonts w:ascii="Times New Roman" w:eastAsia="Calibri" w:hAnsi="Times New Roman" w:cs="Times New Roman"/>
                <w:iCs/>
              </w:rPr>
              <w:t>kriterijų:</w:t>
            </w:r>
          </w:p>
          <w:p w14:paraId="15569A88" w14:textId="77777777" w:rsidR="003366B4" w:rsidRDefault="003366B4">
            <w:pPr>
              <w:pStyle w:val="ListParagraph"/>
              <w:tabs>
                <w:tab w:val="left" w:pos="1276"/>
              </w:tabs>
              <w:spacing w:after="0" w:line="240" w:lineRule="auto"/>
              <w:ind w:left="0"/>
              <w:jc w:val="both"/>
              <w:rPr>
                <w:rFonts w:ascii="Times New Roman" w:hAnsi="Times New Roman" w:cs="Times New Roman"/>
                <w:color w:val="000000"/>
              </w:rPr>
            </w:pPr>
          </w:p>
          <w:tbl>
            <w:tblPr>
              <w:tblStyle w:val="TableGrid"/>
              <w:tblW w:w="0" w:type="auto"/>
              <w:tblLayout w:type="fixed"/>
              <w:tblLook w:val="04A0" w:firstRow="1" w:lastRow="0" w:firstColumn="1" w:lastColumn="0" w:noHBand="0" w:noVBand="1"/>
            </w:tblPr>
            <w:tblGrid>
              <w:gridCol w:w="562"/>
              <w:gridCol w:w="8"/>
              <w:gridCol w:w="5850"/>
              <w:gridCol w:w="3208"/>
            </w:tblGrid>
            <w:tr w:rsidR="003366B4" w14:paraId="6CE4FBD2" w14:textId="77777777">
              <w:tc>
                <w:tcPr>
                  <w:tcW w:w="570" w:type="dxa"/>
                  <w:gridSpan w:val="2"/>
                </w:tcPr>
                <w:p w14:paraId="367311E6" w14:textId="77777777" w:rsidR="003366B4" w:rsidRDefault="002847A4" w:rsidP="00FC36D9">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0" w:type="dxa"/>
                </w:tcPr>
                <w:p w14:paraId="77826AC2" w14:textId="77777777" w:rsidR="003366B4" w:rsidRDefault="002847A4" w:rsidP="00FC36D9">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08" w:type="dxa"/>
                </w:tcPr>
                <w:p w14:paraId="61469C3F" w14:textId="77777777" w:rsidR="003366B4" w:rsidRDefault="002847A4" w:rsidP="00FC36D9">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3366B4" w14:paraId="613BB7A0" w14:textId="77777777">
              <w:tc>
                <w:tcPr>
                  <w:tcW w:w="9628" w:type="dxa"/>
                  <w:gridSpan w:val="4"/>
                </w:tcPr>
                <w:p w14:paraId="279D8673" w14:textId="77777777" w:rsidR="003366B4" w:rsidRDefault="002847A4" w:rsidP="00FC36D9">
                  <w:pPr>
                    <w:framePr w:hSpace="180" w:wrap="around" w:vAnchor="page" w:hAnchor="margin" w:y="1006"/>
                    <w:spacing w:after="0" w:line="240"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Ekranas</w:t>
                  </w:r>
                </w:p>
              </w:tc>
            </w:tr>
            <w:tr w:rsidR="003366B4" w14:paraId="41E82E4D" w14:textId="77777777">
              <w:tc>
                <w:tcPr>
                  <w:tcW w:w="562" w:type="dxa"/>
                </w:tcPr>
                <w:p w14:paraId="4B006AC3" w14:textId="77777777" w:rsidR="003366B4" w:rsidRDefault="002847A4" w:rsidP="00FC36D9">
                  <w:pPr>
                    <w:framePr w:hSpace="180" w:wrap="around" w:vAnchor="page" w:hAnchor="margin" w:y="1006"/>
                    <w:spacing w:after="0" w:line="240" w:lineRule="auto"/>
                    <w:rPr>
                      <w:b/>
                      <w:bCs/>
                      <w:kern w:val="0"/>
                      <w14:ligatures w14:val="none"/>
                    </w:rPr>
                  </w:pPr>
                  <w:r>
                    <w:rPr>
                      <w:b/>
                      <w:bCs/>
                      <w:kern w:val="0"/>
                      <w14:ligatures w14:val="none"/>
                    </w:rPr>
                    <w:t>1.</w:t>
                  </w:r>
                </w:p>
              </w:tc>
              <w:tc>
                <w:tcPr>
                  <w:tcW w:w="5858" w:type="dxa"/>
                  <w:gridSpan w:val="2"/>
                  <w:shd w:val="clear" w:color="auto" w:fill="auto"/>
                </w:tcPr>
                <w:p w14:paraId="6A0C9B6C" w14:textId="77777777" w:rsidR="003366B4" w:rsidRDefault="002847A4" w:rsidP="00FC36D9">
                  <w:pPr>
                    <w:framePr w:hSpace="180" w:wrap="around" w:vAnchor="page" w:hAnchor="margin" w:y="1006"/>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w:t>
                  </w:r>
                  <w:r>
                    <w:rPr>
                      <w:rFonts w:ascii="Times New Roman" w:eastAsia="Calibri" w:hAnsi="Times New Roman" w:cs="Times New Roman"/>
                      <w:kern w:val="0"/>
                      <w14:ligatures w14:val="none"/>
                    </w:rPr>
                    <w:lastRenderedPageBreak/>
                    <w:t>projektavimo nustatytus efektyvaus energijos vartojimo kriterijus.(pateikti  įrodančių  dokumentų kopijas arba nuorodas į dokumentus</w:t>
                  </w:r>
                </w:p>
                <w:p w14:paraId="00B35D3F" w14:textId="77777777" w:rsidR="003366B4" w:rsidRDefault="002847A4" w:rsidP="00FC36D9">
                  <w:pPr>
                    <w:framePr w:hSpace="180" w:wrap="around" w:vAnchor="page" w:hAnchor="margin" w:y="1006"/>
                    <w:spacing w:after="0" w:line="240" w:lineRule="auto"/>
                    <w:rPr>
                      <w:kern w:val="0"/>
                      <w14:ligatures w14:val="none"/>
                    </w:rPr>
                  </w:pPr>
                  <w:r>
                    <w:rPr>
                      <w:rFonts w:ascii="Times New Roman" w:hAnsi="Times New Roman" w:cs="Times New Roman"/>
                      <w:kern w:val="0"/>
                      <w14:ligatures w14:val="none"/>
                    </w:rPr>
                    <w:t>ir Tarybos direktyvą 2011/65/EU dėl pavojingų medžiagų naudojimo elektros ir elektroninėje įrangoje apribojimo</w:t>
                  </w:r>
                </w:p>
              </w:tc>
              <w:tc>
                <w:tcPr>
                  <w:tcW w:w="3208" w:type="dxa"/>
                  <w:shd w:val="clear" w:color="auto" w:fill="auto"/>
                </w:tcPr>
                <w:p w14:paraId="7C0CF9A6" w14:textId="77777777" w:rsidR="003366B4" w:rsidRDefault="002847A4" w:rsidP="00FC36D9">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lastRenderedPageBreak/>
                    <w:t>T</w:t>
                  </w:r>
                  <w:r>
                    <w:rPr>
                      <w:rFonts w:ascii="Times New Roman" w:hAnsi="Times New Roman" w:cs="Times New Roman"/>
                      <w:b/>
                      <w:bCs/>
                      <w:kern w:val="0"/>
                      <w14:ligatures w14:val="none"/>
                    </w:rPr>
                    <w:t xml:space="preserve">uri būti pateikti šie dokumentai: </w:t>
                  </w:r>
                </w:p>
                <w:p w14:paraId="18D24540" w14:textId="77777777" w:rsidR="003366B4" w:rsidRDefault="002847A4" w:rsidP="00FC36D9">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55B77580" w14:textId="77777777" w:rsidR="003366B4" w:rsidRDefault="002847A4" w:rsidP="00FC36D9">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7A2393C0" w14:textId="77777777" w:rsidR="003366B4" w:rsidRDefault="002847A4" w:rsidP="00FC36D9">
                  <w:pPr>
                    <w:framePr w:hSpace="180" w:wrap="around" w:vAnchor="page" w:hAnchor="margin" w:y="1006"/>
                    <w:spacing w:after="0" w:line="240" w:lineRule="auto"/>
                    <w:rPr>
                      <w:rFonts w:ascii="Times New Roman" w:eastAsia="Calibri" w:hAnsi="Times New Roman" w:cs="Times New Roman"/>
                      <w:kern w:val="0"/>
                      <w:sz w:val="22"/>
                      <w:szCs w:val="22"/>
                      <w14:ligatures w14:val="none"/>
                    </w:rPr>
                  </w:pPr>
                  <w:r>
                    <w:rPr>
                      <w:rFonts w:ascii="Times New Roman" w:hAnsi="Times New Roman" w:cs="Times New Roman"/>
                      <w:kern w:val="0"/>
                      <w14:ligatures w14:val="none"/>
                    </w:rPr>
                    <w:t xml:space="preserve"> c) kiti lygiaverčiai įrodymai.</w:t>
                  </w:r>
                </w:p>
              </w:tc>
            </w:tr>
            <w:tr w:rsidR="003366B4" w14:paraId="2B4DFCFB" w14:textId="77777777">
              <w:tc>
                <w:tcPr>
                  <w:tcW w:w="562" w:type="dxa"/>
                </w:tcPr>
                <w:p w14:paraId="03451C10" w14:textId="77777777" w:rsidR="003366B4" w:rsidRDefault="002847A4" w:rsidP="00FC36D9">
                  <w:pPr>
                    <w:framePr w:hSpace="180" w:wrap="around" w:vAnchor="page" w:hAnchor="margin" w:y="1006"/>
                    <w:spacing w:after="0" w:line="240" w:lineRule="auto"/>
                    <w:rPr>
                      <w:b/>
                      <w:bCs/>
                      <w:kern w:val="0"/>
                      <w14:ligatures w14:val="none"/>
                    </w:rPr>
                  </w:pPr>
                  <w:r>
                    <w:rPr>
                      <w:b/>
                      <w:bCs/>
                      <w:kern w:val="0"/>
                      <w14:ligatures w14:val="none"/>
                    </w:rPr>
                    <w:t>2.</w:t>
                  </w:r>
                </w:p>
              </w:tc>
              <w:tc>
                <w:tcPr>
                  <w:tcW w:w="5858" w:type="dxa"/>
                  <w:gridSpan w:val="2"/>
                  <w:shd w:val="clear" w:color="auto" w:fill="auto"/>
                </w:tcPr>
                <w:p w14:paraId="0D524E5C" w14:textId="77777777" w:rsidR="003366B4" w:rsidRDefault="002847A4" w:rsidP="00FC36D9">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2994C9E9" w14:textId="77777777" w:rsidR="003366B4" w:rsidRDefault="002847A4" w:rsidP="00FC36D9">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4C12B9BD" w14:textId="77777777" w:rsidR="003366B4" w:rsidRDefault="003366B4" w:rsidP="00FC36D9">
                  <w:pPr>
                    <w:framePr w:hSpace="180" w:wrap="around" w:vAnchor="page" w:hAnchor="margin" w:y="1006"/>
                    <w:spacing w:after="0" w:line="240" w:lineRule="auto"/>
                    <w:rPr>
                      <w:kern w:val="0"/>
                      <w14:ligatures w14:val="none"/>
                    </w:rPr>
                  </w:pPr>
                </w:p>
              </w:tc>
              <w:tc>
                <w:tcPr>
                  <w:tcW w:w="3208" w:type="dxa"/>
                  <w:shd w:val="clear" w:color="auto" w:fill="auto"/>
                </w:tcPr>
                <w:p w14:paraId="056C6AE8" w14:textId="77777777" w:rsidR="003366B4" w:rsidRDefault="002847A4" w:rsidP="00FC36D9">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69EEF396" w14:textId="77777777" w:rsidR="003366B4" w:rsidRDefault="003366B4">
            <w:pPr>
              <w:spacing w:after="0" w:line="240" w:lineRule="auto"/>
              <w:jc w:val="both"/>
              <w:rPr>
                <w:rFonts w:ascii="Times New Roman" w:eastAsia="Times New Roman" w:hAnsi="Times New Roman" w:cs="Times New Roman"/>
                <w:b/>
                <w:bCs/>
                <w:sz w:val="28"/>
                <w:szCs w:val="28"/>
                <w:lang w:eastAsia="lt-LT"/>
              </w:rPr>
            </w:pPr>
          </w:p>
          <w:p w14:paraId="0F03A97F" w14:textId="77777777" w:rsidR="003366B4" w:rsidRDefault="003366B4">
            <w:pPr>
              <w:spacing w:after="0" w:line="240" w:lineRule="auto"/>
              <w:jc w:val="both"/>
              <w:rPr>
                <w:rFonts w:ascii="Times New Roman" w:eastAsia="Times New Roman" w:hAnsi="Times New Roman" w:cs="Times New Roman"/>
                <w:b/>
                <w:bCs/>
                <w:color w:val="000000"/>
                <w:sz w:val="28"/>
                <w:szCs w:val="28"/>
                <w:lang w:eastAsia="lt-LT"/>
              </w:rPr>
            </w:pPr>
          </w:p>
        </w:tc>
      </w:tr>
    </w:tbl>
    <w:p w14:paraId="40BE70F3" w14:textId="77777777" w:rsidR="003366B4" w:rsidRDefault="003366B4">
      <w:pPr>
        <w:rPr>
          <w:rFonts w:ascii="Times New Roman" w:hAnsi="Times New Roman" w:cs="Times New Roman"/>
          <w:b/>
          <w:bCs/>
          <w:sz w:val="28"/>
          <w:szCs w:val="28"/>
        </w:rPr>
      </w:pPr>
    </w:p>
    <w:p w14:paraId="64FFE295" w14:textId="77777777" w:rsidR="003366B4" w:rsidRDefault="003366B4">
      <w:pPr>
        <w:rPr>
          <w:rFonts w:ascii="Times New Roman" w:hAnsi="Times New Roman" w:cs="Times New Roman"/>
          <w:b/>
          <w:bCs/>
          <w:sz w:val="28"/>
          <w:szCs w:val="28"/>
        </w:rPr>
      </w:pPr>
    </w:p>
    <w:p w14:paraId="47A452D5" w14:textId="77777777" w:rsidR="003366B4" w:rsidRDefault="003366B4">
      <w:pPr>
        <w:rPr>
          <w:rFonts w:ascii="Times New Roman" w:hAnsi="Times New Roman" w:cs="Times New Roman"/>
          <w:b/>
          <w:bCs/>
          <w:sz w:val="28"/>
          <w:szCs w:val="28"/>
        </w:rPr>
      </w:pPr>
    </w:p>
    <w:p w14:paraId="060A9404" w14:textId="77777777" w:rsidR="003366B4" w:rsidRDefault="003366B4">
      <w:pPr>
        <w:rPr>
          <w:rFonts w:ascii="Times New Roman" w:hAnsi="Times New Roman" w:cs="Times New Roman"/>
          <w:b/>
          <w:bCs/>
          <w:sz w:val="28"/>
          <w:szCs w:val="28"/>
        </w:rPr>
      </w:pPr>
    </w:p>
    <w:p w14:paraId="5EDD20BD" w14:textId="77777777" w:rsidR="003366B4" w:rsidRDefault="002847A4">
      <w:pPr>
        <w:rPr>
          <w:rFonts w:ascii="Times New Roman" w:hAnsi="Times New Roman" w:cs="Times New Roman"/>
          <w:b/>
          <w:bCs/>
          <w:sz w:val="28"/>
          <w:szCs w:val="28"/>
        </w:rPr>
      </w:pPr>
      <w:r>
        <w:rPr>
          <w:rFonts w:ascii="Times New Roman" w:hAnsi="Times New Roman" w:cs="Times New Roman"/>
          <w:b/>
          <w:bCs/>
          <w:sz w:val="28"/>
          <w:szCs w:val="28"/>
        </w:rPr>
        <w:t>3 Pirkimo dalis: Ekranas</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366B4" w14:paraId="24808E9A" w14:textId="77777777">
        <w:trPr>
          <w:trHeight w:val="340"/>
        </w:trPr>
        <w:tc>
          <w:tcPr>
            <w:tcW w:w="764" w:type="dxa"/>
            <w:shd w:val="clear" w:color="auto" w:fill="DEDAC4"/>
            <w:vAlign w:val="center"/>
          </w:tcPr>
          <w:p w14:paraId="643DD0D8"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3281D4AC"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39C89B08"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5FF065DC"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366B4" w14:paraId="0949ECA5" w14:textId="77777777">
        <w:trPr>
          <w:trHeight w:val="340"/>
        </w:trPr>
        <w:tc>
          <w:tcPr>
            <w:tcW w:w="764" w:type="dxa"/>
            <w:shd w:val="clear" w:color="auto" w:fill="auto"/>
            <w:vAlign w:val="center"/>
          </w:tcPr>
          <w:p w14:paraId="72EB7013"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D3789B4"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Produkto tipas</w:t>
            </w:r>
          </w:p>
        </w:tc>
        <w:tc>
          <w:tcPr>
            <w:tcW w:w="4487" w:type="dxa"/>
            <w:shd w:val="clear" w:color="auto" w:fill="auto"/>
            <w:vAlign w:val="center"/>
          </w:tcPr>
          <w:p w14:paraId="66AAA185"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blogiau kaip: QLED</w:t>
            </w:r>
          </w:p>
        </w:tc>
        <w:tc>
          <w:tcPr>
            <w:tcW w:w="2911" w:type="dxa"/>
            <w:shd w:val="clear" w:color="auto" w:fill="auto"/>
            <w:vAlign w:val="center"/>
          </w:tcPr>
          <w:p w14:paraId="3B035112"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4549EB79" w14:textId="77777777">
        <w:trPr>
          <w:trHeight w:val="340"/>
        </w:trPr>
        <w:tc>
          <w:tcPr>
            <w:tcW w:w="764" w:type="dxa"/>
            <w:shd w:val="clear" w:color="auto" w:fill="auto"/>
            <w:vAlign w:val="center"/>
          </w:tcPr>
          <w:p w14:paraId="740825E5"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A2A59E"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klasė</w:t>
            </w:r>
          </w:p>
        </w:tc>
        <w:tc>
          <w:tcPr>
            <w:tcW w:w="4487" w:type="dxa"/>
            <w:shd w:val="clear" w:color="auto" w:fill="auto"/>
            <w:vAlign w:val="center"/>
          </w:tcPr>
          <w:p w14:paraId="35B8A01A"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eastAsia="Times New Roman" w:hAnsi="Times New Roman"/>
                <w:sz w:val="20"/>
                <w:szCs w:val="20"/>
                <w:lang w:val="en-US" w:eastAsia="lt-LT"/>
              </w:rPr>
              <w:t>E</w:t>
            </w:r>
            <w:r>
              <w:rPr>
                <w:rFonts w:ascii="Times New Roman" w:hAnsi="Times New Roman" w:cs="Times New Roman"/>
                <w:sz w:val="20"/>
                <w:szCs w:val="20"/>
              </w:rPr>
              <w:t xml:space="preserve"> klasė</w:t>
            </w:r>
          </w:p>
        </w:tc>
        <w:tc>
          <w:tcPr>
            <w:tcW w:w="2911" w:type="dxa"/>
            <w:shd w:val="clear" w:color="auto" w:fill="auto"/>
            <w:vAlign w:val="center"/>
          </w:tcPr>
          <w:p w14:paraId="06E2C91C"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0A54F8A9" w14:textId="77777777">
        <w:trPr>
          <w:trHeight w:val="340"/>
        </w:trPr>
        <w:tc>
          <w:tcPr>
            <w:tcW w:w="764" w:type="dxa"/>
            <w:shd w:val="clear" w:color="auto" w:fill="auto"/>
            <w:vAlign w:val="center"/>
          </w:tcPr>
          <w:p w14:paraId="3FDB528E"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BFAE401"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Elektros sąnaudos veikimo režimu</w:t>
            </w:r>
          </w:p>
        </w:tc>
        <w:tc>
          <w:tcPr>
            <w:tcW w:w="4487" w:type="dxa"/>
            <w:shd w:val="clear" w:color="auto" w:fill="auto"/>
            <w:vAlign w:val="center"/>
          </w:tcPr>
          <w:p w14:paraId="4309F313"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daugiau kaip: </w:t>
            </w:r>
            <w:r>
              <w:rPr>
                <w:rFonts w:ascii="Times New Roman" w:hAnsi="Times New Roman" w:cs="Times New Roman"/>
                <w:sz w:val="20"/>
                <w:szCs w:val="20"/>
              </w:rPr>
              <w:t>135 W</w:t>
            </w:r>
          </w:p>
        </w:tc>
        <w:tc>
          <w:tcPr>
            <w:tcW w:w="2911" w:type="dxa"/>
            <w:shd w:val="clear" w:color="auto" w:fill="auto"/>
            <w:vAlign w:val="center"/>
          </w:tcPr>
          <w:p w14:paraId="6FBEEB4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2418A53B" w14:textId="77777777">
        <w:trPr>
          <w:trHeight w:val="340"/>
        </w:trPr>
        <w:tc>
          <w:tcPr>
            <w:tcW w:w="764" w:type="dxa"/>
            <w:shd w:val="clear" w:color="auto" w:fill="auto"/>
            <w:vAlign w:val="center"/>
          </w:tcPr>
          <w:p w14:paraId="78D4143A"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B18F50B"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Įstrižainės klasė</w:t>
            </w:r>
          </w:p>
        </w:tc>
        <w:tc>
          <w:tcPr>
            <w:tcW w:w="4487" w:type="dxa"/>
            <w:shd w:val="clear" w:color="auto" w:fill="auto"/>
            <w:vAlign w:val="center"/>
          </w:tcPr>
          <w:p w14:paraId="077DB07E"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eastAsia="Times New Roman" w:hAnsi="Times New Roman"/>
                <w:sz w:val="20"/>
                <w:szCs w:val="20"/>
                <w:lang w:val="en-US" w:eastAsia="lt-LT"/>
              </w:rPr>
              <w:t>65</w:t>
            </w:r>
            <w:r>
              <w:rPr>
                <w:rFonts w:ascii="Times New Roman" w:hAnsi="Times New Roman" w:cs="Times New Roman"/>
                <w:sz w:val="20"/>
                <w:szCs w:val="20"/>
              </w:rPr>
              <w:t>"</w:t>
            </w:r>
          </w:p>
        </w:tc>
        <w:tc>
          <w:tcPr>
            <w:tcW w:w="2911" w:type="dxa"/>
            <w:shd w:val="clear" w:color="auto" w:fill="auto"/>
            <w:vAlign w:val="center"/>
          </w:tcPr>
          <w:p w14:paraId="7BE8913C"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6645D2F2" w14:textId="77777777">
        <w:trPr>
          <w:trHeight w:val="340"/>
        </w:trPr>
        <w:tc>
          <w:tcPr>
            <w:tcW w:w="764" w:type="dxa"/>
            <w:shd w:val="clear" w:color="auto" w:fill="auto"/>
            <w:vAlign w:val="center"/>
          </w:tcPr>
          <w:p w14:paraId="60879AC7"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D49B609"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sąsaja</w:t>
            </w:r>
          </w:p>
        </w:tc>
        <w:tc>
          <w:tcPr>
            <w:tcW w:w="4487" w:type="dxa"/>
            <w:shd w:val="clear" w:color="auto" w:fill="auto"/>
            <w:vAlign w:val="center"/>
          </w:tcPr>
          <w:p w14:paraId="1FD946C5"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HDMI</w:t>
            </w:r>
          </w:p>
        </w:tc>
        <w:tc>
          <w:tcPr>
            <w:tcW w:w="2911" w:type="dxa"/>
            <w:shd w:val="clear" w:color="auto" w:fill="auto"/>
            <w:vAlign w:val="center"/>
          </w:tcPr>
          <w:p w14:paraId="6D7CC2B0"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20F918B0" w14:textId="77777777">
        <w:trPr>
          <w:trHeight w:val="340"/>
        </w:trPr>
        <w:tc>
          <w:tcPr>
            <w:tcW w:w="764" w:type="dxa"/>
            <w:shd w:val="clear" w:color="auto" w:fill="auto"/>
            <w:vAlign w:val="center"/>
          </w:tcPr>
          <w:p w14:paraId="1FBA753E"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F309182"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HDMI prievadų kiekis</w:t>
            </w:r>
          </w:p>
        </w:tc>
        <w:tc>
          <w:tcPr>
            <w:tcW w:w="4487" w:type="dxa"/>
            <w:shd w:val="clear" w:color="auto" w:fill="auto"/>
            <w:vAlign w:val="center"/>
          </w:tcPr>
          <w:p w14:paraId="154AF4BB"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3 prievadai</w:t>
            </w:r>
          </w:p>
        </w:tc>
        <w:tc>
          <w:tcPr>
            <w:tcW w:w="2911" w:type="dxa"/>
            <w:shd w:val="clear" w:color="auto" w:fill="auto"/>
            <w:vAlign w:val="center"/>
          </w:tcPr>
          <w:p w14:paraId="779B6EDD" w14:textId="77777777" w:rsidR="003366B4" w:rsidRDefault="003366B4">
            <w:pPr>
              <w:spacing w:after="0" w:line="240" w:lineRule="auto"/>
              <w:rPr>
                <w:rFonts w:ascii="Times New Roman" w:eastAsia="Times New Roman" w:hAnsi="Times New Roman" w:cs="Times New Roman"/>
                <w:sz w:val="20"/>
                <w:szCs w:val="20"/>
                <w:lang w:eastAsia="ar-SA"/>
              </w:rPr>
            </w:pPr>
          </w:p>
        </w:tc>
      </w:tr>
      <w:tr w:rsidR="003366B4" w14:paraId="55F812CD" w14:textId="77777777">
        <w:trPr>
          <w:trHeight w:val="340"/>
        </w:trPr>
        <w:tc>
          <w:tcPr>
            <w:tcW w:w="764" w:type="dxa"/>
            <w:vAlign w:val="center"/>
          </w:tcPr>
          <w:p w14:paraId="0F34C9EB"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vAlign w:val="center"/>
          </w:tcPr>
          <w:p w14:paraId="7732F5C3"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pagerinimai</w:t>
            </w:r>
          </w:p>
        </w:tc>
        <w:tc>
          <w:tcPr>
            <w:tcW w:w="4487" w:type="dxa"/>
            <w:shd w:val="clear" w:color="auto" w:fill="auto"/>
            <w:vAlign w:val="center"/>
          </w:tcPr>
          <w:p w14:paraId="790B3F49"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ne blogiau kaip: Quantum HDR/HDR 10+ , 4K AI Upscaling , Motion Xcelerator 120Hz</w:t>
            </w:r>
          </w:p>
        </w:tc>
        <w:tc>
          <w:tcPr>
            <w:tcW w:w="2911" w:type="dxa"/>
            <w:vAlign w:val="center"/>
          </w:tcPr>
          <w:p w14:paraId="3F87C0B1" w14:textId="77777777" w:rsidR="003366B4" w:rsidRDefault="003366B4">
            <w:pPr>
              <w:spacing w:after="0" w:line="240" w:lineRule="auto"/>
              <w:contextualSpacing/>
              <w:rPr>
                <w:rFonts w:ascii="Times New Roman" w:eastAsia="Times New Roman" w:hAnsi="Times New Roman" w:cs="Times New Roman"/>
                <w:sz w:val="20"/>
                <w:szCs w:val="20"/>
                <w:lang w:eastAsia="ar-SA"/>
              </w:rPr>
            </w:pPr>
          </w:p>
        </w:tc>
      </w:tr>
      <w:tr w:rsidR="003366B4" w14:paraId="5109A0FC" w14:textId="77777777">
        <w:trPr>
          <w:trHeight w:val="340"/>
        </w:trPr>
        <w:tc>
          <w:tcPr>
            <w:tcW w:w="764" w:type="dxa"/>
            <w:vAlign w:val="center"/>
          </w:tcPr>
          <w:p w14:paraId="28F62DC6"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0746BC9B"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 be stovo</w:t>
            </w:r>
          </w:p>
        </w:tc>
        <w:tc>
          <w:tcPr>
            <w:tcW w:w="4487" w:type="dxa"/>
            <w:shd w:val="clear" w:color="auto" w:fill="auto"/>
            <w:vAlign w:val="center"/>
          </w:tcPr>
          <w:p w14:paraId="3FBE3836"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daugiau kaip: </w:t>
            </w:r>
            <w:r>
              <w:rPr>
                <w:rFonts w:ascii="Times New Roman" w:hAnsi="Times New Roman" w:cs="Times New Roman"/>
                <w:sz w:val="20"/>
                <w:szCs w:val="20"/>
              </w:rPr>
              <w:t>22kg</w:t>
            </w:r>
          </w:p>
        </w:tc>
        <w:tc>
          <w:tcPr>
            <w:tcW w:w="2911" w:type="dxa"/>
            <w:vAlign w:val="center"/>
          </w:tcPr>
          <w:p w14:paraId="7F7F486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12239671" w14:textId="77777777">
        <w:trPr>
          <w:trHeight w:val="433"/>
        </w:trPr>
        <w:tc>
          <w:tcPr>
            <w:tcW w:w="764" w:type="dxa"/>
            <w:vAlign w:val="center"/>
          </w:tcPr>
          <w:p w14:paraId="7971D044"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1E4FB00D"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Rezoliucija</w:t>
            </w:r>
          </w:p>
        </w:tc>
        <w:tc>
          <w:tcPr>
            <w:tcW w:w="4487" w:type="dxa"/>
            <w:shd w:val="clear" w:color="auto" w:fill="auto"/>
            <w:vAlign w:val="center"/>
          </w:tcPr>
          <w:p w14:paraId="72219333"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ir ne blogiau kaip: </w:t>
            </w:r>
            <w:r>
              <w:rPr>
                <w:rFonts w:ascii="Times New Roman" w:hAnsi="Times New Roman" w:cs="Times New Roman"/>
                <w:sz w:val="20"/>
                <w:szCs w:val="20"/>
              </w:rPr>
              <w:t>3840 x 2160</w:t>
            </w:r>
          </w:p>
        </w:tc>
        <w:tc>
          <w:tcPr>
            <w:tcW w:w="2911" w:type="dxa"/>
            <w:vAlign w:val="center"/>
          </w:tcPr>
          <w:p w14:paraId="0D18F960"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1D2B275F" w14:textId="77777777">
        <w:trPr>
          <w:trHeight w:val="340"/>
        </w:trPr>
        <w:tc>
          <w:tcPr>
            <w:tcW w:w="764" w:type="dxa"/>
            <w:vAlign w:val="center"/>
          </w:tcPr>
          <w:p w14:paraId="7A4F3A39"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4C79A05B"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formatas</w:t>
            </w:r>
          </w:p>
        </w:tc>
        <w:tc>
          <w:tcPr>
            <w:tcW w:w="4487" w:type="dxa"/>
            <w:shd w:val="clear" w:color="auto" w:fill="auto"/>
            <w:vAlign w:val="center"/>
          </w:tcPr>
          <w:p w14:paraId="7109A271"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4K UHD</w:t>
            </w:r>
          </w:p>
        </w:tc>
        <w:tc>
          <w:tcPr>
            <w:tcW w:w="2911" w:type="dxa"/>
            <w:vAlign w:val="center"/>
          </w:tcPr>
          <w:p w14:paraId="19A9ABA9"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12AD0296" w14:textId="77777777">
        <w:trPr>
          <w:trHeight w:val="340"/>
        </w:trPr>
        <w:tc>
          <w:tcPr>
            <w:tcW w:w="764" w:type="dxa"/>
            <w:vAlign w:val="center"/>
          </w:tcPr>
          <w:p w14:paraId="1B922B19"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18C31C7"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LCD apšvietimo technologija</w:t>
            </w:r>
          </w:p>
        </w:tc>
        <w:tc>
          <w:tcPr>
            <w:tcW w:w="4487" w:type="dxa"/>
            <w:shd w:val="clear" w:color="auto" w:fill="auto"/>
            <w:vAlign w:val="center"/>
          </w:tcPr>
          <w:p w14:paraId="0A5E7504"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  QLED apšvietimas</w:t>
            </w:r>
          </w:p>
        </w:tc>
        <w:tc>
          <w:tcPr>
            <w:tcW w:w="2911" w:type="dxa"/>
            <w:vAlign w:val="center"/>
          </w:tcPr>
          <w:p w14:paraId="64BBC622"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3DB3746D" w14:textId="77777777">
        <w:trPr>
          <w:trHeight w:val="340"/>
        </w:trPr>
        <w:tc>
          <w:tcPr>
            <w:tcW w:w="764" w:type="dxa"/>
            <w:vAlign w:val="center"/>
          </w:tcPr>
          <w:p w14:paraId="1248EE1D"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12E39C2A"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Žiūrėjimo kampas</w:t>
            </w:r>
          </w:p>
        </w:tc>
        <w:tc>
          <w:tcPr>
            <w:tcW w:w="4487" w:type="dxa"/>
            <w:shd w:val="clear" w:color="auto" w:fill="auto"/>
            <w:vAlign w:val="center"/>
          </w:tcPr>
          <w:p w14:paraId="40EAB1A1"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 laipsnių (horizontalus ir vertikalus)</w:t>
            </w:r>
          </w:p>
        </w:tc>
        <w:tc>
          <w:tcPr>
            <w:tcW w:w="2911" w:type="dxa"/>
            <w:vAlign w:val="center"/>
          </w:tcPr>
          <w:p w14:paraId="06AD3413"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0B8257C2" w14:textId="77777777">
        <w:trPr>
          <w:trHeight w:val="340"/>
        </w:trPr>
        <w:tc>
          <w:tcPr>
            <w:tcW w:w="764" w:type="dxa"/>
            <w:vAlign w:val="center"/>
          </w:tcPr>
          <w:p w14:paraId="288643EE"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41E8BC21"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Montavimo sąsaja</w:t>
            </w:r>
          </w:p>
        </w:tc>
        <w:tc>
          <w:tcPr>
            <w:tcW w:w="4487" w:type="dxa"/>
            <w:shd w:val="clear" w:color="auto" w:fill="auto"/>
            <w:vAlign w:val="center"/>
          </w:tcPr>
          <w:p w14:paraId="18862072"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400 x 300 mm (VESA suderinamumas)</w:t>
            </w:r>
          </w:p>
        </w:tc>
        <w:tc>
          <w:tcPr>
            <w:tcW w:w="2911" w:type="dxa"/>
            <w:vAlign w:val="center"/>
          </w:tcPr>
          <w:p w14:paraId="6C9782D0"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4553BF4" w14:textId="77777777">
        <w:trPr>
          <w:trHeight w:val="340"/>
        </w:trPr>
        <w:tc>
          <w:tcPr>
            <w:tcW w:w="764" w:type="dxa"/>
            <w:vAlign w:val="center"/>
          </w:tcPr>
          <w:p w14:paraId="226D5A10"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824CE36"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USB prievadas</w:t>
            </w:r>
          </w:p>
        </w:tc>
        <w:tc>
          <w:tcPr>
            <w:tcW w:w="4487" w:type="dxa"/>
            <w:shd w:val="clear" w:color="auto" w:fill="auto"/>
            <w:vAlign w:val="center"/>
          </w:tcPr>
          <w:p w14:paraId="1707C284"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Taip</w:t>
            </w:r>
          </w:p>
        </w:tc>
        <w:tc>
          <w:tcPr>
            <w:tcW w:w="2911" w:type="dxa"/>
            <w:vAlign w:val="center"/>
          </w:tcPr>
          <w:p w14:paraId="1FBDEDB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41961015" w14:textId="77777777">
        <w:trPr>
          <w:trHeight w:val="340"/>
        </w:trPr>
        <w:tc>
          <w:tcPr>
            <w:tcW w:w="764" w:type="dxa"/>
            <w:vAlign w:val="center"/>
          </w:tcPr>
          <w:p w14:paraId="64E9DB80"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7A96B1DC"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USB prievadų kiekis</w:t>
            </w:r>
          </w:p>
        </w:tc>
        <w:tc>
          <w:tcPr>
            <w:tcW w:w="4487" w:type="dxa"/>
            <w:shd w:val="clear" w:color="auto" w:fill="auto"/>
            <w:vAlign w:val="center"/>
          </w:tcPr>
          <w:p w14:paraId="02324880"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2</w:t>
            </w:r>
          </w:p>
        </w:tc>
        <w:tc>
          <w:tcPr>
            <w:tcW w:w="2911" w:type="dxa"/>
            <w:vAlign w:val="center"/>
          </w:tcPr>
          <w:p w14:paraId="5E14087A"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600864DA" w14:textId="77777777">
        <w:trPr>
          <w:trHeight w:val="340"/>
        </w:trPr>
        <w:tc>
          <w:tcPr>
            <w:tcW w:w="764" w:type="dxa"/>
            <w:vAlign w:val="center"/>
          </w:tcPr>
          <w:p w14:paraId="34F3C55B"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06E6F1BA"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Ryšiai</w:t>
            </w:r>
          </w:p>
        </w:tc>
        <w:tc>
          <w:tcPr>
            <w:tcW w:w="4487" w:type="dxa"/>
            <w:shd w:val="clear" w:color="auto" w:fill="auto"/>
            <w:vAlign w:val="center"/>
          </w:tcPr>
          <w:p w14:paraId="64D432DA"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Wi-Fi 5 , LAN, Bluetooth 5.2</w:t>
            </w:r>
          </w:p>
        </w:tc>
        <w:tc>
          <w:tcPr>
            <w:tcW w:w="2911" w:type="dxa"/>
            <w:vAlign w:val="center"/>
          </w:tcPr>
          <w:p w14:paraId="3BAFBD92"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1F9BEDF6" w14:textId="77777777">
        <w:trPr>
          <w:trHeight w:val="340"/>
        </w:trPr>
        <w:tc>
          <w:tcPr>
            <w:tcW w:w="764" w:type="dxa"/>
            <w:vAlign w:val="center"/>
          </w:tcPr>
          <w:p w14:paraId="3D11DEBB"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719A761C"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Jungtys</w:t>
            </w:r>
          </w:p>
        </w:tc>
        <w:tc>
          <w:tcPr>
            <w:tcW w:w="4487" w:type="dxa"/>
            <w:shd w:val="clear" w:color="auto" w:fill="auto"/>
            <w:vAlign w:val="center"/>
          </w:tcPr>
          <w:p w14:paraId="4DB209A1"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3 x HDMI įvestis, 2 x USB, garso išvestis</w:t>
            </w:r>
          </w:p>
        </w:tc>
        <w:tc>
          <w:tcPr>
            <w:tcW w:w="2911" w:type="dxa"/>
            <w:vAlign w:val="center"/>
          </w:tcPr>
          <w:p w14:paraId="42285043"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42B1A5B" w14:textId="77777777">
        <w:trPr>
          <w:trHeight w:val="340"/>
        </w:trPr>
        <w:tc>
          <w:tcPr>
            <w:tcW w:w="764" w:type="dxa"/>
            <w:vAlign w:val="center"/>
          </w:tcPr>
          <w:p w14:paraId="3C04C51E"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1E0AE612"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Atitikties standartai</w:t>
            </w:r>
          </w:p>
        </w:tc>
        <w:tc>
          <w:tcPr>
            <w:tcW w:w="4487" w:type="dxa"/>
            <w:shd w:val="clear" w:color="auto" w:fill="auto"/>
            <w:vAlign w:val="center"/>
          </w:tcPr>
          <w:p w14:paraId="2328EFAC"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Energy Star , RoHS</w:t>
            </w:r>
          </w:p>
        </w:tc>
        <w:tc>
          <w:tcPr>
            <w:tcW w:w="2911" w:type="dxa"/>
            <w:vAlign w:val="center"/>
          </w:tcPr>
          <w:p w14:paraId="747F569F"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0AAD1791" w14:textId="77777777">
        <w:trPr>
          <w:trHeight w:val="340"/>
        </w:trPr>
        <w:tc>
          <w:tcPr>
            <w:tcW w:w="764" w:type="dxa"/>
            <w:vAlign w:val="center"/>
          </w:tcPr>
          <w:p w14:paraId="149EF3FF"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3103366F"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Įtampos reikalavimai</w:t>
            </w:r>
          </w:p>
        </w:tc>
        <w:tc>
          <w:tcPr>
            <w:tcW w:w="4487" w:type="dxa"/>
            <w:shd w:val="clear" w:color="auto" w:fill="auto"/>
            <w:vAlign w:val="center"/>
          </w:tcPr>
          <w:p w14:paraId="634C0E06"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AC 100-240 V (50/60 Hz)</w:t>
            </w:r>
          </w:p>
        </w:tc>
        <w:tc>
          <w:tcPr>
            <w:tcW w:w="2911" w:type="dxa"/>
            <w:vAlign w:val="center"/>
          </w:tcPr>
          <w:p w14:paraId="77C2E3E1"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0F6B2AD" w14:textId="77777777">
        <w:trPr>
          <w:trHeight w:val="340"/>
        </w:trPr>
        <w:tc>
          <w:tcPr>
            <w:tcW w:w="764" w:type="dxa"/>
            <w:vAlign w:val="center"/>
          </w:tcPr>
          <w:p w14:paraId="2D6DCDA6"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68772714"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Budėjimo režimo elektros sąnaudos</w:t>
            </w:r>
          </w:p>
        </w:tc>
        <w:tc>
          <w:tcPr>
            <w:tcW w:w="4487" w:type="dxa"/>
            <w:shd w:val="clear" w:color="auto" w:fill="auto"/>
            <w:vAlign w:val="center"/>
          </w:tcPr>
          <w:p w14:paraId="3E2318EF"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0.5 W</w:t>
            </w:r>
          </w:p>
        </w:tc>
        <w:tc>
          <w:tcPr>
            <w:tcW w:w="2911" w:type="dxa"/>
            <w:vAlign w:val="center"/>
          </w:tcPr>
          <w:p w14:paraId="63806D8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2499A13F" w14:textId="77777777">
        <w:trPr>
          <w:trHeight w:val="340"/>
        </w:trPr>
        <w:tc>
          <w:tcPr>
            <w:tcW w:w="764" w:type="dxa"/>
            <w:tcBorders>
              <w:top w:val="single" w:sz="12" w:space="0" w:color="auto"/>
              <w:bottom w:val="single" w:sz="8" w:space="0" w:color="auto"/>
            </w:tcBorders>
            <w:vAlign w:val="center"/>
          </w:tcPr>
          <w:p w14:paraId="23318080"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tcBorders>
              <w:top w:val="single" w:sz="12" w:space="0" w:color="auto"/>
              <w:bottom w:val="single" w:sz="8" w:space="0" w:color="auto"/>
            </w:tcBorders>
            <w:vAlign w:val="center"/>
          </w:tcPr>
          <w:p w14:paraId="3D1B6652"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Pakabinimui skirto laikiklio parametrai</w:t>
            </w:r>
          </w:p>
        </w:tc>
        <w:tc>
          <w:tcPr>
            <w:tcW w:w="4487" w:type="dxa"/>
            <w:tcBorders>
              <w:top w:val="single" w:sz="12" w:space="0" w:color="auto"/>
              <w:bottom w:val="single" w:sz="8" w:space="0" w:color="auto"/>
            </w:tcBorders>
            <w:shd w:val="clear" w:color="auto" w:fill="auto"/>
            <w:vAlign w:val="center"/>
          </w:tcPr>
          <w:p w14:paraId="5F313DFD"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Pridedamas ekranui pakabinti skirtas laikiklis</w:t>
            </w:r>
          </w:p>
        </w:tc>
        <w:tc>
          <w:tcPr>
            <w:tcW w:w="2911" w:type="dxa"/>
            <w:tcBorders>
              <w:top w:val="single" w:sz="12" w:space="0" w:color="auto"/>
              <w:bottom w:val="single" w:sz="8" w:space="0" w:color="auto"/>
            </w:tcBorders>
            <w:vAlign w:val="center"/>
          </w:tcPr>
          <w:p w14:paraId="7F2409D1"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F2611A9" w14:textId="77777777">
        <w:trPr>
          <w:trHeight w:val="340"/>
        </w:trPr>
        <w:tc>
          <w:tcPr>
            <w:tcW w:w="764" w:type="dxa"/>
            <w:tcBorders>
              <w:top w:val="single" w:sz="8" w:space="0" w:color="auto"/>
            </w:tcBorders>
            <w:vAlign w:val="center"/>
          </w:tcPr>
          <w:p w14:paraId="34CBAD5A"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tcBorders>
              <w:top w:val="single" w:sz="8" w:space="0" w:color="auto"/>
            </w:tcBorders>
            <w:vAlign w:val="center"/>
          </w:tcPr>
          <w:p w14:paraId="04C629C5"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Medžiaga</w:t>
            </w:r>
          </w:p>
        </w:tc>
        <w:tc>
          <w:tcPr>
            <w:tcW w:w="4487" w:type="dxa"/>
            <w:tcBorders>
              <w:top w:val="single" w:sz="8" w:space="0" w:color="auto"/>
            </w:tcBorders>
            <w:shd w:val="clear" w:color="auto" w:fill="auto"/>
            <w:vAlign w:val="center"/>
          </w:tcPr>
          <w:p w14:paraId="413D1666"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Metalas</w:t>
            </w:r>
          </w:p>
        </w:tc>
        <w:tc>
          <w:tcPr>
            <w:tcW w:w="2911" w:type="dxa"/>
            <w:tcBorders>
              <w:top w:val="single" w:sz="8" w:space="0" w:color="auto"/>
            </w:tcBorders>
            <w:vAlign w:val="center"/>
          </w:tcPr>
          <w:p w14:paraId="5F912ADC"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707A2327" w14:textId="77777777">
        <w:trPr>
          <w:trHeight w:val="340"/>
        </w:trPr>
        <w:tc>
          <w:tcPr>
            <w:tcW w:w="764" w:type="dxa"/>
            <w:vAlign w:val="center"/>
          </w:tcPr>
          <w:p w14:paraId="52807522"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251A730B"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Spalva</w:t>
            </w:r>
          </w:p>
        </w:tc>
        <w:tc>
          <w:tcPr>
            <w:tcW w:w="4487" w:type="dxa"/>
            <w:shd w:val="clear" w:color="auto" w:fill="auto"/>
            <w:vAlign w:val="center"/>
          </w:tcPr>
          <w:p w14:paraId="02BC30BC"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Juoda</w:t>
            </w:r>
          </w:p>
        </w:tc>
        <w:tc>
          <w:tcPr>
            <w:tcW w:w="2911" w:type="dxa"/>
            <w:vAlign w:val="center"/>
          </w:tcPr>
          <w:p w14:paraId="08A65792"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0697F057" w14:textId="77777777">
        <w:trPr>
          <w:trHeight w:val="340"/>
        </w:trPr>
        <w:tc>
          <w:tcPr>
            <w:tcW w:w="764" w:type="dxa"/>
            <w:vAlign w:val="center"/>
          </w:tcPr>
          <w:p w14:paraId="18A378F6"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2642BFD"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Komplektacija</w:t>
            </w:r>
          </w:p>
        </w:tc>
        <w:tc>
          <w:tcPr>
            <w:tcW w:w="4487" w:type="dxa"/>
            <w:shd w:val="clear" w:color="auto" w:fill="auto"/>
            <w:vAlign w:val="center"/>
          </w:tcPr>
          <w:p w14:paraId="67F872B5"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Varžtai</w:t>
            </w:r>
          </w:p>
        </w:tc>
        <w:tc>
          <w:tcPr>
            <w:tcW w:w="2911" w:type="dxa"/>
            <w:vAlign w:val="center"/>
          </w:tcPr>
          <w:p w14:paraId="415575E0"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1BD467C8" w14:textId="77777777">
        <w:trPr>
          <w:trHeight w:val="340"/>
        </w:trPr>
        <w:tc>
          <w:tcPr>
            <w:tcW w:w="764" w:type="dxa"/>
            <w:vAlign w:val="center"/>
          </w:tcPr>
          <w:p w14:paraId="0DEBE48B"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2DAB5F0C"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Montavimas</w:t>
            </w:r>
          </w:p>
        </w:tc>
        <w:tc>
          <w:tcPr>
            <w:tcW w:w="4487" w:type="dxa"/>
            <w:shd w:val="clear" w:color="auto" w:fill="auto"/>
            <w:vAlign w:val="center"/>
          </w:tcPr>
          <w:p w14:paraId="226A0BD4"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Tvirtinamas prie sienos</w:t>
            </w:r>
          </w:p>
        </w:tc>
        <w:tc>
          <w:tcPr>
            <w:tcW w:w="2911" w:type="dxa"/>
            <w:vAlign w:val="center"/>
          </w:tcPr>
          <w:p w14:paraId="59548DE5"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43DB81BC" w14:textId="77777777">
        <w:trPr>
          <w:trHeight w:val="340"/>
        </w:trPr>
        <w:tc>
          <w:tcPr>
            <w:tcW w:w="764" w:type="dxa"/>
            <w:vAlign w:val="center"/>
          </w:tcPr>
          <w:p w14:paraId="3E9E121D"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5129ADB0"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VESA tvirtinimo sąsaja</w:t>
            </w:r>
          </w:p>
        </w:tc>
        <w:tc>
          <w:tcPr>
            <w:tcW w:w="4487" w:type="dxa"/>
            <w:shd w:val="clear" w:color="auto" w:fill="auto"/>
            <w:vAlign w:val="center"/>
          </w:tcPr>
          <w:p w14:paraId="46F919E5"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Tinkamas siūlomam televizoriui 400x300 ( Vesa )</w:t>
            </w:r>
          </w:p>
        </w:tc>
        <w:tc>
          <w:tcPr>
            <w:tcW w:w="2911" w:type="dxa"/>
            <w:vAlign w:val="center"/>
          </w:tcPr>
          <w:p w14:paraId="5D6341AD"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267B4C6D" w14:textId="77777777">
        <w:trPr>
          <w:trHeight w:val="340"/>
        </w:trPr>
        <w:tc>
          <w:tcPr>
            <w:tcW w:w="764" w:type="dxa"/>
            <w:vAlign w:val="center"/>
          </w:tcPr>
          <w:p w14:paraId="570CD4C0"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224AA038"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Rekomenduojamas ekrano dydis</w:t>
            </w:r>
          </w:p>
        </w:tc>
        <w:tc>
          <w:tcPr>
            <w:tcW w:w="4487" w:type="dxa"/>
            <w:shd w:val="clear" w:color="auto" w:fill="auto"/>
            <w:vAlign w:val="center"/>
          </w:tcPr>
          <w:p w14:paraId="23F14F59"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32"-75"</w:t>
            </w:r>
          </w:p>
        </w:tc>
        <w:tc>
          <w:tcPr>
            <w:tcW w:w="2911" w:type="dxa"/>
            <w:vAlign w:val="center"/>
          </w:tcPr>
          <w:p w14:paraId="7B7DDC59"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FCE80DB" w14:textId="77777777">
        <w:trPr>
          <w:trHeight w:val="340"/>
        </w:trPr>
        <w:tc>
          <w:tcPr>
            <w:tcW w:w="764" w:type="dxa"/>
            <w:vAlign w:val="center"/>
          </w:tcPr>
          <w:p w14:paraId="632FC272"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3A4368E1"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Pakreipimas</w:t>
            </w:r>
          </w:p>
        </w:tc>
        <w:tc>
          <w:tcPr>
            <w:tcW w:w="4487" w:type="dxa"/>
            <w:shd w:val="clear" w:color="auto" w:fill="auto"/>
            <w:vAlign w:val="center"/>
          </w:tcPr>
          <w:p w14:paraId="471B54EF"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Nuo -5° iki 8°</w:t>
            </w:r>
          </w:p>
        </w:tc>
        <w:tc>
          <w:tcPr>
            <w:tcW w:w="2911" w:type="dxa"/>
            <w:vAlign w:val="center"/>
          </w:tcPr>
          <w:p w14:paraId="7E961C74"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76AB088D" w14:textId="77777777">
        <w:trPr>
          <w:trHeight w:val="340"/>
        </w:trPr>
        <w:tc>
          <w:tcPr>
            <w:tcW w:w="764" w:type="dxa"/>
            <w:vAlign w:val="center"/>
          </w:tcPr>
          <w:p w14:paraId="10322EFF"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7041B384"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Sukimas</w:t>
            </w:r>
          </w:p>
        </w:tc>
        <w:tc>
          <w:tcPr>
            <w:tcW w:w="4487" w:type="dxa"/>
            <w:shd w:val="clear" w:color="auto" w:fill="auto"/>
            <w:vAlign w:val="center"/>
          </w:tcPr>
          <w:p w14:paraId="2390C8B7"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Nuo -50° iki 50°</w:t>
            </w:r>
          </w:p>
        </w:tc>
        <w:tc>
          <w:tcPr>
            <w:tcW w:w="2911" w:type="dxa"/>
            <w:vAlign w:val="center"/>
          </w:tcPr>
          <w:p w14:paraId="0470CE6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37E13C66" w14:textId="77777777">
        <w:trPr>
          <w:trHeight w:val="340"/>
        </w:trPr>
        <w:tc>
          <w:tcPr>
            <w:tcW w:w="764" w:type="dxa"/>
            <w:vAlign w:val="center"/>
          </w:tcPr>
          <w:p w14:paraId="1A73FFD6"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6F2A7CE5"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Reguliavimas</w:t>
            </w:r>
          </w:p>
        </w:tc>
        <w:tc>
          <w:tcPr>
            <w:tcW w:w="4487" w:type="dxa"/>
            <w:shd w:val="clear" w:color="auto" w:fill="auto"/>
            <w:vAlign w:val="center"/>
          </w:tcPr>
          <w:p w14:paraId="4C065A52"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Pakreipimas, pasukimas</w:t>
            </w:r>
          </w:p>
        </w:tc>
        <w:tc>
          <w:tcPr>
            <w:tcW w:w="2911" w:type="dxa"/>
            <w:vAlign w:val="center"/>
          </w:tcPr>
          <w:p w14:paraId="2AC3E2D1"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D6ED027" w14:textId="77777777">
        <w:trPr>
          <w:trHeight w:val="340"/>
        </w:trPr>
        <w:tc>
          <w:tcPr>
            <w:tcW w:w="764" w:type="dxa"/>
            <w:vAlign w:val="center"/>
          </w:tcPr>
          <w:p w14:paraId="56D6F20A" w14:textId="77777777" w:rsidR="003366B4" w:rsidRDefault="003366B4">
            <w:pPr>
              <w:pStyle w:val="ListParagraph"/>
              <w:numPr>
                <w:ilvl w:val="0"/>
                <w:numId w:val="2"/>
              </w:numPr>
              <w:spacing w:after="0" w:line="240" w:lineRule="auto"/>
              <w:rPr>
                <w:rFonts w:ascii="Times New Roman" w:eastAsia="Times New Roman" w:hAnsi="Times New Roman" w:cs="Times New Roman"/>
                <w:sz w:val="20"/>
                <w:szCs w:val="20"/>
              </w:rPr>
            </w:pPr>
          </w:p>
        </w:tc>
        <w:tc>
          <w:tcPr>
            <w:tcW w:w="1893" w:type="dxa"/>
            <w:vAlign w:val="center"/>
          </w:tcPr>
          <w:p w14:paraId="0F10536F" w14:textId="77777777" w:rsidR="003366B4" w:rsidRDefault="002847A4">
            <w:pPr>
              <w:spacing w:after="0" w:line="240" w:lineRule="auto"/>
              <w:rPr>
                <w:rFonts w:ascii="Times New Roman" w:hAnsi="Times New Roman" w:cs="Times New Roman"/>
                <w:sz w:val="20"/>
                <w:szCs w:val="20"/>
              </w:rPr>
            </w:pPr>
            <w:r>
              <w:rPr>
                <w:rFonts w:ascii="Times New Roman" w:hAnsi="Times New Roman" w:cs="Times New Roman"/>
                <w:sz w:val="20"/>
                <w:szCs w:val="20"/>
              </w:rPr>
              <w:t>Didžiausia apkrova</w:t>
            </w:r>
          </w:p>
        </w:tc>
        <w:tc>
          <w:tcPr>
            <w:tcW w:w="4487" w:type="dxa"/>
            <w:shd w:val="clear" w:color="auto" w:fill="auto"/>
            <w:vAlign w:val="center"/>
          </w:tcPr>
          <w:p w14:paraId="005D8F16" w14:textId="77777777" w:rsidR="003366B4" w:rsidRDefault="002847A4">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daugiau kaip: </w:t>
            </w:r>
            <w:r>
              <w:rPr>
                <w:rFonts w:ascii="Times New Roman" w:hAnsi="Times New Roman" w:cs="Times New Roman"/>
                <w:sz w:val="20"/>
                <w:szCs w:val="20"/>
              </w:rPr>
              <w:t>46  kg</w:t>
            </w:r>
          </w:p>
        </w:tc>
        <w:tc>
          <w:tcPr>
            <w:tcW w:w="2911" w:type="dxa"/>
            <w:vAlign w:val="center"/>
          </w:tcPr>
          <w:p w14:paraId="2046F69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722C3B0A" w14:textId="77777777">
        <w:trPr>
          <w:trHeight w:val="340"/>
        </w:trPr>
        <w:tc>
          <w:tcPr>
            <w:tcW w:w="7144" w:type="dxa"/>
            <w:gridSpan w:val="3"/>
            <w:shd w:val="clear" w:color="auto" w:fill="auto"/>
            <w:vAlign w:val="center"/>
          </w:tcPr>
          <w:p w14:paraId="7F345376"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1572DA45"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48F77E00" w14:textId="77777777">
        <w:trPr>
          <w:trHeight w:val="340"/>
        </w:trPr>
        <w:tc>
          <w:tcPr>
            <w:tcW w:w="7144" w:type="dxa"/>
            <w:gridSpan w:val="3"/>
            <w:shd w:val="clear" w:color="auto" w:fill="auto"/>
            <w:vAlign w:val="center"/>
          </w:tcPr>
          <w:p w14:paraId="25E1F4C2"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68776F58"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6B2F8D77" w14:textId="77777777">
        <w:trPr>
          <w:trHeight w:val="340"/>
        </w:trPr>
        <w:tc>
          <w:tcPr>
            <w:tcW w:w="7144" w:type="dxa"/>
            <w:gridSpan w:val="3"/>
            <w:shd w:val="clear" w:color="auto" w:fill="auto"/>
            <w:vAlign w:val="center"/>
          </w:tcPr>
          <w:p w14:paraId="59A9A994"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5CDB7BF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6FDC8CA0" w14:textId="77777777">
        <w:trPr>
          <w:trHeight w:val="340"/>
        </w:trPr>
        <w:tc>
          <w:tcPr>
            <w:tcW w:w="7144" w:type="dxa"/>
            <w:gridSpan w:val="3"/>
            <w:shd w:val="clear" w:color="auto" w:fill="auto"/>
            <w:vAlign w:val="center"/>
          </w:tcPr>
          <w:p w14:paraId="1A530D29"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7F2CAC57" w14:textId="77777777" w:rsidR="003366B4" w:rsidRDefault="003366B4">
            <w:pPr>
              <w:spacing w:after="0" w:line="240" w:lineRule="auto"/>
              <w:rPr>
                <w:rFonts w:ascii="Times New Roman" w:eastAsia="Times New Roman" w:hAnsi="Times New Roman" w:cs="Times New Roman"/>
                <w:sz w:val="20"/>
                <w:szCs w:val="20"/>
                <w:lang w:eastAsia="lt-LT"/>
              </w:rPr>
            </w:pPr>
          </w:p>
        </w:tc>
      </w:tr>
      <w:tr w:rsidR="003366B4" w14:paraId="5452C6D2" w14:textId="77777777">
        <w:trPr>
          <w:trHeight w:val="340"/>
        </w:trPr>
        <w:tc>
          <w:tcPr>
            <w:tcW w:w="7144" w:type="dxa"/>
            <w:gridSpan w:val="3"/>
            <w:shd w:val="clear" w:color="auto" w:fill="auto"/>
            <w:vAlign w:val="center"/>
          </w:tcPr>
          <w:p w14:paraId="7B0BBC40"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0C41D345" w14:textId="77777777" w:rsidR="003366B4" w:rsidRDefault="002847A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06A24E71" w14:textId="77777777" w:rsidR="003366B4" w:rsidRDefault="003366B4">
      <w:pPr>
        <w:rPr>
          <w:rFonts w:ascii="Times New Roman" w:hAnsi="Times New Roman" w:cs="Times New Roman"/>
          <w:sz w:val="20"/>
          <w:szCs w:val="20"/>
        </w:rPr>
      </w:pPr>
    </w:p>
    <w:sectPr w:rsidR="00336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C55C" w14:textId="77777777" w:rsidR="008545FE" w:rsidRDefault="008545FE">
      <w:pPr>
        <w:spacing w:line="240" w:lineRule="auto"/>
      </w:pPr>
      <w:r>
        <w:separator/>
      </w:r>
    </w:p>
  </w:endnote>
  <w:endnote w:type="continuationSeparator" w:id="0">
    <w:p w14:paraId="3D0E8902" w14:textId="77777777" w:rsidR="008545FE" w:rsidRDefault="00854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546A" w14:textId="77777777" w:rsidR="008545FE" w:rsidRDefault="008545FE">
      <w:pPr>
        <w:spacing w:after="0"/>
      </w:pPr>
      <w:r>
        <w:separator/>
      </w:r>
    </w:p>
  </w:footnote>
  <w:footnote w:type="continuationSeparator" w:id="0">
    <w:p w14:paraId="396D7DCA" w14:textId="77777777" w:rsidR="008545FE" w:rsidRDefault="008545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09E0"/>
    <w:multiLevelType w:val="multilevel"/>
    <w:tmpl w:val="4DD409E0"/>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0A"/>
    <w:rsid w:val="00024AD7"/>
    <w:rsid w:val="00034E15"/>
    <w:rsid w:val="000668C0"/>
    <w:rsid w:val="000744FD"/>
    <w:rsid w:val="00076C0E"/>
    <w:rsid w:val="0008590E"/>
    <w:rsid w:val="0009267E"/>
    <w:rsid w:val="000A79C1"/>
    <w:rsid w:val="000C0355"/>
    <w:rsid w:val="000C60C6"/>
    <w:rsid w:val="000D19A1"/>
    <w:rsid w:val="000D6981"/>
    <w:rsid w:val="000F5302"/>
    <w:rsid w:val="0012222C"/>
    <w:rsid w:val="00145B50"/>
    <w:rsid w:val="00150A06"/>
    <w:rsid w:val="00171256"/>
    <w:rsid w:val="001A095B"/>
    <w:rsid w:val="001B2CA4"/>
    <w:rsid w:val="001B3AD9"/>
    <w:rsid w:val="001B7367"/>
    <w:rsid w:val="001C6CFD"/>
    <w:rsid w:val="001E2A7C"/>
    <w:rsid w:val="001F1FE5"/>
    <w:rsid w:val="00211472"/>
    <w:rsid w:val="00224164"/>
    <w:rsid w:val="002847A4"/>
    <w:rsid w:val="0029720D"/>
    <w:rsid w:val="002A0649"/>
    <w:rsid w:val="002A6E09"/>
    <w:rsid w:val="002B67F4"/>
    <w:rsid w:val="002B6D6A"/>
    <w:rsid w:val="002D27CA"/>
    <w:rsid w:val="002D6831"/>
    <w:rsid w:val="002E26A4"/>
    <w:rsid w:val="002E6FDD"/>
    <w:rsid w:val="003104E7"/>
    <w:rsid w:val="003244CC"/>
    <w:rsid w:val="003260CE"/>
    <w:rsid w:val="00330FF2"/>
    <w:rsid w:val="0033228A"/>
    <w:rsid w:val="003366B4"/>
    <w:rsid w:val="003541DD"/>
    <w:rsid w:val="00363D24"/>
    <w:rsid w:val="0037224B"/>
    <w:rsid w:val="003810E9"/>
    <w:rsid w:val="003837CA"/>
    <w:rsid w:val="00386222"/>
    <w:rsid w:val="00395421"/>
    <w:rsid w:val="0039566D"/>
    <w:rsid w:val="003A1E95"/>
    <w:rsid w:val="003A2A85"/>
    <w:rsid w:val="003C1B2B"/>
    <w:rsid w:val="003D5883"/>
    <w:rsid w:val="003F5D31"/>
    <w:rsid w:val="00404C17"/>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B493D"/>
    <w:rsid w:val="00616EA1"/>
    <w:rsid w:val="00617F17"/>
    <w:rsid w:val="0065699A"/>
    <w:rsid w:val="006969A7"/>
    <w:rsid w:val="00697A8C"/>
    <w:rsid w:val="006A2FD7"/>
    <w:rsid w:val="006B4996"/>
    <w:rsid w:val="006C0B56"/>
    <w:rsid w:val="006E0464"/>
    <w:rsid w:val="006E28F2"/>
    <w:rsid w:val="006F79F4"/>
    <w:rsid w:val="00707482"/>
    <w:rsid w:val="00713A6D"/>
    <w:rsid w:val="00716B3E"/>
    <w:rsid w:val="00717FE7"/>
    <w:rsid w:val="00731653"/>
    <w:rsid w:val="00734CFD"/>
    <w:rsid w:val="00735AA6"/>
    <w:rsid w:val="00765EF4"/>
    <w:rsid w:val="007663E8"/>
    <w:rsid w:val="007772A5"/>
    <w:rsid w:val="00785C57"/>
    <w:rsid w:val="007B758F"/>
    <w:rsid w:val="007C44ED"/>
    <w:rsid w:val="007C773B"/>
    <w:rsid w:val="007F7CE6"/>
    <w:rsid w:val="00815293"/>
    <w:rsid w:val="00835BE6"/>
    <w:rsid w:val="00837BA1"/>
    <w:rsid w:val="008545FE"/>
    <w:rsid w:val="00861184"/>
    <w:rsid w:val="00881A76"/>
    <w:rsid w:val="00886A93"/>
    <w:rsid w:val="008914F2"/>
    <w:rsid w:val="00891593"/>
    <w:rsid w:val="008D3E25"/>
    <w:rsid w:val="008F6E09"/>
    <w:rsid w:val="00905FC7"/>
    <w:rsid w:val="00907217"/>
    <w:rsid w:val="00940A28"/>
    <w:rsid w:val="00951900"/>
    <w:rsid w:val="0095227B"/>
    <w:rsid w:val="00952B4D"/>
    <w:rsid w:val="00975B8E"/>
    <w:rsid w:val="009767CF"/>
    <w:rsid w:val="0099657E"/>
    <w:rsid w:val="009A531E"/>
    <w:rsid w:val="009A5B78"/>
    <w:rsid w:val="009D43B0"/>
    <w:rsid w:val="009D4669"/>
    <w:rsid w:val="009E2982"/>
    <w:rsid w:val="009E6AA9"/>
    <w:rsid w:val="009F7CFA"/>
    <w:rsid w:val="00A0093A"/>
    <w:rsid w:val="00A0132A"/>
    <w:rsid w:val="00A32DEA"/>
    <w:rsid w:val="00A51AEA"/>
    <w:rsid w:val="00A5202E"/>
    <w:rsid w:val="00A86430"/>
    <w:rsid w:val="00A86643"/>
    <w:rsid w:val="00AA1D9A"/>
    <w:rsid w:val="00AF3E6E"/>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71C65"/>
    <w:rsid w:val="00C92F26"/>
    <w:rsid w:val="00C936D9"/>
    <w:rsid w:val="00C9475A"/>
    <w:rsid w:val="00D50136"/>
    <w:rsid w:val="00D522A0"/>
    <w:rsid w:val="00D66403"/>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4370"/>
    <w:rsid w:val="00E83513"/>
    <w:rsid w:val="00EA00F2"/>
    <w:rsid w:val="00ED6703"/>
    <w:rsid w:val="00EE1C2D"/>
    <w:rsid w:val="00F17D2B"/>
    <w:rsid w:val="00F23214"/>
    <w:rsid w:val="00F27056"/>
    <w:rsid w:val="00F32894"/>
    <w:rsid w:val="00F4617E"/>
    <w:rsid w:val="00F51BED"/>
    <w:rsid w:val="00F61412"/>
    <w:rsid w:val="00F71609"/>
    <w:rsid w:val="00F85D5E"/>
    <w:rsid w:val="00FB2D98"/>
    <w:rsid w:val="00FB3EFD"/>
    <w:rsid w:val="00FC1B5E"/>
    <w:rsid w:val="00FC36D9"/>
    <w:rsid w:val="00FC5615"/>
    <w:rsid w:val="1E0345EC"/>
    <w:rsid w:val="4295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B811"/>
  <w15:docId w15:val="{639269FF-0E91-4BE0-A834-336B65B6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lt-LT"/>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Rykuspabraukimas1">
    <w:name w:val="Ryškus pabraukima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ykinuoroda1">
    <w:name w:val="Ryški nuoroda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eapdorotaspaminjimas1">
    <w:name w:val="Neapdorotas paminėjimas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4116</Words>
  <Characters>2347</Characters>
  <Application>Microsoft Office Word</Application>
  <DocSecurity>0</DocSecurity>
  <Lines>19</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Pamakštys</dc:creator>
  <cp:lastModifiedBy>Almina Zinevičienė</cp:lastModifiedBy>
  <cp:revision>3</cp:revision>
  <dcterms:created xsi:type="dcterms:W3CDTF">2025-06-20T10:50:00Z</dcterms:created>
  <dcterms:modified xsi:type="dcterms:W3CDTF">2025-06-20T10:55:00Z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04BEA89E272947FBB2897E65EB5ECE24_13</vt:lpwstr>
  </property>
</Properties>
</file>