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1B24B9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Kvietimas dalyvauti rinkos konsultacijoje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976D1F" w:rsidRDefault="00FE61B0" w:rsidP="00FE61B0">
      <w:pPr>
        <w:ind w:firstLine="851"/>
        <w:jc w:val="both"/>
        <w:rPr>
          <w:rFonts w:eastAsia="Calibri"/>
          <w:sz w:val="24"/>
          <w:szCs w:val="22"/>
          <w:lang w:val="lt-LT"/>
        </w:rPr>
      </w:pPr>
      <w:r>
        <w:rPr>
          <w:sz w:val="24"/>
          <w:szCs w:val="24"/>
          <w:lang w:val="lt-LT"/>
        </w:rPr>
        <w:t xml:space="preserve">Telšių rajono savivaldybės administracija (toliau – perkančioji organizacija) siekdama tinkamai pasiruošti numatomam </w:t>
      </w:r>
      <w:r w:rsidRPr="008E38DD">
        <w:rPr>
          <w:sz w:val="24"/>
          <w:szCs w:val="24"/>
          <w:lang w:val="lt-LT"/>
        </w:rPr>
        <w:t>pirkimui „</w:t>
      </w:r>
      <w:r w:rsidR="00FF1CD3" w:rsidRPr="00FF1CD3">
        <w:rPr>
          <w:sz w:val="24"/>
          <w:szCs w:val="24"/>
          <w:lang w:val="lt-LT"/>
        </w:rPr>
        <w:t>Techninio projekto „Mokslo paskirties pastato, Kauno g. 9A, Telšiai, keičiant mokslo paskirties pastato paskirtį į gyvenamąją paskirtį (įvairių socialinių grupių asmenims), rekonstravimo projektas“ II etapo darbai</w:t>
      </w:r>
      <w:r w:rsidR="00E771C3" w:rsidRPr="00E771C3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</w:t>
      </w:r>
    </w:p>
    <w:p w:rsidR="00976D1F" w:rsidRDefault="00976D1F" w:rsidP="00976D1F">
      <w:pPr>
        <w:ind w:firstLine="851"/>
        <w:jc w:val="both"/>
        <w:rPr>
          <w:rFonts w:eastAsia="Calibri"/>
          <w:sz w:val="24"/>
          <w:szCs w:val="22"/>
          <w:lang w:val="lt-LT"/>
        </w:rPr>
      </w:pPr>
      <w:r w:rsidRPr="00976D1F">
        <w:rPr>
          <w:rFonts w:eastAsia="Calibri"/>
          <w:sz w:val="24"/>
          <w:szCs w:val="22"/>
          <w:lang w:val="lt-LT"/>
        </w:rPr>
        <w:t>Pirkimo objektas į dalis neskaidomas. Techniniame projekte numatyta, kad pastato rekonstrukcija atliekama dviem etapais. Dėl šių etapų sudaromos atskiros pirkimo sutartys, pirmojo etapo darbai jau įsigyti. Šiuo pirkimu planuojama įsigyti antrojo etapo darb</w:t>
      </w:r>
      <w:r>
        <w:rPr>
          <w:rFonts w:eastAsia="Calibri"/>
          <w:sz w:val="24"/>
          <w:szCs w:val="22"/>
          <w:lang w:val="lt-LT"/>
        </w:rPr>
        <w:t xml:space="preserve">us, </w:t>
      </w:r>
      <w:r w:rsidRPr="00976D1F">
        <w:rPr>
          <w:rFonts w:eastAsia="Calibri"/>
          <w:sz w:val="24"/>
          <w:szCs w:val="22"/>
          <w:lang w:val="lt-LT"/>
        </w:rPr>
        <w:t xml:space="preserve">taip pat II etapo darbo projekto parengimą, išpildomųjų topografinių nuotraukų parengimą, kadastrinių matavimų bylų parengimą, statybos užbaigimo procedūrų vykdymą. </w:t>
      </w:r>
    </w:p>
    <w:p w:rsidR="00FE61B0" w:rsidRDefault="00FE61B0" w:rsidP="00FE61B0">
      <w:pPr>
        <w:ind w:firstLine="851"/>
        <w:jc w:val="both"/>
        <w:rPr>
          <w:rFonts w:eastAsia="Calibri"/>
          <w:sz w:val="24"/>
          <w:szCs w:val="22"/>
          <w:lang w:val="lt-LT"/>
        </w:rPr>
      </w:pPr>
      <w:r>
        <w:rPr>
          <w:rFonts w:eastAsia="Calibri"/>
          <w:sz w:val="24"/>
          <w:szCs w:val="22"/>
          <w:lang w:val="lt-LT"/>
        </w:rPr>
        <w:t xml:space="preserve">Rinkos konsultacija skelbiama iki pirkimo pradžios. Rinkos konsultacija nėra skelbimas apie pirkimą ar išankstinis skelbimas apie pirkimą. </w:t>
      </w:r>
    </w:p>
    <w:p w:rsidR="00976D1F" w:rsidRDefault="00976D1F" w:rsidP="00FE61B0">
      <w:pPr>
        <w:ind w:firstLine="851"/>
        <w:jc w:val="both"/>
        <w:rPr>
          <w:rFonts w:eastAsia="Calibri"/>
          <w:sz w:val="24"/>
          <w:szCs w:val="22"/>
          <w:lang w:val="lt-LT"/>
        </w:rPr>
      </w:pPr>
    </w:p>
    <w:p w:rsidR="00E771C3" w:rsidRDefault="00E771C3" w:rsidP="00FF1CD3">
      <w:pPr>
        <w:ind w:firstLine="851"/>
        <w:jc w:val="both"/>
        <w:rPr>
          <w:rFonts w:eastAsia="Calibri"/>
          <w:sz w:val="24"/>
          <w:szCs w:val="22"/>
          <w:lang w:val="lt-LT"/>
        </w:rPr>
      </w:pPr>
      <w:r>
        <w:rPr>
          <w:rFonts w:eastAsia="Calibri"/>
          <w:sz w:val="24"/>
          <w:szCs w:val="22"/>
          <w:lang w:val="lt-LT"/>
        </w:rPr>
        <w:t>PRIDED</w:t>
      </w:r>
      <w:r w:rsidR="00976D1F">
        <w:rPr>
          <w:rFonts w:eastAsia="Calibri"/>
          <w:sz w:val="24"/>
          <w:szCs w:val="22"/>
          <w:lang w:val="lt-LT"/>
        </w:rPr>
        <w:t xml:space="preserve">AMA.    Techninis </w:t>
      </w:r>
      <w:bookmarkStart w:id="0" w:name="_GoBack"/>
      <w:bookmarkEnd w:id="0"/>
      <w:r w:rsidR="00976D1F">
        <w:rPr>
          <w:rFonts w:eastAsia="Calibri"/>
          <w:sz w:val="24"/>
          <w:szCs w:val="22"/>
          <w:lang w:val="lt-LT"/>
        </w:rPr>
        <w:t>projektas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sectPr w:rsidR="00FE61B0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61927"/>
    <w:multiLevelType w:val="hybridMultilevel"/>
    <w:tmpl w:val="8DE06928"/>
    <w:lvl w:ilvl="0" w:tplc="030AFC10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color w:val="00000A"/>
        <w:sz w:val="28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42A"/>
    <w:multiLevelType w:val="multilevel"/>
    <w:tmpl w:val="197E448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194F50"/>
    <w:rsid w:val="001B24B9"/>
    <w:rsid w:val="005509E0"/>
    <w:rsid w:val="007764FB"/>
    <w:rsid w:val="00863D44"/>
    <w:rsid w:val="008E38DD"/>
    <w:rsid w:val="0095253C"/>
    <w:rsid w:val="00976D1F"/>
    <w:rsid w:val="009A0EA1"/>
    <w:rsid w:val="009F259F"/>
    <w:rsid w:val="00A53847"/>
    <w:rsid w:val="00C26685"/>
    <w:rsid w:val="00C33276"/>
    <w:rsid w:val="00C524D5"/>
    <w:rsid w:val="00CA268D"/>
    <w:rsid w:val="00E771C3"/>
    <w:rsid w:val="00F0170E"/>
    <w:rsid w:val="00FE1635"/>
    <w:rsid w:val="00FE61B0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CB6C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6D1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6D1F"/>
    <w:rPr>
      <w:rFonts w:eastAsia="Times New Roman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unhideWhenUsed/>
    <w:rsid w:val="00976D1F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6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6D1F"/>
    <w:rPr>
      <w:rFonts w:ascii="Segoe UI" w:eastAsia="Times New Roman" w:hAnsi="Segoe UI" w:cs="Segoe UI"/>
      <w:sz w:val="18"/>
      <w:szCs w:val="18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6D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6D1F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dcterms:created xsi:type="dcterms:W3CDTF">2025-06-20T11:32:00Z</dcterms:created>
  <dcterms:modified xsi:type="dcterms:W3CDTF">2025-06-20T11:45:00Z</dcterms:modified>
</cp:coreProperties>
</file>