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FB9C" w14:textId="6042B35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Pirkimo sąlygų 4 priedas</w:t>
      </w:r>
    </w:p>
    <w:p w14:paraId="360B86DB" w14:textId="318FA0A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„Techninė specifikacija“</w:t>
      </w:r>
    </w:p>
    <w:p w14:paraId="6508AFBD" w14:textId="250455B0" w:rsidR="00A91A58" w:rsidRPr="002C1660" w:rsidRDefault="00A91A58" w:rsidP="002C1660">
      <w:pPr>
        <w:spacing w:after="0"/>
        <w:jc w:val="center"/>
        <w:rPr>
          <w:rFonts w:ascii="Times New Roman" w:hAnsi="Times New Roman" w:cs="Times New Roman"/>
          <w:b/>
          <w:bCs/>
          <w:sz w:val="24"/>
          <w:szCs w:val="24"/>
        </w:rPr>
      </w:pPr>
      <w:r w:rsidRPr="002C1660">
        <w:rPr>
          <w:rFonts w:ascii="Times New Roman" w:hAnsi="Times New Roman" w:cs="Times New Roman"/>
          <w:b/>
          <w:bCs/>
          <w:sz w:val="24"/>
          <w:szCs w:val="24"/>
        </w:rPr>
        <w:t>TECHNINĖ SPECIFIKACIJA</w:t>
      </w:r>
    </w:p>
    <w:p w14:paraId="07D5457E" w14:textId="6108D45A" w:rsidR="00342ED5" w:rsidRPr="002C1660" w:rsidRDefault="00342ED5" w:rsidP="002C1660">
      <w:pPr>
        <w:spacing w:after="0"/>
        <w:jc w:val="center"/>
        <w:rPr>
          <w:rFonts w:ascii="Times New Roman" w:hAnsi="Times New Roman" w:cs="Times New Roman"/>
          <w:b/>
          <w:color w:val="000000" w:themeColor="text1"/>
          <w:sz w:val="24"/>
          <w:szCs w:val="24"/>
        </w:rPr>
      </w:pPr>
      <w:r w:rsidRPr="002C1660">
        <w:rPr>
          <w:rFonts w:ascii="Times New Roman" w:hAnsi="Times New Roman" w:cs="Times New Roman"/>
          <w:b/>
          <w:color w:val="000000" w:themeColor="text1"/>
          <w:sz w:val="24"/>
          <w:szCs w:val="24"/>
        </w:rPr>
        <w:t>BIOKURO SKIEDROS PIRKIMO</w:t>
      </w:r>
    </w:p>
    <w:p w14:paraId="3CC3C365" w14:textId="77777777" w:rsidR="00342ED5" w:rsidRPr="002C1660" w:rsidRDefault="00342ED5" w:rsidP="002C1660">
      <w:pPr>
        <w:widowControl w:val="0"/>
        <w:spacing w:after="0"/>
        <w:jc w:val="both"/>
        <w:rPr>
          <w:rFonts w:ascii="Times New Roman" w:eastAsia="Calibri" w:hAnsi="Times New Roman" w:cs="Times New Roman"/>
          <w:b/>
          <w:bCs/>
          <w:sz w:val="24"/>
          <w:szCs w:val="24"/>
        </w:rPr>
      </w:pPr>
    </w:p>
    <w:p w14:paraId="3D2BCA9D" w14:textId="77777777" w:rsidR="00342ED5" w:rsidRPr="002C1660" w:rsidRDefault="00342ED5" w:rsidP="002C1660">
      <w:pPr>
        <w:widowControl w:val="0"/>
        <w:spacing w:after="0"/>
        <w:jc w:val="both"/>
        <w:rPr>
          <w:rFonts w:ascii="Times New Roman" w:hAnsi="Times New Roman" w:cs="Times New Roman"/>
          <w:bCs/>
          <w:noProof/>
          <w:sz w:val="24"/>
          <w:szCs w:val="24"/>
        </w:rPr>
      </w:pPr>
    </w:p>
    <w:p w14:paraId="5408C978" w14:textId="77777777" w:rsidR="00342ED5" w:rsidRPr="002C1660" w:rsidRDefault="00342ED5" w:rsidP="002C1660">
      <w:pPr>
        <w:spacing w:after="0" w:line="276" w:lineRule="auto"/>
        <w:jc w:val="both"/>
        <w:rPr>
          <w:rFonts w:ascii="Times New Roman" w:eastAsia="Calibri" w:hAnsi="Times New Roman" w:cs="Times New Roman"/>
          <w:bCs/>
          <w:sz w:val="24"/>
          <w:szCs w:val="24"/>
        </w:rPr>
      </w:pPr>
      <w:r w:rsidRPr="002C1660">
        <w:rPr>
          <w:rFonts w:ascii="Times New Roman" w:eastAsia="Calibri" w:hAnsi="Times New Roman" w:cs="Times New Roman"/>
          <w:bCs/>
          <w:sz w:val="24"/>
          <w:szCs w:val="24"/>
        </w:rPr>
        <w:t>Tiekiamo biokuro (medienos skiedra SM2) pagrindiniai techniniai rodikliai</w:t>
      </w:r>
    </w:p>
    <w:p w14:paraId="7025D1AA" w14:textId="77777777" w:rsidR="00342ED5" w:rsidRPr="002C1660" w:rsidRDefault="00342ED5" w:rsidP="002C1660">
      <w:pPr>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bCs/>
          <w:sz w:val="24"/>
          <w:szCs w:val="24"/>
        </w:rPr>
        <w:t>2 priedas</w:t>
      </w:r>
    </w:p>
    <w:tbl>
      <w:tblPr>
        <w:tblStyle w:val="Lentelstinklelis4"/>
        <w:tblW w:w="0" w:type="auto"/>
        <w:jc w:val="center"/>
        <w:tblLook w:val="04A0" w:firstRow="1" w:lastRow="0" w:firstColumn="1" w:lastColumn="0" w:noHBand="0" w:noVBand="1"/>
      </w:tblPr>
      <w:tblGrid>
        <w:gridCol w:w="810"/>
        <w:gridCol w:w="600"/>
        <w:gridCol w:w="592"/>
        <w:gridCol w:w="606"/>
        <w:gridCol w:w="1117"/>
        <w:gridCol w:w="859"/>
        <w:gridCol w:w="867"/>
        <w:gridCol w:w="892"/>
        <w:gridCol w:w="917"/>
        <w:gridCol w:w="784"/>
        <w:gridCol w:w="667"/>
        <w:gridCol w:w="917"/>
      </w:tblGrid>
      <w:tr w:rsidR="00342ED5" w:rsidRPr="002C1660" w14:paraId="675628B0" w14:textId="77777777" w:rsidTr="006F669F">
        <w:trPr>
          <w:trHeight w:val="393"/>
          <w:jc w:val="center"/>
        </w:trPr>
        <w:tc>
          <w:tcPr>
            <w:tcW w:w="942" w:type="dxa"/>
            <w:vMerge w:val="restart"/>
          </w:tcPr>
          <w:p w14:paraId="75E95520"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Biokuro rūšis </w:t>
            </w:r>
          </w:p>
        </w:tc>
        <w:tc>
          <w:tcPr>
            <w:tcW w:w="798" w:type="dxa"/>
            <w:vMerge w:val="restart"/>
          </w:tcPr>
          <w:p w14:paraId="13739BE6"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Kodas</w:t>
            </w:r>
          </w:p>
        </w:tc>
        <w:tc>
          <w:tcPr>
            <w:tcW w:w="1579" w:type="dxa"/>
            <w:gridSpan w:val="2"/>
            <w:vMerge w:val="restart"/>
          </w:tcPr>
          <w:p w14:paraId="55306FFD"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tc>
        <w:tc>
          <w:tcPr>
            <w:tcW w:w="1433" w:type="dxa"/>
            <w:vMerge w:val="restart"/>
          </w:tcPr>
          <w:p w14:paraId="3E4527E8"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p w14:paraId="7E18D7CE" w14:textId="77777777" w:rsidR="00342ED5" w:rsidRPr="002C1660" w:rsidRDefault="00342ED5" w:rsidP="002C1660">
            <w:pPr>
              <w:jc w:val="both"/>
              <w:rPr>
                <w:rFonts w:ascii="Times New Roman" w:eastAsia="Calibri" w:hAnsi="Times New Roman" w:cs="Times New Roman"/>
                <w:sz w:val="24"/>
                <w:szCs w:val="24"/>
              </w:rPr>
            </w:pPr>
            <w:proofErr w:type="spellStart"/>
            <w:r w:rsidRPr="002C1660">
              <w:rPr>
                <w:rFonts w:ascii="Times New Roman" w:eastAsia="Calibri" w:hAnsi="Times New Roman" w:cs="Times New Roman"/>
                <w:sz w:val="24"/>
                <w:szCs w:val="24"/>
              </w:rPr>
              <w:t>Max</w:t>
            </w:r>
            <w:proofErr w:type="spellEnd"/>
            <w:r w:rsidRPr="002C1660">
              <w:rPr>
                <w:rFonts w:ascii="Times New Roman" w:eastAsia="Calibri" w:hAnsi="Times New Roman" w:cs="Times New Roman"/>
                <w:sz w:val="24"/>
                <w:szCs w:val="24"/>
              </w:rPr>
              <w:t>.</w:t>
            </w:r>
          </w:p>
        </w:tc>
        <w:tc>
          <w:tcPr>
            <w:tcW w:w="3710" w:type="dxa"/>
            <w:gridSpan w:val="4"/>
          </w:tcPr>
          <w:p w14:paraId="1A1BE29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Frakcijos dydis </w:t>
            </w:r>
          </w:p>
          <w:p w14:paraId="3AD06BEF" w14:textId="77777777" w:rsidR="00342ED5" w:rsidRPr="002C1660" w:rsidRDefault="00342ED5" w:rsidP="002C1660">
            <w:pPr>
              <w:jc w:val="both"/>
              <w:rPr>
                <w:rFonts w:ascii="Times New Roman" w:eastAsia="Calibri" w:hAnsi="Times New Roman" w:cs="Times New Roman"/>
                <w:sz w:val="24"/>
                <w:szCs w:val="24"/>
              </w:rPr>
            </w:pPr>
          </w:p>
        </w:tc>
        <w:tc>
          <w:tcPr>
            <w:tcW w:w="821" w:type="dxa"/>
            <w:vMerge w:val="restart"/>
          </w:tcPr>
          <w:p w14:paraId="68C988B0" w14:textId="77777777" w:rsidR="00342ED5" w:rsidRPr="002C1660" w:rsidRDefault="00342ED5" w:rsidP="002C1660">
            <w:pPr>
              <w:autoSpaceDE w:val="0"/>
              <w:autoSpaceDN w:val="0"/>
              <w:adjustRightInd w:val="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Chloro kiekis (% nuo sausosios masės)</w:t>
            </w:r>
          </w:p>
          <w:p w14:paraId="168DB21D"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(3 )</w:t>
            </w:r>
          </w:p>
        </w:tc>
        <w:tc>
          <w:tcPr>
            <w:tcW w:w="742" w:type="dxa"/>
            <w:vMerge w:val="restart"/>
          </w:tcPr>
          <w:p w14:paraId="54F6C4C5"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Žaliava (1 lentelė) </w:t>
            </w:r>
          </w:p>
        </w:tc>
        <w:tc>
          <w:tcPr>
            <w:tcW w:w="963" w:type="dxa"/>
            <w:vMerge w:val="restart"/>
          </w:tcPr>
          <w:p w14:paraId="19E7A94A"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Leidžiamos priemaišos </w:t>
            </w:r>
          </w:p>
        </w:tc>
      </w:tr>
      <w:tr w:rsidR="00342ED5" w:rsidRPr="002C1660" w14:paraId="25C3AD01" w14:textId="77777777" w:rsidTr="006F669F">
        <w:trPr>
          <w:trHeight w:val="403"/>
          <w:jc w:val="center"/>
        </w:trPr>
        <w:tc>
          <w:tcPr>
            <w:tcW w:w="942" w:type="dxa"/>
            <w:vMerge/>
          </w:tcPr>
          <w:p w14:paraId="6F63D99A"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649FD7D6" w14:textId="77777777" w:rsidR="00342ED5" w:rsidRPr="002C1660" w:rsidRDefault="00342ED5" w:rsidP="002C1660">
            <w:pPr>
              <w:jc w:val="both"/>
              <w:rPr>
                <w:rFonts w:ascii="Times New Roman" w:eastAsia="Calibri" w:hAnsi="Times New Roman" w:cs="Times New Roman"/>
                <w:sz w:val="24"/>
                <w:szCs w:val="24"/>
              </w:rPr>
            </w:pPr>
          </w:p>
        </w:tc>
        <w:tc>
          <w:tcPr>
            <w:tcW w:w="1579" w:type="dxa"/>
            <w:gridSpan w:val="2"/>
            <w:vMerge/>
          </w:tcPr>
          <w:p w14:paraId="63282659" w14:textId="77777777" w:rsidR="00342ED5" w:rsidRPr="002C1660" w:rsidRDefault="00342ED5" w:rsidP="002C1660">
            <w:pPr>
              <w:jc w:val="both"/>
              <w:rPr>
                <w:rFonts w:ascii="Times New Roman" w:eastAsia="Calibri" w:hAnsi="Times New Roman" w:cs="Times New Roman"/>
                <w:sz w:val="24"/>
                <w:szCs w:val="24"/>
              </w:rPr>
            </w:pPr>
          </w:p>
        </w:tc>
        <w:tc>
          <w:tcPr>
            <w:tcW w:w="1433" w:type="dxa"/>
            <w:vMerge/>
          </w:tcPr>
          <w:p w14:paraId="16541CF8" w14:textId="77777777" w:rsidR="00342ED5" w:rsidRPr="002C1660" w:rsidRDefault="00342ED5" w:rsidP="002C1660">
            <w:pPr>
              <w:jc w:val="both"/>
              <w:rPr>
                <w:rFonts w:ascii="Times New Roman" w:eastAsia="Calibri" w:hAnsi="Times New Roman" w:cs="Times New Roman"/>
                <w:sz w:val="24"/>
                <w:szCs w:val="24"/>
              </w:rPr>
            </w:pPr>
          </w:p>
        </w:tc>
        <w:tc>
          <w:tcPr>
            <w:tcW w:w="901" w:type="dxa"/>
            <w:vMerge w:val="restart"/>
          </w:tcPr>
          <w:p w14:paraId="33E81A8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proofErr w:type="spellStart"/>
            <w:r w:rsidRPr="002C1660">
              <w:rPr>
                <w:rFonts w:ascii="Times New Roman" w:eastAsia="Calibri" w:hAnsi="Times New Roman" w:cs="Times New Roman"/>
                <w:bCs/>
                <w:color w:val="000000"/>
                <w:sz w:val="24"/>
                <w:szCs w:val="24"/>
              </w:rPr>
              <w:t>Smulkelių</w:t>
            </w:r>
            <w:proofErr w:type="spellEnd"/>
            <w:r w:rsidRPr="002C1660">
              <w:rPr>
                <w:rFonts w:ascii="Times New Roman" w:eastAsia="Calibri" w:hAnsi="Times New Roman" w:cs="Times New Roman"/>
                <w:bCs/>
                <w:color w:val="000000"/>
                <w:sz w:val="24"/>
                <w:szCs w:val="24"/>
              </w:rPr>
              <w:t xml:space="preserve"> frakcijos (&lt;3,15 mm) leidžiamas kiekis, % </w:t>
            </w:r>
          </w:p>
        </w:tc>
        <w:tc>
          <w:tcPr>
            <w:tcW w:w="910" w:type="dxa"/>
            <w:vMerge w:val="restart"/>
          </w:tcPr>
          <w:p w14:paraId="6A4D9A7B"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Pagrindinė frakcija , mm (min. kiekis %)7 </w:t>
            </w:r>
          </w:p>
        </w:tc>
        <w:tc>
          <w:tcPr>
            <w:tcW w:w="936" w:type="dxa"/>
            <w:vMerge w:val="restart"/>
          </w:tcPr>
          <w:p w14:paraId="3E2C55C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Stambioji frakcija (</w:t>
            </w:r>
            <w:proofErr w:type="spellStart"/>
            <w:r w:rsidRPr="002C1660">
              <w:rPr>
                <w:rFonts w:ascii="Times New Roman" w:eastAsia="Calibri" w:hAnsi="Times New Roman" w:cs="Times New Roman"/>
                <w:bCs/>
                <w:color w:val="000000"/>
                <w:sz w:val="24"/>
                <w:szCs w:val="24"/>
              </w:rPr>
              <w:t>maks</w:t>
            </w:r>
            <w:proofErr w:type="spellEnd"/>
            <w:r w:rsidRPr="002C1660">
              <w:rPr>
                <w:rFonts w:ascii="Times New Roman" w:eastAsia="Calibri" w:hAnsi="Times New Roman" w:cs="Times New Roman"/>
                <w:bCs/>
                <w:color w:val="000000"/>
                <w:sz w:val="24"/>
                <w:szCs w:val="24"/>
              </w:rPr>
              <w:t>. skerspjūvis 6 cm2), mm (</w:t>
            </w:r>
            <w:proofErr w:type="spellStart"/>
            <w:r w:rsidRPr="002C1660">
              <w:rPr>
                <w:rFonts w:ascii="Times New Roman" w:eastAsia="Calibri" w:hAnsi="Times New Roman" w:cs="Times New Roman"/>
                <w:bCs/>
                <w:color w:val="000000"/>
                <w:sz w:val="24"/>
                <w:szCs w:val="24"/>
              </w:rPr>
              <w:t>maks</w:t>
            </w:r>
            <w:proofErr w:type="spellEnd"/>
            <w:r w:rsidRPr="002C1660">
              <w:rPr>
                <w:rFonts w:ascii="Times New Roman" w:eastAsia="Calibri" w:hAnsi="Times New Roman" w:cs="Times New Roman"/>
                <w:bCs/>
                <w:color w:val="000000"/>
                <w:sz w:val="24"/>
                <w:szCs w:val="24"/>
              </w:rPr>
              <w:t xml:space="preserve">. kiekis, %)7 </w:t>
            </w:r>
          </w:p>
        </w:tc>
        <w:tc>
          <w:tcPr>
            <w:tcW w:w="963" w:type="dxa"/>
            <w:vMerge w:val="restart"/>
          </w:tcPr>
          <w:p w14:paraId="45E4494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Didžiausias leidžiamas ilgis, mm (6 )</w:t>
            </w:r>
          </w:p>
        </w:tc>
        <w:tc>
          <w:tcPr>
            <w:tcW w:w="821" w:type="dxa"/>
            <w:vMerge/>
          </w:tcPr>
          <w:p w14:paraId="61DBFE49"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FB71A06"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3E6E3A69"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3D391928" w14:textId="77777777" w:rsidTr="006F669F">
        <w:trPr>
          <w:trHeight w:val="288"/>
          <w:jc w:val="center"/>
        </w:trPr>
        <w:tc>
          <w:tcPr>
            <w:tcW w:w="942" w:type="dxa"/>
            <w:vMerge/>
          </w:tcPr>
          <w:p w14:paraId="5ED0D78D"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0CEA3469" w14:textId="77777777" w:rsidR="00342ED5" w:rsidRPr="002C1660" w:rsidRDefault="00342ED5" w:rsidP="002C1660">
            <w:pPr>
              <w:jc w:val="both"/>
              <w:rPr>
                <w:rFonts w:ascii="Times New Roman" w:eastAsia="Calibri" w:hAnsi="Times New Roman" w:cs="Times New Roman"/>
                <w:sz w:val="24"/>
                <w:szCs w:val="24"/>
              </w:rPr>
            </w:pPr>
          </w:p>
        </w:tc>
        <w:tc>
          <w:tcPr>
            <w:tcW w:w="790" w:type="dxa"/>
          </w:tcPr>
          <w:p w14:paraId="0FE9611C"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Min.</w:t>
            </w:r>
          </w:p>
        </w:tc>
        <w:tc>
          <w:tcPr>
            <w:tcW w:w="789" w:type="dxa"/>
          </w:tcPr>
          <w:p w14:paraId="073F3529" w14:textId="77777777" w:rsidR="00342ED5" w:rsidRPr="002C1660" w:rsidRDefault="00342ED5" w:rsidP="002C1660">
            <w:pPr>
              <w:jc w:val="both"/>
              <w:rPr>
                <w:rFonts w:ascii="Times New Roman" w:eastAsia="Calibri" w:hAnsi="Times New Roman" w:cs="Times New Roman"/>
                <w:sz w:val="24"/>
                <w:szCs w:val="24"/>
              </w:rPr>
            </w:pPr>
            <w:proofErr w:type="spellStart"/>
            <w:r w:rsidRPr="002C1660">
              <w:rPr>
                <w:rFonts w:ascii="Times New Roman" w:eastAsia="Calibri" w:hAnsi="Times New Roman" w:cs="Times New Roman"/>
                <w:sz w:val="24"/>
                <w:szCs w:val="24"/>
              </w:rPr>
              <w:t>Max</w:t>
            </w:r>
            <w:proofErr w:type="spellEnd"/>
            <w:r w:rsidRPr="002C1660">
              <w:rPr>
                <w:rFonts w:ascii="Times New Roman" w:eastAsia="Calibri" w:hAnsi="Times New Roman" w:cs="Times New Roman"/>
                <w:sz w:val="24"/>
                <w:szCs w:val="24"/>
              </w:rPr>
              <w:t>.</w:t>
            </w:r>
          </w:p>
        </w:tc>
        <w:tc>
          <w:tcPr>
            <w:tcW w:w="1433" w:type="dxa"/>
            <w:vMerge/>
          </w:tcPr>
          <w:p w14:paraId="1EE70C09" w14:textId="77777777" w:rsidR="00342ED5" w:rsidRPr="002C1660" w:rsidRDefault="00342ED5" w:rsidP="002C1660">
            <w:pPr>
              <w:jc w:val="both"/>
              <w:rPr>
                <w:rFonts w:ascii="Times New Roman" w:eastAsia="Calibri" w:hAnsi="Times New Roman" w:cs="Times New Roman"/>
                <w:sz w:val="24"/>
                <w:szCs w:val="24"/>
              </w:rPr>
            </w:pPr>
          </w:p>
        </w:tc>
        <w:tc>
          <w:tcPr>
            <w:tcW w:w="901" w:type="dxa"/>
            <w:vMerge/>
          </w:tcPr>
          <w:p w14:paraId="20C57A35" w14:textId="77777777" w:rsidR="00342ED5" w:rsidRPr="002C1660" w:rsidRDefault="00342ED5" w:rsidP="002C1660">
            <w:pPr>
              <w:jc w:val="both"/>
              <w:rPr>
                <w:rFonts w:ascii="Times New Roman" w:eastAsia="Calibri" w:hAnsi="Times New Roman" w:cs="Times New Roman"/>
                <w:sz w:val="24"/>
                <w:szCs w:val="24"/>
              </w:rPr>
            </w:pPr>
          </w:p>
        </w:tc>
        <w:tc>
          <w:tcPr>
            <w:tcW w:w="910" w:type="dxa"/>
            <w:vMerge/>
          </w:tcPr>
          <w:p w14:paraId="52EDFAED" w14:textId="77777777" w:rsidR="00342ED5" w:rsidRPr="002C1660" w:rsidRDefault="00342ED5" w:rsidP="002C1660">
            <w:pPr>
              <w:jc w:val="both"/>
              <w:rPr>
                <w:rFonts w:ascii="Times New Roman" w:eastAsia="Calibri" w:hAnsi="Times New Roman" w:cs="Times New Roman"/>
                <w:sz w:val="24"/>
                <w:szCs w:val="24"/>
              </w:rPr>
            </w:pPr>
          </w:p>
        </w:tc>
        <w:tc>
          <w:tcPr>
            <w:tcW w:w="936" w:type="dxa"/>
            <w:vMerge/>
          </w:tcPr>
          <w:p w14:paraId="0EC02E5E"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7DBF7E92" w14:textId="77777777" w:rsidR="00342ED5" w:rsidRPr="002C1660" w:rsidRDefault="00342ED5" w:rsidP="002C1660">
            <w:pPr>
              <w:jc w:val="both"/>
              <w:rPr>
                <w:rFonts w:ascii="Times New Roman" w:eastAsia="Calibri" w:hAnsi="Times New Roman" w:cs="Times New Roman"/>
                <w:sz w:val="24"/>
                <w:szCs w:val="24"/>
              </w:rPr>
            </w:pPr>
          </w:p>
        </w:tc>
        <w:tc>
          <w:tcPr>
            <w:tcW w:w="821" w:type="dxa"/>
            <w:vMerge/>
          </w:tcPr>
          <w:p w14:paraId="3667B09C"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2EF1708"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695356E2"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2F2F9057" w14:textId="77777777" w:rsidTr="006F669F">
        <w:trPr>
          <w:jc w:val="center"/>
        </w:trPr>
        <w:tc>
          <w:tcPr>
            <w:tcW w:w="942" w:type="dxa"/>
          </w:tcPr>
          <w:p w14:paraId="5286F37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Medienos skiedra </w:t>
            </w:r>
          </w:p>
        </w:tc>
        <w:tc>
          <w:tcPr>
            <w:tcW w:w="798" w:type="dxa"/>
          </w:tcPr>
          <w:p w14:paraId="1E35FCB6"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SM2 </w:t>
            </w:r>
          </w:p>
        </w:tc>
        <w:tc>
          <w:tcPr>
            <w:tcW w:w="790" w:type="dxa"/>
          </w:tcPr>
          <w:p w14:paraId="182C909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35</w:t>
            </w:r>
          </w:p>
        </w:tc>
        <w:tc>
          <w:tcPr>
            <w:tcW w:w="789" w:type="dxa"/>
          </w:tcPr>
          <w:p w14:paraId="00B476E2"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55</w:t>
            </w:r>
          </w:p>
        </w:tc>
        <w:tc>
          <w:tcPr>
            <w:tcW w:w="1433" w:type="dxa"/>
          </w:tcPr>
          <w:p w14:paraId="26417726"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5</w:t>
            </w:r>
          </w:p>
        </w:tc>
        <w:tc>
          <w:tcPr>
            <w:tcW w:w="901" w:type="dxa"/>
          </w:tcPr>
          <w:p w14:paraId="3884A56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Iki 10 % masės </w:t>
            </w:r>
          </w:p>
        </w:tc>
        <w:tc>
          <w:tcPr>
            <w:tcW w:w="910" w:type="dxa"/>
          </w:tcPr>
          <w:p w14:paraId="53C93E89"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3,15 ≤ P ≤ 63 (min. 70 %) </w:t>
            </w:r>
          </w:p>
        </w:tc>
        <w:tc>
          <w:tcPr>
            <w:tcW w:w="936" w:type="dxa"/>
          </w:tcPr>
          <w:p w14:paraId="6A70EA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&gt; 100 (iki 10 % masės) </w:t>
            </w:r>
          </w:p>
        </w:tc>
        <w:tc>
          <w:tcPr>
            <w:tcW w:w="963" w:type="dxa"/>
          </w:tcPr>
          <w:p w14:paraId="08D0F9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&lt;1505 </w:t>
            </w:r>
          </w:p>
        </w:tc>
        <w:tc>
          <w:tcPr>
            <w:tcW w:w="821" w:type="dxa"/>
          </w:tcPr>
          <w:p w14:paraId="53F038C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&lt;0,2% </w:t>
            </w:r>
          </w:p>
        </w:tc>
        <w:tc>
          <w:tcPr>
            <w:tcW w:w="742" w:type="dxa"/>
          </w:tcPr>
          <w:p w14:paraId="41BDF85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1; 2; 3</w:t>
            </w:r>
          </w:p>
        </w:tc>
        <w:tc>
          <w:tcPr>
            <w:tcW w:w="963" w:type="dxa"/>
          </w:tcPr>
          <w:p w14:paraId="2FECEC3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Sausi lapai, sausi spygliai</w:t>
            </w:r>
          </w:p>
        </w:tc>
      </w:tr>
    </w:tbl>
    <w:p w14:paraId="4EC12B94"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63B19BA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SM2 kategorijos biokuras - padžiovinta malkinės medienos, atraižų gamybos metu</w:t>
      </w:r>
    </w:p>
    <w:p w14:paraId="2FADACDD"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 xml:space="preserve">susidariusi </w:t>
      </w:r>
      <w:proofErr w:type="spellStart"/>
      <w:r w:rsidRPr="002C1660">
        <w:rPr>
          <w:rFonts w:ascii="Times New Roman" w:eastAsia="Calibri" w:hAnsi="Times New Roman" w:cs="Times New Roman"/>
          <w:bCs/>
          <w:color w:val="000000"/>
          <w:sz w:val="24"/>
          <w:szCs w:val="24"/>
        </w:rPr>
        <w:t>smulkelė</w:t>
      </w:r>
      <w:proofErr w:type="spellEnd"/>
      <w:r w:rsidRPr="002C1660">
        <w:rPr>
          <w:rFonts w:ascii="Times New Roman" w:eastAsia="Calibri" w:hAnsi="Times New Roman" w:cs="Times New Roman"/>
          <w:bCs/>
          <w:color w:val="000000"/>
          <w:sz w:val="24"/>
          <w:szCs w:val="24"/>
        </w:rPr>
        <w:t xml:space="preserve"> (SM1), plius papildomai medienos pramonės įmonių atliekos. Sausų</w:t>
      </w:r>
    </w:p>
    <w:p w14:paraId="34CD678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 xml:space="preserve">spyglių, lapų kiekis ne daugiau 5 proc. papildomai prie </w:t>
      </w:r>
      <w:proofErr w:type="spellStart"/>
      <w:r w:rsidRPr="002C1660">
        <w:rPr>
          <w:rFonts w:ascii="Times New Roman" w:eastAsia="Calibri" w:hAnsi="Times New Roman" w:cs="Times New Roman"/>
          <w:bCs/>
          <w:color w:val="000000"/>
          <w:sz w:val="24"/>
          <w:szCs w:val="24"/>
        </w:rPr>
        <w:t>smulkelių</w:t>
      </w:r>
      <w:proofErr w:type="spellEnd"/>
      <w:r w:rsidRPr="002C1660">
        <w:rPr>
          <w:rFonts w:ascii="Times New Roman" w:eastAsia="Calibri" w:hAnsi="Times New Roman" w:cs="Times New Roman"/>
          <w:bCs/>
          <w:color w:val="000000"/>
          <w:sz w:val="24"/>
          <w:szCs w:val="24"/>
        </w:rPr>
        <w:t xml:space="preserve"> frakcijos.</w:t>
      </w:r>
    </w:p>
    <w:p w14:paraId="4709D706"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5F8ADC5E" w14:textId="66763CD6" w:rsidR="00342ED5" w:rsidRPr="002C1660" w:rsidRDefault="00342ED5" w:rsidP="002C1660">
      <w:pPr>
        <w:autoSpaceDE w:val="0"/>
        <w:autoSpaceDN w:val="0"/>
        <w:adjustRightInd w:val="0"/>
        <w:spacing w:after="0"/>
        <w:jc w:val="center"/>
        <w:rPr>
          <w:rFonts w:ascii="Times New Roman" w:eastAsia="Calibri" w:hAnsi="Times New Roman" w:cs="Times New Roman"/>
          <w:b/>
          <w:bCs/>
          <w:color w:val="000000"/>
          <w:sz w:val="24"/>
          <w:szCs w:val="24"/>
        </w:rPr>
      </w:pPr>
      <w:r w:rsidRPr="002C1660">
        <w:rPr>
          <w:rFonts w:ascii="Times New Roman" w:eastAsia="Calibri" w:hAnsi="Times New Roman" w:cs="Times New Roman"/>
          <w:b/>
          <w:bCs/>
          <w:color w:val="000000"/>
          <w:sz w:val="24"/>
          <w:szCs w:val="24"/>
        </w:rPr>
        <w:t>PAPILDOMOS PRIVALOMOS NUOSTATOS</w:t>
      </w:r>
    </w:p>
    <w:p w14:paraId="6D34DE28" w14:textId="77777777" w:rsidR="00342ED5" w:rsidRPr="002C1660" w:rsidRDefault="00342ED5" w:rsidP="002C1660">
      <w:pPr>
        <w:autoSpaceDE w:val="0"/>
        <w:autoSpaceDN w:val="0"/>
        <w:adjustRightInd w:val="0"/>
        <w:spacing w:after="0"/>
        <w:jc w:val="both"/>
        <w:rPr>
          <w:rFonts w:ascii="Times New Roman" w:eastAsia="Calibri" w:hAnsi="Times New Roman" w:cs="Times New Roman"/>
          <w:color w:val="000000"/>
          <w:sz w:val="24"/>
          <w:szCs w:val="24"/>
        </w:rPr>
      </w:pPr>
    </w:p>
    <w:p w14:paraId="203BA6D5"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1. Kilus ginčui dėl pristatyto biokuro atitikimo frakcijos dydžio reikalavimams, frakcijos pasiskirstymo tyrimas atliekamas sietų pagalba vadovaujantis LST EN ISO 17827-1 standarto reikalavimais. Pagrindinės frakcijos kiekis nustatomas pagal biokuro kiekį, kuris telpa pro 63 mm dydžio sietą. </w:t>
      </w:r>
      <w:proofErr w:type="spellStart"/>
      <w:r w:rsidRPr="002C1660">
        <w:rPr>
          <w:rFonts w:ascii="Times New Roman" w:eastAsia="Calibri" w:hAnsi="Times New Roman" w:cs="Times New Roman"/>
          <w:color w:val="000000"/>
          <w:sz w:val="24"/>
          <w:szCs w:val="24"/>
        </w:rPr>
        <w:t>Smulkelių</w:t>
      </w:r>
      <w:proofErr w:type="spellEnd"/>
      <w:r w:rsidRPr="002C1660">
        <w:rPr>
          <w:rFonts w:ascii="Times New Roman" w:eastAsia="Calibri" w:hAnsi="Times New Roman" w:cs="Times New Roman"/>
          <w:color w:val="000000"/>
          <w:sz w:val="24"/>
          <w:szCs w:val="24"/>
        </w:rPr>
        <w:t xml:space="preserve"> frakcijos kiekis nustatomas pagal biokuro kiekį, kuris telpa pro 3,15 mm dydžio sietą. </w:t>
      </w:r>
    </w:p>
    <w:p w14:paraId="2B7C0E6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2. SM2 produktų atveju, leidžiamas tik gamybos metu natūraliai susidarantis žievės ir pjuvenų kiekis (negalima į biokurą žievės ar pjuvenų maišyti papildomai). </w:t>
      </w:r>
    </w:p>
    <w:p w14:paraId="5142254B"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 Kilus ginčui, ar pateiktame biokure esantys lapai ir (ar) spygliai yra sausi, ginčas sprendžiamas atliekant chloro kiekio tyrimus laboratorijoje. </w:t>
      </w:r>
    </w:p>
    <w:p w14:paraId="719D82D6"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4. 10 (dešimtyje) litrų mėginio gali būti 2 vienetai medienos skiedros dalelių, kurių kiekvienos ilgis didesni nei didžiausias leidžiamas ilgis, jei tokios dalelės skerspjūvio plotas yra mažesnis nei 0,5 cm2. </w:t>
      </w:r>
    </w:p>
    <w:p w14:paraId="42B14EB8"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lastRenderedPageBreak/>
        <w:t xml:space="preserve">5. Kaip produktų žaliava nei vienam produktui negali būti naudojama chemiškai apdorota mediena. Chemiškai apdorota mediena, be viso kito, laikoma dažyta, lakuota, klijuota, impregnuota ir (ar) kitaip chemiškai apdorota mediena. </w:t>
      </w:r>
    </w:p>
    <w:p w14:paraId="2725AFC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6. Tuo atveju, jeigu sudaromas sandoris pagal nestandartinės prekybos sąlygą „Smulkioji frakcija“, taikomi tokie frakcijos dydžio reikalavimai:</w:t>
      </w:r>
    </w:p>
    <w:p w14:paraId="6BD625D5" w14:textId="77777777" w:rsidR="00342ED5" w:rsidRPr="002C1660" w:rsidRDefault="00342ED5" w:rsidP="002C1660">
      <w:pPr>
        <w:autoSpaceDE w:val="0"/>
        <w:autoSpaceDN w:val="0"/>
        <w:adjustRightInd w:val="0"/>
        <w:spacing w:after="0" w:line="276" w:lineRule="auto"/>
        <w:ind w:firstLine="1296"/>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a. Pagrindinė frakcija, mm: 3,15 ≤ P ≤ 16; </w:t>
      </w:r>
    </w:p>
    <w:p w14:paraId="11765ED5"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 Stambioji frakcija, mm: P &gt; 31,5; </w:t>
      </w:r>
    </w:p>
    <w:p w14:paraId="0520CE00"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c. Didžiausias leidžiamas ilgis, mm: 90; </w:t>
      </w:r>
    </w:p>
    <w:p w14:paraId="568B8774"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d. Kilus ginčui dėl pristatyto biokuro atitikimo frakcijos dydžio reikalavimams, frakcijos pasiskirstymo tyrimas atliekamas sietų pagalba vadovaujantis LST EN ISO 17827-1 standarto reikalavimais. Pagrindinės frakcijos kiekis nustatomas pagal biokuro kiekį, kuris telpa pro 31,5 mm dydžio sietą. </w:t>
      </w:r>
      <w:proofErr w:type="spellStart"/>
      <w:r w:rsidRPr="002C1660">
        <w:rPr>
          <w:rFonts w:ascii="Times New Roman" w:eastAsia="Calibri" w:hAnsi="Times New Roman" w:cs="Times New Roman"/>
          <w:sz w:val="24"/>
          <w:szCs w:val="24"/>
        </w:rPr>
        <w:t>Smulkelių</w:t>
      </w:r>
      <w:proofErr w:type="spellEnd"/>
      <w:r w:rsidRPr="002C1660">
        <w:rPr>
          <w:rFonts w:ascii="Times New Roman" w:eastAsia="Calibri" w:hAnsi="Times New Roman" w:cs="Times New Roman"/>
          <w:sz w:val="24"/>
          <w:szCs w:val="24"/>
        </w:rPr>
        <w:t xml:space="preserve"> frakcijos kiekis nustatomas pagal biokuro kiekį, kuris telpa pro 3,15 mm dydžio sietą; </w:t>
      </w:r>
    </w:p>
    <w:p w14:paraId="41D8427C"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e. Visi kiti specifikacijų reikalavimai taikomi tokie pat, kaip nustatyta pasirinkto produkto standartinėje specifikacijoje. </w:t>
      </w:r>
    </w:p>
    <w:p w14:paraId="207B649E"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7. </w:t>
      </w:r>
      <w:r w:rsidRPr="002C1660">
        <w:rPr>
          <w:rFonts w:ascii="Times New Roman" w:hAnsi="Times New Roman" w:cs="Times New Roman"/>
          <w:sz w:val="24"/>
          <w:szCs w:val="24"/>
        </w:rPr>
        <w:t xml:space="preserve">Perkančioji organizacija numato vieno ketvirčio preliminarų kiekį; 600 </w:t>
      </w:r>
      <w:proofErr w:type="spellStart"/>
      <w:r w:rsidRPr="002C1660">
        <w:rPr>
          <w:rFonts w:ascii="Times New Roman" w:hAnsi="Times New Roman" w:cs="Times New Roman"/>
          <w:sz w:val="24"/>
          <w:szCs w:val="24"/>
        </w:rPr>
        <w:t>erdm</w:t>
      </w:r>
      <w:proofErr w:type="spellEnd"/>
      <w:r w:rsidRPr="002C1660">
        <w:rPr>
          <w:rFonts w:ascii="Times New Roman" w:hAnsi="Times New Roman" w:cs="Times New Roman"/>
          <w:sz w:val="24"/>
          <w:szCs w:val="24"/>
        </w:rPr>
        <w:t>.</w:t>
      </w:r>
    </w:p>
    <w:p w14:paraId="38CFC582"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 xml:space="preserve">8. Perkančiosios organizacijos pastatuose yra numatyta saugojimo vieta, kurioje numatyta galimybė talpinti ne daugiau kaip 400 </w:t>
      </w:r>
      <w:proofErr w:type="spellStart"/>
      <w:r w:rsidRPr="002C1660">
        <w:rPr>
          <w:rFonts w:ascii="Times New Roman" w:hAnsi="Times New Roman" w:cs="Times New Roman"/>
          <w:sz w:val="24"/>
          <w:szCs w:val="24"/>
        </w:rPr>
        <w:t>erdm</w:t>
      </w:r>
      <w:proofErr w:type="spellEnd"/>
      <w:r w:rsidRPr="002C1660">
        <w:rPr>
          <w:rFonts w:ascii="Times New Roman" w:hAnsi="Times New Roman" w:cs="Times New Roman"/>
          <w:sz w:val="24"/>
          <w:szCs w:val="24"/>
        </w:rPr>
        <w:t>.</w:t>
      </w:r>
    </w:p>
    <w:p w14:paraId="15D8EA57"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9. Prekių pristatymo sąlygos derinamos su laimėjusiu tiekėju, tačiau yra numatyta galimybė pristatymui ir po Perkančiosios organizacijos darbo valandų.</w:t>
      </w:r>
    </w:p>
    <w:p w14:paraId="3DA2C47A"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p>
    <w:p w14:paraId="4C404715" w14:textId="2AC76F24" w:rsidR="00342ED5" w:rsidRPr="00342ED5" w:rsidRDefault="00342ED5" w:rsidP="002C1660">
      <w:pPr>
        <w:spacing w:after="0"/>
        <w:jc w:val="center"/>
        <w:rPr>
          <w:rFonts w:ascii="Times New Roman" w:hAnsi="Times New Roman" w:cs="Times New Roman"/>
          <w:sz w:val="24"/>
          <w:szCs w:val="24"/>
        </w:rPr>
      </w:pPr>
      <w:r w:rsidRPr="00342ED5">
        <w:rPr>
          <w:rFonts w:ascii="Times New Roman" w:hAnsi="Times New Roman" w:cs="Times New Roman"/>
          <w:b/>
          <w:bCs/>
          <w:sz w:val="24"/>
          <w:szCs w:val="24"/>
        </w:rPr>
        <w:t>PRISTATYMAS IR KOKYBĖ</w:t>
      </w:r>
    </w:p>
    <w:p w14:paraId="58F3C872" w14:textId="11158E6F"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1. Pardavėjas savo transportu ir lėšomis privalo pristatyti biokurą į Pirkėjo katilinę, adresu </w:t>
      </w:r>
      <w:r w:rsidRPr="002C1660">
        <w:rPr>
          <w:rFonts w:ascii="Times New Roman" w:hAnsi="Times New Roman" w:cs="Times New Roman"/>
          <w:sz w:val="24"/>
          <w:szCs w:val="24"/>
        </w:rPr>
        <w:t xml:space="preserve">Čekiškės g. 128, Vilkija, Kauno r. LT54223 </w:t>
      </w:r>
      <w:r w:rsidRPr="00342ED5">
        <w:rPr>
          <w:rFonts w:ascii="Times New Roman" w:hAnsi="Times New Roman" w:cs="Times New Roman"/>
          <w:sz w:val="24"/>
          <w:szCs w:val="24"/>
        </w:rPr>
        <w:t>kuro priėmimo aikštelę darbo dienomis nuo 8:00 iki 17:00</w:t>
      </w:r>
      <w:r w:rsidRPr="002C1660">
        <w:rPr>
          <w:rFonts w:ascii="Times New Roman" w:hAnsi="Times New Roman" w:cs="Times New Roman"/>
          <w:sz w:val="24"/>
          <w:szCs w:val="24"/>
        </w:rPr>
        <w:t xml:space="preserve"> </w:t>
      </w:r>
      <w:r w:rsidRPr="00342ED5">
        <w:rPr>
          <w:rFonts w:ascii="Times New Roman" w:hAnsi="Times New Roman" w:cs="Times New Roman"/>
          <w:sz w:val="24"/>
          <w:szCs w:val="24"/>
        </w:rPr>
        <w:t xml:space="preserve">val. Priėmimas kitu laiku gali būti sprendžiamas papildomu Šalių susitarimu. Kuro priėmime privalo dalyvauti abiejų Šalių atstovai. </w:t>
      </w:r>
    </w:p>
    <w:p w14:paraId="1B5D92C3" w14:textId="0305E6EF"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2. Tikrinama kiekviena biokurą pristačiusi transporto priemonė. Vairuotojui pakėlus tentą ar atidarius viršutinį dangtį, abiejų Šalių atsakingi darbuotojai kartu patikrina kiekvieną kurą pristačiusią transporto priemonę, vizualiai nustato ar atvežtame kure nėra neleistinų priemaišų: metalo, betono, žemės, ledo gabalų, akmenų, smėlio ar kitų priemaišų, galinčių pakenkti degimo procesui bei katilinės mechanizmams, taip pat patikrina ar kuro frakcijos dydžiai ir kitos charakteristikos atitinka nustatytus biokuro techninius reikalavimus, išskyrus drėgmę, </w:t>
      </w:r>
      <w:proofErr w:type="spellStart"/>
      <w:r w:rsidRPr="00342ED5">
        <w:rPr>
          <w:rFonts w:ascii="Times New Roman" w:hAnsi="Times New Roman" w:cs="Times New Roman"/>
          <w:sz w:val="24"/>
          <w:szCs w:val="24"/>
        </w:rPr>
        <w:t>šilumingumą</w:t>
      </w:r>
      <w:proofErr w:type="spellEnd"/>
      <w:r w:rsidRPr="00342ED5">
        <w:rPr>
          <w:rFonts w:ascii="Times New Roman" w:hAnsi="Times New Roman" w:cs="Times New Roman"/>
          <w:sz w:val="24"/>
          <w:szCs w:val="24"/>
        </w:rPr>
        <w:t xml:space="preserve"> ir </w:t>
      </w:r>
      <w:proofErr w:type="spellStart"/>
      <w:r w:rsidRPr="00342ED5">
        <w:rPr>
          <w:rFonts w:ascii="Times New Roman" w:hAnsi="Times New Roman" w:cs="Times New Roman"/>
          <w:sz w:val="24"/>
          <w:szCs w:val="24"/>
        </w:rPr>
        <w:t>peleningumą</w:t>
      </w:r>
      <w:proofErr w:type="spellEnd"/>
      <w:r w:rsidRPr="00342ED5">
        <w:rPr>
          <w:rFonts w:ascii="Times New Roman" w:hAnsi="Times New Roman" w:cs="Times New Roman"/>
          <w:sz w:val="24"/>
          <w:szCs w:val="24"/>
        </w:rPr>
        <w:t xml:space="preserve">. </w:t>
      </w:r>
    </w:p>
    <w:p w14:paraId="6FD3F20B"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3. Jeigu gauto kuro charakteristikos neatitinka Sutartyje numatytų, tokios transporto priemonės iškrauti neleidžiama. Tokiu atveju kviečiami Pardavėjo ir Pirkėjo atstovai, surašomas Kuro kokybės neatitikties aktas. Nustatytų kokybės reikalavimų neatitinkantį kurą Pardavėjas išveža savo lėšomis. </w:t>
      </w:r>
    </w:p>
    <w:p w14:paraId="30F97A78" w14:textId="5D7515DD"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4. Biokuro priėmimas vykdomas matuojant kiekvieną transporto priemonę Pirkėjo katilinėje, esančioje adresu </w:t>
      </w:r>
      <w:r w:rsidRPr="002C1660">
        <w:rPr>
          <w:rFonts w:ascii="Times New Roman" w:hAnsi="Times New Roman" w:cs="Times New Roman"/>
          <w:color w:val="000000" w:themeColor="text1"/>
          <w:sz w:val="24"/>
          <w:szCs w:val="24"/>
        </w:rPr>
        <w:t xml:space="preserve">Čekiškės g. 128, Vilkija, Kauno r. LT54223 </w:t>
      </w:r>
      <w:r w:rsidRPr="00342ED5">
        <w:rPr>
          <w:rFonts w:ascii="Times New Roman" w:hAnsi="Times New Roman" w:cs="Times New Roman"/>
          <w:sz w:val="24"/>
          <w:szCs w:val="24"/>
        </w:rPr>
        <w:t xml:space="preserve">Vairuotojas privalo turėti atvežto biokuro važtaraštį. Priimdamas biokurą, Pirkėjo atstovas išrašo Kuro priėmimo aktą (2 egz.), po vieną Pirkėjui ir Pardavėjui. </w:t>
      </w:r>
    </w:p>
    <w:p w14:paraId="3288577F" w14:textId="3FFF87E1"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5. Pirkėjas užtikrina, kad kuro iškrovimo vieta būtų paruošta kuro iškrovimui. Pirkėjas įsipareigoja užtikrinti laisvą privažiavimą prie kuro iškrovimo vietos. 2 </w:t>
      </w:r>
    </w:p>
    <w:p w14:paraId="339173B0" w14:textId="490C875F" w:rsidR="00342ED5" w:rsidRPr="00342ED5" w:rsidRDefault="002C1660" w:rsidP="002C1660">
      <w:pPr>
        <w:spacing w:after="0"/>
        <w:jc w:val="both"/>
        <w:rPr>
          <w:rFonts w:ascii="Times New Roman" w:hAnsi="Times New Roman" w:cs="Times New Roman"/>
          <w:sz w:val="24"/>
          <w:szCs w:val="24"/>
        </w:rPr>
      </w:pPr>
      <w:r w:rsidRPr="002C1660">
        <w:rPr>
          <w:rFonts w:ascii="Times New Roman" w:hAnsi="Times New Roman" w:cs="Times New Roman"/>
          <w:sz w:val="24"/>
          <w:szCs w:val="24"/>
        </w:rPr>
        <w:t>6</w:t>
      </w:r>
      <w:r w:rsidR="00342ED5" w:rsidRPr="00342ED5">
        <w:rPr>
          <w:rFonts w:ascii="Times New Roman" w:hAnsi="Times New Roman" w:cs="Times New Roman"/>
          <w:sz w:val="24"/>
          <w:szCs w:val="24"/>
        </w:rPr>
        <w:t xml:space="preserve">. Sutarties nustatytų reikalavimų neatitinkantį kurą Pardavėjas išveža savo lėšomis. </w:t>
      </w:r>
    </w:p>
    <w:p w14:paraId="6E0FE487"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7. Pardavėjo ir Pirkėjo atstovai, pasirašydami Kuro priėmimo aktą, patvirtina atitinkamos kuro partijos gavimo faktą. Nuo Kuro priėmimo akto pasirašymo momento, pristatytas kuras laikomas Pirkėjo nuosavybe. </w:t>
      </w:r>
    </w:p>
    <w:p w14:paraId="72BEF4B8"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lastRenderedPageBreak/>
        <w:t xml:space="preserve">8. Biokuro operatyvinę apskaitą vykdo abi Šalys, vadovaujantis Lietuvos Respublikos teisės aktais. </w:t>
      </w:r>
    </w:p>
    <w:p w14:paraId="19BE7AFE" w14:textId="765F411B" w:rsidR="00342ED5" w:rsidRPr="00342ED5" w:rsidRDefault="002C1660" w:rsidP="002C1660">
      <w:pPr>
        <w:spacing w:after="0"/>
        <w:jc w:val="both"/>
        <w:rPr>
          <w:rFonts w:ascii="Times New Roman" w:hAnsi="Times New Roman" w:cs="Times New Roman"/>
          <w:sz w:val="24"/>
          <w:szCs w:val="24"/>
        </w:rPr>
      </w:pPr>
      <w:r>
        <w:rPr>
          <w:rFonts w:ascii="Times New Roman" w:hAnsi="Times New Roman" w:cs="Times New Roman"/>
          <w:sz w:val="24"/>
          <w:szCs w:val="24"/>
        </w:rPr>
        <w:t>9</w:t>
      </w:r>
      <w:r w:rsidR="00342ED5" w:rsidRPr="00342ED5">
        <w:rPr>
          <w:rFonts w:ascii="Times New Roman" w:hAnsi="Times New Roman" w:cs="Times New Roman"/>
          <w:sz w:val="24"/>
          <w:szCs w:val="24"/>
        </w:rPr>
        <w:t xml:space="preserve">. Biokuro tiekimo klausimų derinimui paskiriami atsakingi Šalių atstovai </w:t>
      </w:r>
    </w:p>
    <w:p w14:paraId="3A496FC9" w14:textId="77777777" w:rsidR="002C1660" w:rsidRDefault="002C1660" w:rsidP="002C1660">
      <w:pPr>
        <w:spacing w:after="0"/>
        <w:jc w:val="center"/>
        <w:rPr>
          <w:rFonts w:ascii="Times New Roman" w:hAnsi="Times New Roman" w:cs="Times New Roman"/>
          <w:b/>
          <w:bCs/>
          <w:sz w:val="24"/>
          <w:szCs w:val="24"/>
        </w:rPr>
      </w:pPr>
    </w:p>
    <w:p w14:paraId="2B062122" w14:textId="0481203E" w:rsidR="00957FB9" w:rsidRPr="00957FB9" w:rsidRDefault="00957FB9" w:rsidP="00957FB9">
      <w:pPr>
        <w:spacing w:after="0"/>
        <w:jc w:val="center"/>
        <w:rPr>
          <w:rFonts w:ascii="Times New Roman" w:hAnsi="Times New Roman" w:cs="Times New Roman"/>
          <w:sz w:val="24"/>
          <w:szCs w:val="24"/>
        </w:rPr>
      </w:pPr>
      <w:r w:rsidRPr="00957FB9">
        <w:rPr>
          <w:rFonts w:ascii="Times New Roman" w:hAnsi="Times New Roman" w:cs="Times New Roman"/>
          <w:b/>
          <w:bCs/>
          <w:sz w:val="24"/>
          <w:szCs w:val="24"/>
        </w:rPr>
        <w:t>APLINKOS APSAUGOS KRITERIJAI</w:t>
      </w:r>
    </w:p>
    <w:p w14:paraId="2531ECDF"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957FB9">
        <w:rPr>
          <w:rFonts w:ascii="Times New Roman" w:hAnsi="Times New Roman" w:cs="Times New Roman"/>
          <w:b/>
          <w:bCs/>
          <w:sz w:val="24"/>
          <w:szCs w:val="24"/>
        </w:rPr>
        <w:t>Tvarkos aprašas</w:t>
      </w:r>
      <w:r w:rsidRPr="00957FB9">
        <w:rPr>
          <w:rFonts w:ascii="Times New Roman" w:hAnsi="Times New Roman" w:cs="Times New Roman"/>
          <w:sz w:val="24"/>
          <w:szCs w:val="24"/>
        </w:rPr>
        <w:t xml:space="preserve">): </w:t>
      </w:r>
    </w:p>
    <w:p w14:paraId="0758E07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4.1. punkte („produktų sąrašas“); </w:t>
      </w:r>
    </w:p>
    <w:p w14:paraId="77A8B4B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4.2. punkte („I tipo ekologinis ženklas“); </w:t>
      </w:r>
    </w:p>
    <w:p w14:paraId="1E2A794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4.3. punkte („LST EN ISO 14001“); </w:t>
      </w:r>
    </w:p>
    <w:p w14:paraId="5E7B385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4.4.1. punkte („orientacinis sąrašas“); </w:t>
      </w:r>
    </w:p>
    <w:p w14:paraId="382D272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4.4.2. punkte („inovacija“); </w:t>
      </w:r>
    </w:p>
    <w:p w14:paraId="37435922"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4.4.3. punkte („nematerialaus pobūdžio paslauga“); </w:t>
      </w:r>
    </w:p>
    <w:p w14:paraId="2DBF4B03"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4.4.4.1. punkte („1 principas“); </w:t>
      </w:r>
    </w:p>
    <w:p w14:paraId="1EAD8DE1"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4.4.4.2. punkte („2 principas“); </w:t>
      </w:r>
    </w:p>
    <w:p w14:paraId="0328B7C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4.4.4.3. punkte („3 principas“); </w:t>
      </w:r>
    </w:p>
    <w:p w14:paraId="4C1EE1E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4.4.4.4. punkte („4 principas“); </w:t>
      </w:r>
    </w:p>
    <w:p w14:paraId="57CD0C8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4.4.4.5. punkte („5 principas“). </w:t>
      </w:r>
    </w:p>
    <w:p w14:paraId="70664499"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Aplinkos apsaugos kriterijai nustatyti šioje Pirkimo dokumentų dalyje: </w:t>
      </w:r>
    </w:p>
    <w:p w14:paraId="1E628C35"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Techninėje specifikacijoje </w:t>
      </w:r>
    </w:p>
    <w:p w14:paraId="45A99303"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Tiekėjų kvalifikacijos reikalavimuose </w:t>
      </w:r>
    </w:p>
    <w:p w14:paraId="1579B80E"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Kituose reikalavimuose tiekėjams (pvz. ISO, EMAS standartai) </w:t>
      </w:r>
    </w:p>
    <w:p w14:paraId="79969C0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 Tiekėjų kvalifikacinės atrankos kriterijuose </w:t>
      </w:r>
    </w:p>
    <w:p w14:paraId="21EC48BB"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5. Pasiūlymų vertinimo kriterijuose </w:t>
      </w:r>
    </w:p>
    <w:p w14:paraId="00AEEA68"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6. Sutarties vykdymo sąlygose </w:t>
      </w:r>
    </w:p>
    <w:p w14:paraId="51633B4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Perkančioji organizacija vadovaudamasi Tvarkos aprašo 4.4.4.1 punktu nustato aplinkos apsaugos kriterijus: </w:t>
      </w:r>
    </w:p>
    <w:p w14:paraId="02D861DA" w14:textId="66E6B032" w:rsidR="00D02A13" w:rsidRPr="002C1660"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3.1. Prekei tiekti sunaudojama mažiau gamtos išteklių, </w:t>
      </w:r>
      <w:proofErr w:type="spellStart"/>
      <w:r w:rsidRPr="00957FB9">
        <w:rPr>
          <w:rFonts w:ascii="Times New Roman" w:hAnsi="Times New Roman" w:cs="Times New Roman"/>
          <w:sz w:val="24"/>
          <w:szCs w:val="24"/>
        </w:rPr>
        <w:t>t.y</w:t>
      </w:r>
      <w:proofErr w:type="spellEnd"/>
      <w:r w:rsidRPr="00957FB9">
        <w:rPr>
          <w:rFonts w:ascii="Times New Roman" w:hAnsi="Times New Roman" w:cs="Times New Roman"/>
          <w:sz w:val="24"/>
          <w:szCs w:val="24"/>
        </w:rPr>
        <w:t>. viešojo pirkimo sutartyje yra numatoma sąlyga, kad viešojo pirkimo sutartis ir priėmimo-perdavimo aktas yra sudaromi elektroniniu būdu, o tai reiškia, kad nespausdinant šių dokumentų yra naudojama mažiau gamtos išteklių.</w:t>
      </w:r>
    </w:p>
    <w:sectPr w:rsidR="00D02A13" w:rsidRPr="002C16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D9FA5"/>
    <w:multiLevelType w:val="hybridMultilevel"/>
    <w:tmpl w:val="0B2B46A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C1793"/>
    <w:multiLevelType w:val="hybridMultilevel"/>
    <w:tmpl w:val="AF8AEC36"/>
    <w:lvl w:ilvl="0" w:tplc="D8FA81B6">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875A5"/>
    <w:multiLevelType w:val="multilevel"/>
    <w:tmpl w:val="058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35783"/>
    <w:multiLevelType w:val="hybridMultilevel"/>
    <w:tmpl w:val="8CAC3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3FA84293"/>
    <w:multiLevelType w:val="hybridMultilevel"/>
    <w:tmpl w:val="67C0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076F08"/>
    <w:multiLevelType w:val="multilevel"/>
    <w:tmpl w:val="A85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num w:numId="1" w16cid:durableId="1365982720">
    <w:abstractNumId w:val="8"/>
  </w:num>
  <w:num w:numId="2" w16cid:durableId="378864219">
    <w:abstractNumId w:val="10"/>
  </w:num>
  <w:num w:numId="3" w16cid:durableId="2070416701">
    <w:abstractNumId w:val="2"/>
  </w:num>
  <w:num w:numId="4" w16cid:durableId="1595240828">
    <w:abstractNumId w:val="1"/>
  </w:num>
  <w:num w:numId="5" w16cid:durableId="312489243">
    <w:abstractNumId w:val="6"/>
  </w:num>
  <w:num w:numId="6" w16cid:durableId="113213370">
    <w:abstractNumId w:val="11"/>
  </w:num>
  <w:num w:numId="7" w16cid:durableId="629092342">
    <w:abstractNumId w:val="4"/>
  </w:num>
  <w:num w:numId="8" w16cid:durableId="1351370255">
    <w:abstractNumId w:val="9"/>
  </w:num>
  <w:num w:numId="9" w16cid:durableId="1395931706">
    <w:abstractNumId w:val="3"/>
  </w:num>
  <w:num w:numId="10" w16cid:durableId="679550268">
    <w:abstractNumId w:val="7"/>
  </w:num>
  <w:num w:numId="11" w16cid:durableId="1322731170">
    <w:abstractNumId w:val="12"/>
  </w:num>
  <w:num w:numId="12" w16cid:durableId="1124038536">
    <w:abstractNumId w:val="0"/>
  </w:num>
  <w:num w:numId="13" w16cid:durableId="98526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D"/>
    <w:rsid w:val="00062E1C"/>
    <w:rsid w:val="000B527B"/>
    <w:rsid w:val="0019417E"/>
    <w:rsid w:val="00197702"/>
    <w:rsid w:val="00207B55"/>
    <w:rsid w:val="002C1660"/>
    <w:rsid w:val="002E1801"/>
    <w:rsid w:val="00342ED5"/>
    <w:rsid w:val="003C68EB"/>
    <w:rsid w:val="003D62C9"/>
    <w:rsid w:val="003E4A35"/>
    <w:rsid w:val="00471A3C"/>
    <w:rsid w:val="004A6B7C"/>
    <w:rsid w:val="00535590"/>
    <w:rsid w:val="005F3230"/>
    <w:rsid w:val="007118A3"/>
    <w:rsid w:val="00792F4B"/>
    <w:rsid w:val="007979A0"/>
    <w:rsid w:val="007B2CBA"/>
    <w:rsid w:val="007B5AED"/>
    <w:rsid w:val="007E4E93"/>
    <w:rsid w:val="00821D0A"/>
    <w:rsid w:val="008314B3"/>
    <w:rsid w:val="00873CF4"/>
    <w:rsid w:val="008F255A"/>
    <w:rsid w:val="00957FB9"/>
    <w:rsid w:val="00980639"/>
    <w:rsid w:val="00A3155F"/>
    <w:rsid w:val="00A470CB"/>
    <w:rsid w:val="00A856CF"/>
    <w:rsid w:val="00A91A58"/>
    <w:rsid w:val="00AA5E11"/>
    <w:rsid w:val="00AF3E6E"/>
    <w:rsid w:val="00BE15CF"/>
    <w:rsid w:val="00CB7D27"/>
    <w:rsid w:val="00D02A13"/>
    <w:rsid w:val="00E829C6"/>
    <w:rsid w:val="00E832BF"/>
    <w:rsid w:val="00FB010B"/>
    <w:rsid w:val="00FB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2E1"/>
  <w15:chartTrackingRefBased/>
  <w15:docId w15:val="{2C77460D-BE59-43FD-BCE2-E3CA3B2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AED"/>
    <w:rPr>
      <w:i/>
      <w:iCs/>
      <w:color w:val="404040" w:themeColor="text1" w:themeTint="BF"/>
    </w:rPr>
  </w:style>
  <w:style w:type="paragraph" w:styleId="Sraopastraipa">
    <w:name w:val="List Paragraph"/>
    <w:basedOn w:val="prastasis"/>
    <w:uiPriority w:val="34"/>
    <w:qFormat/>
    <w:rsid w:val="007B5AED"/>
    <w:pPr>
      <w:ind w:left="720"/>
      <w:contextualSpacing/>
    </w:pPr>
  </w:style>
  <w:style w:type="character" w:styleId="Rykuspabraukimas">
    <w:name w:val="Intense Emphasis"/>
    <w:basedOn w:val="Numatytasispastraiposriftas"/>
    <w:uiPriority w:val="21"/>
    <w:qFormat/>
    <w:rsid w:val="007B5AED"/>
    <w:rPr>
      <w:i/>
      <w:iCs/>
      <w:color w:val="0F4761" w:themeColor="accent1" w:themeShade="BF"/>
    </w:rPr>
  </w:style>
  <w:style w:type="paragraph" w:styleId="Iskirtacitata">
    <w:name w:val="Intense Quote"/>
    <w:basedOn w:val="prastasis"/>
    <w:next w:val="prastasis"/>
    <w:link w:val="IskirtacitataDiagrama"/>
    <w:uiPriority w:val="30"/>
    <w:qFormat/>
    <w:rsid w:val="007B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AED"/>
    <w:rPr>
      <w:i/>
      <w:iCs/>
      <w:color w:val="0F4761" w:themeColor="accent1" w:themeShade="BF"/>
    </w:rPr>
  </w:style>
  <w:style w:type="character" w:styleId="Rykinuoroda">
    <w:name w:val="Intense Reference"/>
    <w:basedOn w:val="Numatytasispastraiposriftas"/>
    <w:uiPriority w:val="32"/>
    <w:qFormat/>
    <w:rsid w:val="007B5AED"/>
    <w:rPr>
      <w:b/>
      <w:bCs/>
      <w:smallCaps/>
      <w:color w:val="0F4761" w:themeColor="accent1" w:themeShade="BF"/>
      <w:spacing w:val="5"/>
    </w:rPr>
  </w:style>
  <w:style w:type="table" w:styleId="Lentelstinklelis">
    <w:name w:val="Table Grid"/>
    <w:basedOn w:val="prastojilentel"/>
    <w:uiPriority w:val="39"/>
    <w:rsid w:val="00D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2F4B"/>
    <w:rPr>
      <w:color w:val="0563C1"/>
      <w:u w:val="single"/>
    </w:rPr>
  </w:style>
  <w:style w:type="character" w:customStyle="1" w:styleId="normaltextrun">
    <w:name w:val="normaltextrun"/>
    <w:basedOn w:val="Numatytasispastraiposriftas"/>
    <w:rsid w:val="00AF3E6E"/>
  </w:style>
  <w:style w:type="character" w:customStyle="1" w:styleId="eop">
    <w:name w:val="eop"/>
    <w:basedOn w:val="Numatytasispastraiposriftas"/>
    <w:rsid w:val="00AF3E6E"/>
  </w:style>
  <w:style w:type="paragraph" w:customStyle="1" w:styleId="paragraph">
    <w:name w:val="paragraph"/>
    <w:basedOn w:val="prastasis"/>
    <w:rsid w:val="00873C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A91A58"/>
    <w:pPr>
      <w:spacing w:after="0" w:line="240" w:lineRule="auto"/>
    </w:pPr>
  </w:style>
  <w:style w:type="table" w:customStyle="1" w:styleId="Lentelstinklelis4">
    <w:name w:val="Lentelės tinklelis4"/>
    <w:basedOn w:val="prastojilentel"/>
    <w:next w:val="Lentelstinklelis"/>
    <w:rsid w:val="00342E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34">
      <w:bodyDiv w:val="1"/>
      <w:marLeft w:val="0"/>
      <w:marRight w:val="0"/>
      <w:marTop w:val="0"/>
      <w:marBottom w:val="0"/>
      <w:divBdr>
        <w:top w:val="none" w:sz="0" w:space="0" w:color="auto"/>
        <w:left w:val="none" w:sz="0" w:space="0" w:color="auto"/>
        <w:bottom w:val="none" w:sz="0" w:space="0" w:color="auto"/>
        <w:right w:val="none" w:sz="0" w:space="0" w:color="auto"/>
      </w:divBdr>
      <w:divsChild>
        <w:div w:id="2032143168">
          <w:marLeft w:val="0"/>
          <w:marRight w:val="0"/>
          <w:marTop w:val="0"/>
          <w:marBottom w:val="0"/>
          <w:divBdr>
            <w:top w:val="none" w:sz="0" w:space="0" w:color="auto"/>
            <w:left w:val="none" w:sz="0" w:space="0" w:color="auto"/>
            <w:bottom w:val="none" w:sz="0" w:space="0" w:color="auto"/>
            <w:right w:val="none" w:sz="0" w:space="0" w:color="auto"/>
          </w:divBdr>
        </w:div>
        <w:div w:id="844788579">
          <w:marLeft w:val="0"/>
          <w:marRight w:val="0"/>
          <w:marTop w:val="0"/>
          <w:marBottom w:val="0"/>
          <w:divBdr>
            <w:top w:val="none" w:sz="0" w:space="0" w:color="auto"/>
            <w:left w:val="none" w:sz="0" w:space="0" w:color="auto"/>
            <w:bottom w:val="none" w:sz="0" w:space="0" w:color="auto"/>
            <w:right w:val="none" w:sz="0" w:space="0" w:color="auto"/>
          </w:divBdr>
        </w:div>
        <w:div w:id="1317371179">
          <w:marLeft w:val="0"/>
          <w:marRight w:val="0"/>
          <w:marTop w:val="0"/>
          <w:marBottom w:val="0"/>
          <w:divBdr>
            <w:top w:val="none" w:sz="0" w:space="0" w:color="auto"/>
            <w:left w:val="none" w:sz="0" w:space="0" w:color="auto"/>
            <w:bottom w:val="none" w:sz="0" w:space="0" w:color="auto"/>
            <w:right w:val="none" w:sz="0" w:space="0" w:color="auto"/>
          </w:divBdr>
        </w:div>
        <w:div w:id="2014916829">
          <w:marLeft w:val="0"/>
          <w:marRight w:val="0"/>
          <w:marTop w:val="0"/>
          <w:marBottom w:val="0"/>
          <w:divBdr>
            <w:top w:val="none" w:sz="0" w:space="0" w:color="auto"/>
            <w:left w:val="none" w:sz="0" w:space="0" w:color="auto"/>
            <w:bottom w:val="none" w:sz="0" w:space="0" w:color="auto"/>
            <w:right w:val="none" w:sz="0" w:space="0" w:color="auto"/>
          </w:divBdr>
        </w:div>
        <w:div w:id="901018636">
          <w:marLeft w:val="0"/>
          <w:marRight w:val="0"/>
          <w:marTop w:val="0"/>
          <w:marBottom w:val="0"/>
          <w:divBdr>
            <w:top w:val="none" w:sz="0" w:space="0" w:color="auto"/>
            <w:left w:val="none" w:sz="0" w:space="0" w:color="auto"/>
            <w:bottom w:val="none" w:sz="0" w:space="0" w:color="auto"/>
            <w:right w:val="none" w:sz="0" w:space="0" w:color="auto"/>
          </w:divBdr>
        </w:div>
        <w:div w:id="664208760">
          <w:marLeft w:val="0"/>
          <w:marRight w:val="0"/>
          <w:marTop w:val="0"/>
          <w:marBottom w:val="0"/>
          <w:divBdr>
            <w:top w:val="none" w:sz="0" w:space="0" w:color="auto"/>
            <w:left w:val="none" w:sz="0" w:space="0" w:color="auto"/>
            <w:bottom w:val="none" w:sz="0" w:space="0" w:color="auto"/>
            <w:right w:val="none" w:sz="0" w:space="0" w:color="auto"/>
          </w:divBdr>
        </w:div>
        <w:div w:id="1518693357">
          <w:marLeft w:val="0"/>
          <w:marRight w:val="0"/>
          <w:marTop w:val="0"/>
          <w:marBottom w:val="0"/>
          <w:divBdr>
            <w:top w:val="none" w:sz="0" w:space="0" w:color="auto"/>
            <w:left w:val="none" w:sz="0" w:space="0" w:color="auto"/>
            <w:bottom w:val="none" w:sz="0" w:space="0" w:color="auto"/>
            <w:right w:val="none" w:sz="0" w:space="0" w:color="auto"/>
          </w:divBdr>
        </w:div>
      </w:divsChild>
    </w:div>
    <w:div w:id="38846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38413">
          <w:marLeft w:val="0"/>
          <w:marRight w:val="0"/>
          <w:marTop w:val="0"/>
          <w:marBottom w:val="0"/>
          <w:divBdr>
            <w:top w:val="none" w:sz="0" w:space="0" w:color="auto"/>
            <w:left w:val="none" w:sz="0" w:space="0" w:color="auto"/>
            <w:bottom w:val="none" w:sz="0" w:space="0" w:color="auto"/>
            <w:right w:val="none" w:sz="0" w:space="0" w:color="auto"/>
          </w:divBdr>
        </w:div>
        <w:div w:id="1122769758">
          <w:marLeft w:val="0"/>
          <w:marRight w:val="0"/>
          <w:marTop w:val="0"/>
          <w:marBottom w:val="0"/>
          <w:divBdr>
            <w:top w:val="none" w:sz="0" w:space="0" w:color="auto"/>
            <w:left w:val="none" w:sz="0" w:space="0" w:color="auto"/>
            <w:bottom w:val="none" w:sz="0" w:space="0" w:color="auto"/>
            <w:right w:val="none" w:sz="0" w:space="0" w:color="auto"/>
          </w:divBdr>
        </w:div>
        <w:div w:id="1995449980">
          <w:marLeft w:val="0"/>
          <w:marRight w:val="0"/>
          <w:marTop w:val="0"/>
          <w:marBottom w:val="0"/>
          <w:divBdr>
            <w:top w:val="none" w:sz="0" w:space="0" w:color="auto"/>
            <w:left w:val="none" w:sz="0" w:space="0" w:color="auto"/>
            <w:bottom w:val="none" w:sz="0" w:space="0" w:color="auto"/>
            <w:right w:val="none" w:sz="0" w:space="0" w:color="auto"/>
          </w:divBdr>
        </w:div>
        <w:div w:id="2039696873">
          <w:marLeft w:val="0"/>
          <w:marRight w:val="0"/>
          <w:marTop w:val="0"/>
          <w:marBottom w:val="0"/>
          <w:divBdr>
            <w:top w:val="none" w:sz="0" w:space="0" w:color="auto"/>
            <w:left w:val="none" w:sz="0" w:space="0" w:color="auto"/>
            <w:bottom w:val="none" w:sz="0" w:space="0" w:color="auto"/>
            <w:right w:val="none" w:sz="0" w:space="0" w:color="auto"/>
          </w:divBdr>
        </w:div>
        <w:div w:id="2038923175">
          <w:marLeft w:val="0"/>
          <w:marRight w:val="0"/>
          <w:marTop w:val="0"/>
          <w:marBottom w:val="0"/>
          <w:divBdr>
            <w:top w:val="none" w:sz="0" w:space="0" w:color="auto"/>
            <w:left w:val="none" w:sz="0" w:space="0" w:color="auto"/>
            <w:bottom w:val="none" w:sz="0" w:space="0" w:color="auto"/>
            <w:right w:val="none" w:sz="0" w:space="0" w:color="auto"/>
          </w:divBdr>
        </w:div>
        <w:div w:id="1307318873">
          <w:marLeft w:val="0"/>
          <w:marRight w:val="0"/>
          <w:marTop w:val="0"/>
          <w:marBottom w:val="0"/>
          <w:divBdr>
            <w:top w:val="none" w:sz="0" w:space="0" w:color="auto"/>
            <w:left w:val="none" w:sz="0" w:space="0" w:color="auto"/>
            <w:bottom w:val="none" w:sz="0" w:space="0" w:color="auto"/>
            <w:right w:val="none" w:sz="0" w:space="0" w:color="auto"/>
          </w:divBdr>
        </w:div>
        <w:div w:id="1244686450">
          <w:marLeft w:val="0"/>
          <w:marRight w:val="0"/>
          <w:marTop w:val="0"/>
          <w:marBottom w:val="0"/>
          <w:divBdr>
            <w:top w:val="none" w:sz="0" w:space="0" w:color="auto"/>
            <w:left w:val="none" w:sz="0" w:space="0" w:color="auto"/>
            <w:bottom w:val="none" w:sz="0" w:space="0" w:color="auto"/>
            <w:right w:val="none" w:sz="0" w:space="0" w:color="auto"/>
          </w:divBdr>
        </w:div>
      </w:divsChild>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sChild>
        <w:div w:id="627735274">
          <w:marLeft w:val="0"/>
          <w:marRight w:val="0"/>
          <w:marTop w:val="0"/>
          <w:marBottom w:val="0"/>
          <w:divBdr>
            <w:top w:val="none" w:sz="0" w:space="0" w:color="auto"/>
            <w:left w:val="none" w:sz="0" w:space="0" w:color="auto"/>
            <w:bottom w:val="none" w:sz="0" w:space="0" w:color="auto"/>
            <w:right w:val="none" w:sz="0" w:space="0" w:color="auto"/>
          </w:divBdr>
          <w:divsChild>
            <w:div w:id="545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043">
      <w:bodyDiv w:val="1"/>
      <w:marLeft w:val="0"/>
      <w:marRight w:val="0"/>
      <w:marTop w:val="0"/>
      <w:marBottom w:val="0"/>
      <w:divBdr>
        <w:top w:val="none" w:sz="0" w:space="0" w:color="auto"/>
        <w:left w:val="none" w:sz="0" w:space="0" w:color="auto"/>
        <w:bottom w:val="none" w:sz="0" w:space="0" w:color="auto"/>
        <w:right w:val="none" w:sz="0" w:space="0" w:color="auto"/>
      </w:divBdr>
      <w:divsChild>
        <w:div w:id="1438521709">
          <w:marLeft w:val="0"/>
          <w:marRight w:val="0"/>
          <w:marTop w:val="0"/>
          <w:marBottom w:val="0"/>
          <w:divBdr>
            <w:top w:val="none" w:sz="0" w:space="0" w:color="auto"/>
            <w:left w:val="none" w:sz="0" w:space="0" w:color="auto"/>
            <w:bottom w:val="none" w:sz="0" w:space="0" w:color="auto"/>
            <w:right w:val="none" w:sz="0" w:space="0" w:color="auto"/>
          </w:divBdr>
          <w:divsChild>
            <w:div w:id="1686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642">
      <w:bodyDiv w:val="1"/>
      <w:marLeft w:val="0"/>
      <w:marRight w:val="0"/>
      <w:marTop w:val="0"/>
      <w:marBottom w:val="0"/>
      <w:divBdr>
        <w:top w:val="none" w:sz="0" w:space="0" w:color="auto"/>
        <w:left w:val="none" w:sz="0" w:space="0" w:color="auto"/>
        <w:bottom w:val="none" w:sz="0" w:space="0" w:color="auto"/>
        <w:right w:val="none" w:sz="0" w:space="0" w:color="auto"/>
      </w:divBdr>
      <w:divsChild>
        <w:div w:id="592667666">
          <w:marLeft w:val="0"/>
          <w:marRight w:val="0"/>
          <w:marTop w:val="0"/>
          <w:marBottom w:val="0"/>
          <w:divBdr>
            <w:top w:val="none" w:sz="0" w:space="0" w:color="auto"/>
            <w:left w:val="none" w:sz="0" w:space="0" w:color="auto"/>
            <w:bottom w:val="none" w:sz="0" w:space="0" w:color="auto"/>
            <w:right w:val="none" w:sz="0" w:space="0" w:color="auto"/>
          </w:divBdr>
          <w:divsChild>
            <w:div w:id="800803095">
              <w:marLeft w:val="0"/>
              <w:marRight w:val="0"/>
              <w:marTop w:val="0"/>
              <w:marBottom w:val="0"/>
              <w:divBdr>
                <w:top w:val="none" w:sz="0" w:space="0" w:color="auto"/>
                <w:left w:val="none" w:sz="0" w:space="0" w:color="auto"/>
                <w:bottom w:val="none" w:sz="0" w:space="0" w:color="auto"/>
                <w:right w:val="none" w:sz="0" w:space="0" w:color="auto"/>
              </w:divBdr>
            </w:div>
            <w:div w:id="4918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8626">
      <w:bodyDiv w:val="1"/>
      <w:marLeft w:val="0"/>
      <w:marRight w:val="0"/>
      <w:marTop w:val="0"/>
      <w:marBottom w:val="0"/>
      <w:divBdr>
        <w:top w:val="none" w:sz="0" w:space="0" w:color="auto"/>
        <w:left w:val="none" w:sz="0" w:space="0" w:color="auto"/>
        <w:bottom w:val="none" w:sz="0" w:space="0" w:color="auto"/>
        <w:right w:val="none" w:sz="0" w:space="0" w:color="auto"/>
      </w:divBdr>
      <w:divsChild>
        <w:div w:id="1148671438">
          <w:marLeft w:val="0"/>
          <w:marRight w:val="0"/>
          <w:marTop w:val="0"/>
          <w:marBottom w:val="0"/>
          <w:divBdr>
            <w:top w:val="none" w:sz="0" w:space="0" w:color="auto"/>
            <w:left w:val="none" w:sz="0" w:space="0" w:color="auto"/>
            <w:bottom w:val="none" w:sz="0" w:space="0" w:color="auto"/>
            <w:right w:val="none" w:sz="0" w:space="0" w:color="auto"/>
          </w:divBdr>
          <w:divsChild>
            <w:div w:id="1109350088">
              <w:marLeft w:val="0"/>
              <w:marRight w:val="0"/>
              <w:marTop w:val="0"/>
              <w:marBottom w:val="0"/>
              <w:divBdr>
                <w:top w:val="none" w:sz="0" w:space="0" w:color="auto"/>
                <w:left w:val="none" w:sz="0" w:space="0" w:color="auto"/>
                <w:bottom w:val="none" w:sz="0" w:space="0" w:color="auto"/>
                <w:right w:val="none" w:sz="0" w:space="0" w:color="auto"/>
              </w:divBdr>
            </w:div>
            <w:div w:id="2109957174">
              <w:marLeft w:val="0"/>
              <w:marRight w:val="0"/>
              <w:marTop w:val="0"/>
              <w:marBottom w:val="0"/>
              <w:divBdr>
                <w:top w:val="none" w:sz="0" w:space="0" w:color="auto"/>
                <w:left w:val="none" w:sz="0" w:space="0" w:color="auto"/>
                <w:bottom w:val="none" w:sz="0" w:space="0" w:color="auto"/>
                <w:right w:val="none" w:sz="0" w:space="0" w:color="auto"/>
              </w:divBdr>
            </w:div>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6aa7e-273d-4995-85d6-b517a0ee73b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237</TotalTime>
  <Pages>3</Pages>
  <Words>4540</Words>
  <Characters>2588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Dambrauskienė</cp:lastModifiedBy>
  <cp:revision>7</cp:revision>
  <dcterms:created xsi:type="dcterms:W3CDTF">2024-07-18T13:56:00Z</dcterms:created>
  <dcterms:modified xsi:type="dcterms:W3CDTF">2025-06-19T12:17:00Z</dcterms:modified>
</cp:coreProperties>
</file>