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Konkurso sąlygų 1 priedo t</w:t>
      </w:r>
      <w:r w:rsidR="0001261A">
        <w:rPr>
          <w:rFonts w:ascii="Times New Roman" w:hAnsi="Times New Roman" w:cs="Times New Roman"/>
          <w:sz w:val="24"/>
          <w:szCs w:val="24"/>
        </w:rPr>
        <w:t>ęsinys</w:t>
      </w:r>
    </w:p>
    <w:p w:rsidR="00313D16" w:rsidRPr="007D39B9" w:rsidRDefault="00313D16" w:rsidP="00C35085">
      <w:pPr>
        <w:jc w:val="center"/>
        <w:rPr>
          <w:rFonts w:ascii="Times New Roman" w:hAnsi="Times New Roman" w:cs="Times New Roman"/>
          <w:sz w:val="28"/>
          <w:szCs w:val="28"/>
        </w:rPr>
      </w:pPr>
      <w:r w:rsidRPr="007D39B9">
        <w:rPr>
          <w:rFonts w:ascii="Times New Roman" w:hAnsi="Times New Roman" w:cs="Times New Roman"/>
          <w:sz w:val="28"/>
          <w:szCs w:val="28"/>
        </w:rPr>
        <w:t>ŽINIARAŠTIS</w:t>
      </w:r>
      <w:r w:rsidR="00C35085" w:rsidRPr="007D39B9">
        <w:rPr>
          <w:rFonts w:ascii="Times New Roman" w:hAnsi="Times New Roman" w:cs="Times New Roman"/>
          <w:sz w:val="28"/>
          <w:szCs w:val="28"/>
        </w:rPr>
        <w:t xml:space="preserve"> </w:t>
      </w:r>
      <w:r w:rsidR="00C35085" w:rsidRPr="007D39B9">
        <w:rPr>
          <w:rFonts w:ascii="Times New Roman" w:hAnsi="Times New Roman" w:cs="Times New Roman"/>
          <w:b/>
          <w:sz w:val="28"/>
          <w:szCs w:val="28"/>
        </w:rPr>
        <w:t>(Veiklų sąrašas)</w:t>
      </w:r>
    </w:p>
    <w:tbl>
      <w:tblPr>
        <w:tblStyle w:val="Lentelstinklelis"/>
        <w:tblW w:w="22590" w:type="dxa"/>
        <w:tblInd w:w="175" w:type="dxa"/>
        <w:tblLayout w:type="fixed"/>
        <w:tblLook w:val="04A0" w:firstRow="1" w:lastRow="0" w:firstColumn="1" w:lastColumn="0" w:noHBand="0" w:noVBand="1"/>
      </w:tblPr>
      <w:tblGrid>
        <w:gridCol w:w="805"/>
        <w:gridCol w:w="5372"/>
        <w:gridCol w:w="645"/>
        <w:gridCol w:w="630"/>
        <w:gridCol w:w="630"/>
        <w:gridCol w:w="630"/>
        <w:gridCol w:w="630"/>
        <w:gridCol w:w="630"/>
        <w:gridCol w:w="630"/>
        <w:gridCol w:w="630"/>
        <w:gridCol w:w="630"/>
        <w:gridCol w:w="630"/>
        <w:gridCol w:w="630"/>
        <w:gridCol w:w="648"/>
        <w:gridCol w:w="630"/>
        <w:gridCol w:w="630"/>
        <w:gridCol w:w="630"/>
        <w:gridCol w:w="630"/>
        <w:gridCol w:w="630"/>
        <w:gridCol w:w="630"/>
        <w:gridCol w:w="630"/>
        <w:gridCol w:w="630"/>
        <w:gridCol w:w="630"/>
        <w:gridCol w:w="630"/>
        <w:gridCol w:w="630"/>
        <w:gridCol w:w="630"/>
        <w:gridCol w:w="1260"/>
      </w:tblGrid>
      <w:tr w:rsidR="004D0323" w:rsidRPr="00C35085" w:rsidTr="00436F27">
        <w:trPr>
          <w:tblHeader/>
        </w:trPr>
        <w:tc>
          <w:tcPr>
            <w:tcW w:w="805" w:type="dxa"/>
            <w:shd w:val="clear" w:color="auto" w:fill="E7E6E6" w:themeFill="background2"/>
            <w:vAlign w:val="center"/>
          </w:tcPr>
          <w:p w:rsidR="004D0323" w:rsidRPr="00C35085" w:rsidRDefault="004D0323"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5372" w:type="dxa"/>
            <w:shd w:val="clear" w:color="auto" w:fill="E7E6E6" w:themeFill="background2"/>
            <w:vAlign w:val="center"/>
          </w:tcPr>
          <w:p w:rsidR="004D0323" w:rsidRPr="00C35085" w:rsidRDefault="004D0323"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15153" w:type="dxa"/>
            <w:gridSpan w:val="24"/>
            <w:shd w:val="clear" w:color="auto" w:fill="E7E6E6" w:themeFill="background2"/>
            <w:vAlign w:val="center"/>
          </w:tcPr>
          <w:p w:rsidR="004D0323" w:rsidRDefault="004D0323" w:rsidP="00311ACE">
            <w:pPr>
              <w:jc w:val="center"/>
              <w:rPr>
                <w:rFonts w:ascii="Times New Roman" w:hAnsi="Times New Roman" w:cs="Times New Roman"/>
                <w:sz w:val="24"/>
                <w:szCs w:val="24"/>
              </w:rPr>
            </w:pPr>
            <w:r w:rsidRPr="00C35085">
              <w:rPr>
                <w:rFonts w:ascii="Times New Roman" w:hAnsi="Times New Roman" w:cs="Times New Roman"/>
                <w:sz w:val="24"/>
                <w:szCs w:val="24"/>
              </w:rPr>
              <w:t xml:space="preserve">Darbų grupės kainos išskaidymas pagal Rangovo planuojamą </w:t>
            </w:r>
          </w:p>
          <w:p w:rsidR="004D0323" w:rsidRPr="00C35085" w:rsidRDefault="004D0323"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1260" w:type="dxa"/>
            <w:shd w:val="clear" w:color="auto" w:fill="E7E6E6" w:themeFill="background2"/>
            <w:vAlign w:val="center"/>
          </w:tcPr>
          <w:p w:rsidR="004D0323" w:rsidRPr="00C35085" w:rsidRDefault="004D0323"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436F27" w:rsidRPr="00C35085" w:rsidTr="00436F27">
        <w:trPr>
          <w:cantSplit/>
          <w:trHeight w:val="513"/>
          <w:tblHeader/>
        </w:trPr>
        <w:tc>
          <w:tcPr>
            <w:tcW w:w="6177" w:type="dxa"/>
            <w:gridSpan w:val="2"/>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p>
        </w:tc>
        <w:tc>
          <w:tcPr>
            <w:tcW w:w="645"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63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648"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12</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13</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14</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15</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16</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17</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18</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19</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20</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21</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22</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23</w:t>
            </w:r>
          </w:p>
        </w:tc>
        <w:tc>
          <w:tcPr>
            <w:tcW w:w="630" w:type="dxa"/>
            <w:shd w:val="clear" w:color="auto" w:fill="E7E6E6" w:themeFill="background2"/>
            <w:vAlign w:val="center"/>
          </w:tcPr>
          <w:p w:rsidR="00436F27" w:rsidRPr="00885D5A" w:rsidRDefault="00436F27" w:rsidP="00BB3AE7">
            <w:pPr>
              <w:jc w:val="center"/>
              <w:rPr>
                <w:rFonts w:ascii="Times New Roman" w:hAnsi="Times New Roman" w:cs="Times New Roman"/>
                <w:sz w:val="24"/>
                <w:szCs w:val="24"/>
              </w:rPr>
            </w:pPr>
            <w:r>
              <w:rPr>
                <w:rFonts w:ascii="Times New Roman" w:hAnsi="Times New Roman" w:cs="Times New Roman"/>
                <w:sz w:val="24"/>
                <w:szCs w:val="24"/>
              </w:rPr>
              <w:t>24</w:t>
            </w:r>
          </w:p>
        </w:tc>
        <w:tc>
          <w:tcPr>
            <w:tcW w:w="1260" w:type="dxa"/>
            <w:shd w:val="clear" w:color="auto" w:fill="E7E6E6" w:themeFill="background2"/>
            <w:vAlign w:val="center"/>
          </w:tcPr>
          <w:p w:rsidR="00436F27" w:rsidRPr="00885D5A" w:rsidRDefault="00436F27" w:rsidP="00885D5A">
            <w:pPr>
              <w:jc w:val="cente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b/>
                <w:sz w:val="24"/>
                <w:szCs w:val="24"/>
              </w:rPr>
            </w:pPr>
            <w:r>
              <w:rPr>
                <w:rFonts w:ascii="Times New Roman" w:hAnsi="Times New Roman" w:cs="Times New Roman"/>
                <w:b/>
                <w:sz w:val="24"/>
                <w:szCs w:val="24"/>
              </w:rPr>
              <w:t>1</w:t>
            </w:r>
            <w:r w:rsidRPr="00C54E76">
              <w:rPr>
                <w:rFonts w:ascii="Times New Roman" w:hAnsi="Times New Roman" w:cs="Times New Roman"/>
                <w:b/>
                <w:sz w:val="24"/>
                <w:szCs w:val="24"/>
              </w:rPr>
              <w:t>.</w:t>
            </w:r>
          </w:p>
        </w:tc>
        <w:tc>
          <w:tcPr>
            <w:tcW w:w="5372" w:type="dxa"/>
          </w:tcPr>
          <w:p w:rsidR="00436F27" w:rsidRPr="003B1966" w:rsidRDefault="00436F27" w:rsidP="00C54E76">
            <w:pPr>
              <w:jc w:val="both"/>
              <w:rPr>
                <w:rFonts w:ascii="Times New Roman" w:hAnsi="Times New Roman" w:cs="Times New Roman"/>
                <w:b/>
                <w:sz w:val="24"/>
                <w:szCs w:val="24"/>
              </w:rPr>
            </w:pPr>
            <w:r w:rsidRPr="003B1966">
              <w:rPr>
                <w:rFonts w:ascii="Times New Roman" w:hAnsi="Times New Roman" w:cs="Times New Roman"/>
                <w:b/>
                <w:sz w:val="24"/>
                <w:szCs w:val="24"/>
              </w:rPr>
              <w:t>Statybos darbai (pagal projekto dalis)</w:t>
            </w:r>
            <w:r>
              <w:rPr>
                <w:rFonts w:ascii="Times New Roman" w:hAnsi="Times New Roman" w:cs="Times New Roman"/>
                <w:b/>
                <w:sz w:val="24"/>
                <w:szCs w:val="24"/>
              </w:rPr>
              <w:t xml:space="preserve"> </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.1.</w:t>
            </w:r>
          </w:p>
        </w:tc>
        <w:tc>
          <w:tcPr>
            <w:tcW w:w="5372" w:type="dxa"/>
          </w:tcPr>
          <w:p w:rsidR="00436F27" w:rsidRPr="00947223" w:rsidRDefault="00436F27" w:rsidP="00E8606C">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 xml:space="preserve">Sklypo (plano) sutvarkymo </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.2.</w:t>
            </w:r>
          </w:p>
        </w:tc>
        <w:tc>
          <w:tcPr>
            <w:tcW w:w="5372" w:type="dxa"/>
          </w:tcPr>
          <w:p w:rsidR="00436F27" w:rsidRPr="003D7223" w:rsidRDefault="00436F27" w:rsidP="00E8606C">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Architektūrinė</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.3.</w:t>
            </w:r>
          </w:p>
        </w:tc>
        <w:tc>
          <w:tcPr>
            <w:tcW w:w="5372" w:type="dxa"/>
          </w:tcPr>
          <w:p w:rsidR="00436F27" w:rsidRDefault="00436F27" w:rsidP="00E860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Konstrukcinė</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sz w:val="24"/>
                <w:szCs w:val="24"/>
              </w:rPr>
            </w:pPr>
            <w:r>
              <w:rPr>
                <w:rFonts w:ascii="Times New Roman" w:hAnsi="Times New Roman" w:cs="Times New Roman"/>
                <w:sz w:val="24"/>
                <w:szCs w:val="24"/>
              </w:rPr>
              <w:t>1.4.</w:t>
            </w:r>
          </w:p>
        </w:tc>
        <w:tc>
          <w:tcPr>
            <w:tcW w:w="5372" w:type="dxa"/>
          </w:tcPr>
          <w:p w:rsidR="00436F27" w:rsidRPr="003D7223" w:rsidRDefault="00436F27" w:rsidP="000D3661">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Šilumos gamybos ir tiekimo</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5A2496">
            <w:pPr>
              <w:rPr>
                <w:rFonts w:ascii="Times New Roman" w:hAnsi="Times New Roman" w:cs="Times New Roman"/>
                <w:sz w:val="24"/>
                <w:szCs w:val="24"/>
              </w:rPr>
            </w:pPr>
            <w:r>
              <w:rPr>
                <w:rFonts w:ascii="Times New Roman" w:hAnsi="Times New Roman" w:cs="Times New Roman"/>
                <w:sz w:val="24"/>
                <w:szCs w:val="24"/>
              </w:rPr>
              <w:t>1.5.</w:t>
            </w:r>
          </w:p>
        </w:tc>
        <w:tc>
          <w:tcPr>
            <w:tcW w:w="5372" w:type="dxa"/>
          </w:tcPr>
          <w:p w:rsidR="00436F27" w:rsidRPr="00384FDC" w:rsidRDefault="00436F27" w:rsidP="00E860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Šildymas, vėdinimas ir oro kondicionavimas</w:t>
            </w:r>
          </w:p>
        </w:tc>
        <w:tc>
          <w:tcPr>
            <w:tcW w:w="645"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48"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630" w:type="dxa"/>
          </w:tcPr>
          <w:p w:rsidR="00436F27" w:rsidRPr="00C35085" w:rsidRDefault="00436F27">
            <w:pPr>
              <w:rPr>
                <w:rFonts w:ascii="Times New Roman" w:hAnsi="Times New Roman" w:cs="Times New Roman"/>
                <w:sz w:val="24"/>
                <w:szCs w:val="24"/>
              </w:rPr>
            </w:pPr>
          </w:p>
        </w:tc>
        <w:tc>
          <w:tcPr>
            <w:tcW w:w="1260" w:type="dxa"/>
          </w:tcPr>
          <w:p w:rsidR="00436F27" w:rsidRPr="00C35085" w:rsidRDefault="00436F27">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7D39B9">
            <w:pPr>
              <w:rPr>
                <w:rFonts w:ascii="Times New Roman" w:hAnsi="Times New Roman" w:cs="Times New Roman"/>
                <w:sz w:val="24"/>
                <w:szCs w:val="24"/>
              </w:rPr>
            </w:pPr>
            <w:r>
              <w:rPr>
                <w:rFonts w:ascii="Times New Roman" w:hAnsi="Times New Roman" w:cs="Times New Roman"/>
                <w:sz w:val="24"/>
                <w:szCs w:val="24"/>
              </w:rPr>
              <w:t>1.6.</w:t>
            </w:r>
          </w:p>
        </w:tc>
        <w:tc>
          <w:tcPr>
            <w:tcW w:w="5372" w:type="dxa"/>
          </w:tcPr>
          <w:p w:rsidR="00436F27" w:rsidRDefault="00436F27" w:rsidP="000D36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Vandentiekio ir nuotekų šalinimas</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7D39B9">
            <w:pPr>
              <w:rPr>
                <w:rFonts w:ascii="Times New Roman" w:hAnsi="Times New Roman" w:cs="Times New Roman"/>
                <w:sz w:val="24"/>
                <w:szCs w:val="24"/>
              </w:rPr>
            </w:pPr>
            <w:r>
              <w:rPr>
                <w:rFonts w:ascii="Times New Roman" w:hAnsi="Times New Roman" w:cs="Times New Roman"/>
                <w:sz w:val="24"/>
                <w:szCs w:val="24"/>
              </w:rPr>
              <w:t>1.7.</w:t>
            </w:r>
          </w:p>
        </w:tc>
        <w:tc>
          <w:tcPr>
            <w:tcW w:w="5372" w:type="dxa"/>
          </w:tcPr>
          <w:p w:rsidR="00436F27" w:rsidRDefault="00436F27" w:rsidP="000D3661">
            <w:pPr>
              <w:autoSpaceDE w:val="0"/>
              <w:autoSpaceDN w:val="0"/>
              <w:adjustRightInd w:val="0"/>
              <w:jc w:val="both"/>
              <w:rPr>
                <w:rFonts w:ascii="Times New Roman" w:hAnsi="Times New Roman" w:cs="Times New Roman"/>
                <w:sz w:val="24"/>
                <w:szCs w:val="24"/>
              </w:rPr>
            </w:pPr>
            <w:r w:rsidRPr="00384FDC">
              <w:rPr>
                <w:rFonts w:ascii="Times New Roman" w:hAnsi="Times New Roman" w:cs="Times New Roman"/>
                <w:sz w:val="24"/>
                <w:szCs w:val="24"/>
              </w:rPr>
              <w:t>Elektrotechni</w:t>
            </w:r>
            <w:r>
              <w:rPr>
                <w:rFonts w:ascii="Times New Roman" w:hAnsi="Times New Roman" w:cs="Times New Roman"/>
                <w:sz w:val="24"/>
                <w:szCs w:val="24"/>
              </w:rPr>
              <w:t>kos</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7D39B9">
            <w:pPr>
              <w:rPr>
                <w:rFonts w:ascii="Times New Roman" w:hAnsi="Times New Roman" w:cs="Times New Roman"/>
                <w:sz w:val="24"/>
                <w:szCs w:val="24"/>
              </w:rPr>
            </w:pPr>
            <w:r>
              <w:rPr>
                <w:rFonts w:ascii="Times New Roman" w:hAnsi="Times New Roman" w:cs="Times New Roman"/>
                <w:sz w:val="24"/>
                <w:szCs w:val="24"/>
              </w:rPr>
              <w:t>1.8.</w:t>
            </w:r>
          </w:p>
        </w:tc>
        <w:tc>
          <w:tcPr>
            <w:tcW w:w="5372" w:type="dxa"/>
          </w:tcPr>
          <w:p w:rsidR="00436F27" w:rsidRPr="00384FDC" w:rsidRDefault="00436F27" w:rsidP="00E860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Elektroninių ryšių</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7D39B9">
            <w:pPr>
              <w:rPr>
                <w:rFonts w:ascii="Times New Roman" w:hAnsi="Times New Roman" w:cs="Times New Roman"/>
                <w:sz w:val="24"/>
                <w:szCs w:val="24"/>
              </w:rPr>
            </w:pPr>
            <w:r>
              <w:rPr>
                <w:rFonts w:ascii="Times New Roman" w:hAnsi="Times New Roman" w:cs="Times New Roman"/>
                <w:sz w:val="24"/>
                <w:szCs w:val="24"/>
              </w:rPr>
              <w:t>1.9.</w:t>
            </w:r>
          </w:p>
        </w:tc>
        <w:tc>
          <w:tcPr>
            <w:tcW w:w="5372" w:type="dxa"/>
          </w:tcPr>
          <w:p w:rsidR="00436F27" w:rsidRPr="00384FDC" w:rsidRDefault="00436F27" w:rsidP="007D39B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Apsauginė signalizacija</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7D39B9">
            <w:pPr>
              <w:rPr>
                <w:rFonts w:ascii="Times New Roman" w:hAnsi="Times New Roman" w:cs="Times New Roman"/>
                <w:sz w:val="24"/>
                <w:szCs w:val="24"/>
              </w:rPr>
            </w:pPr>
            <w:r>
              <w:rPr>
                <w:rFonts w:ascii="Times New Roman" w:hAnsi="Times New Roman" w:cs="Times New Roman"/>
                <w:sz w:val="24"/>
                <w:szCs w:val="24"/>
              </w:rPr>
              <w:t>1.10.</w:t>
            </w:r>
          </w:p>
        </w:tc>
        <w:tc>
          <w:tcPr>
            <w:tcW w:w="5372" w:type="dxa"/>
          </w:tcPr>
          <w:p w:rsidR="00436F27" w:rsidRPr="00384FDC" w:rsidRDefault="00436F27" w:rsidP="00E8606C">
            <w:pPr>
              <w:autoSpaceDE w:val="0"/>
              <w:autoSpaceDN w:val="0"/>
              <w:adjustRightInd w:val="0"/>
              <w:jc w:val="both"/>
              <w:rPr>
                <w:rFonts w:ascii="Times New Roman" w:hAnsi="Times New Roman" w:cs="Times New Roman"/>
                <w:sz w:val="24"/>
                <w:szCs w:val="24"/>
              </w:rPr>
            </w:pPr>
            <w:r w:rsidRPr="00BB3AE7">
              <w:rPr>
                <w:rFonts w:ascii="Times New Roman" w:hAnsi="Times New Roman" w:cs="Times New Roman"/>
                <w:sz w:val="24"/>
                <w:szCs w:val="24"/>
              </w:rPr>
              <w:t>Gaisr</w:t>
            </w:r>
            <w:r>
              <w:rPr>
                <w:rFonts w:ascii="Times New Roman" w:hAnsi="Times New Roman" w:cs="Times New Roman"/>
                <w:sz w:val="24"/>
                <w:szCs w:val="24"/>
              </w:rPr>
              <w:t>inės</w:t>
            </w:r>
            <w:r w:rsidRPr="00BB3AE7">
              <w:rPr>
                <w:rFonts w:ascii="Times New Roman" w:hAnsi="Times New Roman" w:cs="Times New Roman"/>
                <w:sz w:val="24"/>
                <w:szCs w:val="24"/>
              </w:rPr>
              <w:t xml:space="preserve"> signaliza</w:t>
            </w:r>
            <w:r>
              <w:rPr>
                <w:rFonts w:ascii="Times New Roman" w:hAnsi="Times New Roman" w:cs="Times New Roman"/>
                <w:sz w:val="24"/>
                <w:szCs w:val="24"/>
              </w:rPr>
              <w:t>cijos</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7D39B9">
            <w:pPr>
              <w:rPr>
                <w:rFonts w:ascii="Times New Roman" w:hAnsi="Times New Roman" w:cs="Times New Roman"/>
                <w:b/>
                <w:bCs/>
                <w:sz w:val="24"/>
                <w:szCs w:val="24"/>
              </w:rPr>
            </w:pPr>
            <w:r>
              <w:rPr>
                <w:rFonts w:ascii="Times New Roman" w:hAnsi="Times New Roman" w:cs="Times New Roman"/>
                <w:b/>
                <w:bCs/>
                <w:sz w:val="24"/>
                <w:szCs w:val="24"/>
              </w:rPr>
              <w:t>2</w:t>
            </w:r>
            <w:r w:rsidRPr="00C54E76">
              <w:rPr>
                <w:rFonts w:ascii="Times New Roman" w:hAnsi="Times New Roman" w:cs="Times New Roman"/>
                <w:b/>
                <w:bCs/>
                <w:sz w:val="24"/>
                <w:szCs w:val="24"/>
              </w:rPr>
              <w:t>.</w:t>
            </w:r>
          </w:p>
        </w:tc>
        <w:tc>
          <w:tcPr>
            <w:tcW w:w="5372" w:type="dxa"/>
          </w:tcPr>
          <w:p w:rsidR="00436F27" w:rsidRDefault="00436F27" w:rsidP="00E8606C">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r>
              <w:rPr>
                <w:rFonts w:ascii="Times New Roman" w:hAnsi="Times New Roman" w:cs="Times New Roman"/>
                <w:sz w:val="24"/>
                <w:szCs w:val="24"/>
              </w:rPr>
              <w:t xml:space="preserve"> </w:t>
            </w:r>
          </w:p>
        </w:tc>
        <w:tc>
          <w:tcPr>
            <w:tcW w:w="645"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48"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630" w:type="dxa"/>
          </w:tcPr>
          <w:p w:rsidR="00436F27" w:rsidRPr="00C35085" w:rsidRDefault="00436F27" w:rsidP="007D39B9">
            <w:pPr>
              <w:rPr>
                <w:rFonts w:ascii="Times New Roman" w:hAnsi="Times New Roman" w:cs="Times New Roman"/>
                <w:sz w:val="24"/>
                <w:szCs w:val="24"/>
              </w:rPr>
            </w:pPr>
          </w:p>
        </w:tc>
        <w:tc>
          <w:tcPr>
            <w:tcW w:w="1260" w:type="dxa"/>
          </w:tcPr>
          <w:p w:rsidR="00436F27" w:rsidRPr="00C35085" w:rsidRDefault="00436F27" w:rsidP="007D39B9">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D60170">
            <w:pPr>
              <w:rPr>
                <w:rFonts w:ascii="Times New Roman" w:hAnsi="Times New Roman" w:cs="Times New Roman"/>
                <w:sz w:val="24"/>
                <w:szCs w:val="24"/>
              </w:rPr>
            </w:pPr>
            <w:r>
              <w:rPr>
                <w:rFonts w:ascii="Times New Roman" w:hAnsi="Times New Roman" w:cs="Times New Roman"/>
                <w:sz w:val="24"/>
                <w:szCs w:val="24"/>
              </w:rPr>
              <w:t>2.1</w:t>
            </w:r>
            <w:r w:rsidRPr="00C54E76">
              <w:rPr>
                <w:rFonts w:ascii="Times New Roman" w:hAnsi="Times New Roman" w:cs="Times New Roman"/>
                <w:sz w:val="24"/>
                <w:szCs w:val="24"/>
              </w:rPr>
              <w:t>.</w:t>
            </w:r>
          </w:p>
        </w:tc>
        <w:tc>
          <w:tcPr>
            <w:tcW w:w="5372" w:type="dxa"/>
          </w:tcPr>
          <w:p w:rsidR="00436F27" w:rsidRPr="003B1966" w:rsidRDefault="00436F27" w:rsidP="00D60170">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D60170">
            <w:pPr>
              <w:rPr>
                <w:rFonts w:ascii="Times New Roman" w:hAnsi="Times New Roman" w:cs="Times New Roman"/>
                <w:sz w:val="24"/>
                <w:szCs w:val="24"/>
              </w:rPr>
            </w:pPr>
            <w:r>
              <w:rPr>
                <w:rFonts w:ascii="Times New Roman" w:hAnsi="Times New Roman" w:cs="Times New Roman"/>
                <w:sz w:val="24"/>
                <w:szCs w:val="24"/>
              </w:rPr>
              <w:t>2.2.</w:t>
            </w:r>
          </w:p>
        </w:tc>
        <w:tc>
          <w:tcPr>
            <w:tcW w:w="5372" w:type="dxa"/>
          </w:tcPr>
          <w:p w:rsidR="00436F27" w:rsidRPr="00F45D46" w:rsidRDefault="00436F27" w:rsidP="00D60170">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w:t>
            </w:r>
            <w:bookmarkStart w:id="0" w:name="_GoBack"/>
            <w:bookmarkEnd w:id="0"/>
            <w:r w:rsidRPr="00F45D46">
              <w:rPr>
                <w:rFonts w:ascii="Times New Roman" w:hAnsi="Times New Roman" w:cs="Times New Roman"/>
                <w:color w:val="000000"/>
                <w:sz w:val="24"/>
                <w:szCs w:val="24"/>
                <w:shd w:val="clear" w:color="auto" w:fill="FFFFFF"/>
              </w:rPr>
              <w:t>gistracijai) parengimas</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36F27" w:rsidRPr="00C35085" w:rsidTr="00436F27">
        <w:tc>
          <w:tcPr>
            <w:tcW w:w="805" w:type="dxa"/>
            <w:vAlign w:val="center"/>
          </w:tcPr>
          <w:p w:rsidR="00436F27" w:rsidRPr="00C54E76" w:rsidRDefault="00436F27" w:rsidP="00D60170">
            <w:pPr>
              <w:rPr>
                <w:rFonts w:ascii="Times New Roman" w:hAnsi="Times New Roman" w:cs="Times New Roman"/>
                <w:sz w:val="24"/>
                <w:szCs w:val="24"/>
              </w:rPr>
            </w:pPr>
            <w:r>
              <w:rPr>
                <w:rFonts w:ascii="Times New Roman" w:hAnsi="Times New Roman" w:cs="Times New Roman"/>
                <w:sz w:val="24"/>
                <w:szCs w:val="24"/>
              </w:rPr>
              <w:t>2.3.</w:t>
            </w:r>
          </w:p>
        </w:tc>
        <w:tc>
          <w:tcPr>
            <w:tcW w:w="5372" w:type="dxa"/>
          </w:tcPr>
          <w:p w:rsidR="00436F27" w:rsidRPr="00F45D46" w:rsidRDefault="00436F27" w:rsidP="00D60170">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36F27" w:rsidRPr="00C35085" w:rsidTr="00436F27">
        <w:tc>
          <w:tcPr>
            <w:tcW w:w="805" w:type="dxa"/>
            <w:vAlign w:val="center"/>
          </w:tcPr>
          <w:p w:rsidR="00436F27" w:rsidRDefault="00436F27" w:rsidP="00D60170">
            <w:pPr>
              <w:rPr>
                <w:rFonts w:ascii="Times New Roman" w:hAnsi="Times New Roman" w:cs="Times New Roman"/>
                <w:sz w:val="24"/>
                <w:szCs w:val="24"/>
              </w:rPr>
            </w:pPr>
            <w:r>
              <w:rPr>
                <w:rFonts w:ascii="Times New Roman" w:hAnsi="Times New Roman" w:cs="Times New Roman"/>
                <w:sz w:val="24"/>
                <w:szCs w:val="24"/>
              </w:rPr>
              <w:t>2.4.</w:t>
            </w:r>
          </w:p>
        </w:tc>
        <w:tc>
          <w:tcPr>
            <w:tcW w:w="5372" w:type="dxa"/>
          </w:tcPr>
          <w:p w:rsidR="00436F27" w:rsidRPr="00384FDC" w:rsidRDefault="00436F27" w:rsidP="00D60170">
            <w:pPr>
              <w:jc w:val="both"/>
              <w:rPr>
                <w:rFonts w:ascii="Times New Roman" w:hAnsi="Times New Roman" w:cs="Times New Roman"/>
                <w:sz w:val="24"/>
                <w:szCs w:val="24"/>
              </w:rPr>
            </w:pPr>
            <w:r w:rsidRPr="00384FDC">
              <w:rPr>
                <w:rFonts w:ascii="Times New Roman" w:hAnsi="Times New Roman" w:cs="Times New Roman"/>
                <w:sz w:val="24"/>
                <w:szCs w:val="24"/>
              </w:rPr>
              <w:t>Pastat</w:t>
            </w:r>
            <w:r>
              <w:rPr>
                <w:rFonts w:ascii="Times New Roman" w:hAnsi="Times New Roman" w:cs="Times New Roman"/>
                <w:sz w:val="24"/>
                <w:szCs w:val="24"/>
              </w:rPr>
              <w:t>o</w:t>
            </w:r>
            <w:r w:rsidRPr="00384FDC">
              <w:rPr>
                <w:rFonts w:ascii="Times New Roman" w:hAnsi="Times New Roman" w:cs="Times New Roman"/>
                <w:sz w:val="24"/>
                <w:szCs w:val="24"/>
              </w:rPr>
              <w:t xml:space="preserve"> energetinio naudingumo sertifikat</w:t>
            </w:r>
            <w:r>
              <w:rPr>
                <w:rFonts w:ascii="Times New Roman" w:hAnsi="Times New Roman" w:cs="Times New Roman"/>
                <w:sz w:val="24"/>
                <w:szCs w:val="24"/>
              </w:rPr>
              <w:t>o</w:t>
            </w:r>
            <w:r w:rsidRPr="00384FDC">
              <w:rPr>
                <w:rFonts w:ascii="Times New Roman" w:hAnsi="Times New Roman" w:cs="Times New Roman"/>
                <w:sz w:val="24"/>
                <w:szCs w:val="24"/>
              </w:rPr>
              <w:t xml:space="preserve"> parengimas</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36F27" w:rsidRPr="00C35085" w:rsidTr="00436F27">
        <w:trPr>
          <w:trHeight w:val="890"/>
        </w:trPr>
        <w:tc>
          <w:tcPr>
            <w:tcW w:w="805" w:type="dxa"/>
            <w:vAlign w:val="center"/>
          </w:tcPr>
          <w:p w:rsidR="00436F27" w:rsidRPr="00C54E76" w:rsidRDefault="00436F27" w:rsidP="00D60170">
            <w:pPr>
              <w:rPr>
                <w:rFonts w:ascii="Times New Roman" w:hAnsi="Times New Roman" w:cs="Times New Roman"/>
                <w:sz w:val="24"/>
                <w:szCs w:val="24"/>
              </w:rPr>
            </w:pPr>
            <w:r>
              <w:rPr>
                <w:rFonts w:ascii="Times New Roman" w:hAnsi="Times New Roman" w:cs="Times New Roman"/>
                <w:sz w:val="24"/>
                <w:szCs w:val="24"/>
              </w:rPr>
              <w:t>2.5.</w:t>
            </w:r>
          </w:p>
        </w:tc>
        <w:tc>
          <w:tcPr>
            <w:tcW w:w="5372" w:type="dxa"/>
          </w:tcPr>
          <w:p w:rsidR="00436F27" w:rsidRPr="005E2C48" w:rsidRDefault="00436F27" w:rsidP="000D3661">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w:t>
            </w:r>
            <w:r>
              <w:rPr>
                <w:rFonts w:ascii="Times New Roman" w:hAnsi="Times New Roman" w:cs="Times New Roman"/>
                <w:color w:val="000000"/>
                <w:sz w:val="24"/>
                <w:szCs w:val="24"/>
                <w:shd w:val="clear" w:color="auto" w:fill="FFFFFF"/>
              </w:rPr>
              <w:t>:</w:t>
            </w:r>
            <w:r w:rsidRPr="005E2C48">
              <w:rPr>
                <w:rFonts w:ascii="Times New Roman" w:hAnsi="Times New Roman" w:cs="Times New Roman"/>
                <w:color w:val="000000"/>
                <w:sz w:val="24"/>
                <w:szCs w:val="24"/>
                <w:shd w:val="clear" w:color="auto" w:fill="FFFFFF"/>
              </w:rPr>
              <w:t xml:space="preserve"> statybos užbaigimo akt</w:t>
            </w:r>
            <w:r>
              <w:rPr>
                <w:rFonts w:ascii="Times New Roman" w:hAnsi="Times New Roman" w:cs="Times New Roman"/>
                <w:color w:val="000000"/>
                <w:sz w:val="24"/>
                <w:szCs w:val="24"/>
                <w:shd w:val="clear" w:color="auto" w:fill="FFFFFF"/>
              </w:rPr>
              <w:t>o</w:t>
            </w:r>
            <w:r w:rsidRPr="005E2C48">
              <w:rPr>
                <w:rFonts w:ascii="Times New Roman" w:hAnsi="Times New Roman" w:cs="Times New Roman"/>
                <w:color w:val="000000"/>
                <w:sz w:val="24"/>
                <w:szCs w:val="24"/>
                <w:shd w:val="clear" w:color="auto" w:fill="FFFFFF"/>
              </w:rPr>
              <w:t xml:space="preserve"> ir deklaracijų apie stati</w:t>
            </w:r>
            <w:r>
              <w:rPr>
                <w:rFonts w:ascii="Times New Roman" w:hAnsi="Times New Roman" w:cs="Times New Roman"/>
                <w:color w:val="000000"/>
                <w:sz w:val="24"/>
                <w:szCs w:val="24"/>
                <w:shd w:val="clear" w:color="auto" w:fill="FFFFFF"/>
              </w:rPr>
              <w:t>nių statybos užbaigimą gavimas</w:t>
            </w:r>
            <w:r w:rsidRPr="005E2C48">
              <w:rPr>
                <w:rFonts w:ascii="Times New Roman" w:hAnsi="Times New Roman" w:cs="Times New Roman"/>
                <w:color w:val="000000"/>
                <w:sz w:val="24"/>
                <w:szCs w:val="24"/>
                <w:shd w:val="clear" w:color="auto" w:fill="FFFFFF"/>
              </w:rPr>
              <w:t xml:space="preserve"> (gavus Užsakov</w:t>
            </w:r>
            <w:r>
              <w:rPr>
                <w:rFonts w:ascii="Times New Roman" w:hAnsi="Times New Roman" w:cs="Times New Roman"/>
                <w:color w:val="000000"/>
                <w:sz w:val="24"/>
                <w:szCs w:val="24"/>
                <w:shd w:val="clear" w:color="auto" w:fill="FFFFFF"/>
              </w:rPr>
              <w:t>o įgaliojimą pateikti prašymus.</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36F27" w:rsidRPr="00C35085" w:rsidTr="00436F27">
        <w:trPr>
          <w:trHeight w:val="395"/>
        </w:trPr>
        <w:tc>
          <w:tcPr>
            <w:tcW w:w="805" w:type="dxa"/>
            <w:vAlign w:val="center"/>
          </w:tcPr>
          <w:p w:rsidR="00436F27" w:rsidRDefault="00436F27" w:rsidP="00D60170">
            <w:pPr>
              <w:rPr>
                <w:rFonts w:ascii="Times New Roman" w:hAnsi="Times New Roman" w:cs="Times New Roman"/>
                <w:sz w:val="24"/>
                <w:szCs w:val="24"/>
              </w:rPr>
            </w:pPr>
            <w:r>
              <w:rPr>
                <w:rFonts w:ascii="Times New Roman" w:hAnsi="Times New Roman" w:cs="Times New Roman"/>
                <w:sz w:val="24"/>
                <w:szCs w:val="24"/>
              </w:rPr>
              <w:t>2.6.</w:t>
            </w:r>
          </w:p>
        </w:tc>
        <w:tc>
          <w:tcPr>
            <w:tcW w:w="5372" w:type="dxa"/>
          </w:tcPr>
          <w:p w:rsidR="00436F27" w:rsidRPr="005E2C48" w:rsidRDefault="00436F27" w:rsidP="000D3661">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o įsigijimo paslauga statytojo (užsakovo) vardu.</w:t>
            </w:r>
          </w:p>
        </w:tc>
        <w:tc>
          <w:tcPr>
            <w:tcW w:w="645"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48"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630" w:type="dxa"/>
          </w:tcPr>
          <w:p w:rsidR="00436F27" w:rsidRPr="00C35085" w:rsidRDefault="00436F27" w:rsidP="00D60170">
            <w:pPr>
              <w:rPr>
                <w:rFonts w:ascii="Times New Roman" w:hAnsi="Times New Roman" w:cs="Times New Roman"/>
                <w:sz w:val="24"/>
                <w:szCs w:val="24"/>
              </w:rPr>
            </w:pPr>
          </w:p>
        </w:tc>
        <w:tc>
          <w:tcPr>
            <w:tcW w:w="1260" w:type="dxa"/>
          </w:tcPr>
          <w:p w:rsidR="00436F27" w:rsidRPr="00C35085" w:rsidRDefault="00436F27" w:rsidP="00D60170">
            <w:pPr>
              <w:rPr>
                <w:rFonts w:ascii="Times New Roman" w:hAnsi="Times New Roman" w:cs="Times New Roman"/>
                <w:sz w:val="24"/>
                <w:szCs w:val="24"/>
              </w:rPr>
            </w:pPr>
          </w:p>
        </w:tc>
      </w:tr>
      <w:tr w:rsidR="004D0323" w:rsidRPr="00C35085" w:rsidTr="00436F27">
        <w:trPr>
          <w:trHeight w:val="70"/>
        </w:trPr>
        <w:tc>
          <w:tcPr>
            <w:tcW w:w="805" w:type="dxa"/>
          </w:tcPr>
          <w:p w:rsidR="004D0323" w:rsidRPr="00C35085" w:rsidRDefault="004D0323" w:rsidP="00D60170">
            <w:pPr>
              <w:rPr>
                <w:rFonts w:ascii="Times New Roman" w:hAnsi="Times New Roman" w:cs="Times New Roman"/>
                <w:sz w:val="24"/>
                <w:szCs w:val="24"/>
              </w:rPr>
            </w:pPr>
          </w:p>
        </w:tc>
        <w:tc>
          <w:tcPr>
            <w:tcW w:w="20525" w:type="dxa"/>
            <w:gridSpan w:val="25"/>
          </w:tcPr>
          <w:p w:rsidR="004D0323" w:rsidRPr="00C35085" w:rsidRDefault="004D0323" w:rsidP="00BB3AE7">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1260" w:type="dxa"/>
          </w:tcPr>
          <w:p w:rsidR="004D0323" w:rsidRPr="00C35085" w:rsidRDefault="004D0323" w:rsidP="00D60170">
            <w:pPr>
              <w:rPr>
                <w:rFonts w:ascii="Times New Roman" w:hAnsi="Times New Roman" w:cs="Times New Roman"/>
                <w:sz w:val="24"/>
                <w:szCs w:val="24"/>
              </w:rPr>
            </w:pPr>
          </w:p>
        </w:tc>
      </w:tr>
      <w:tr w:rsidR="004D0323" w:rsidRPr="00C35085" w:rsidTr="00436F27">
        <w:tc>
          <w:tcPr>
            <w:tcW w:w="805" w:type="dxa"/>
          </w:tcPr>
          <w:p w:rsidR="004D0323" w:rsidRPr="00C35085" w:rsidRDefault="004D0323" w:rsidP="00D60170">
            <w:pPr>
              <w:rPr>
                <w:rFonts w:ascii="Times New Roman" w:hAnsi="Times New Roman" w:cs="Times New Roman"/>
                <w:sz w:val="24"/>
                <w:szCs w:val="24"/>
              </w:rPr>
            </w:pPr>
          </w:p>
        </w:tc>
        <w:tc>
          <w:tcPr>
            <w:tcW w:w="20525" w:type="dxa"/>
            <w:gridSpan w:val="25"/>
          </w:tcPr>
          <w:p w:rsidR="004D0323" w:rsidRPr="00C35085" w:rsidRDefault="004D0323" w:rsidP="00D60170">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1260" w:type="dxa"/>
          </w:tcPr>
          <w:p w:rsidR="004D0323" w:rsidRPr="00C35085" w:rsidRDefault="004D0323" w:rsidP="00D60170">
            <w:pPr>
              <w:rPr>
                <w:rFonts w:ascii="Times New Roman" w:hAnsi="Times New Roman" w:cs="Times New Roman"/>
                <w:sz w:val="24"/>
                <w:szCs w:val="24"/>
              </w:rPr>
            </w:pPr>
          </w:p>
        </w:tc>
      </w:tr>
      <w:tr w:rsidR="004D0323" w:rsidRPr="00C35085" w:rsidTr="00436F27">
        <w:tc>
          <w:tcPr>
            <w:tcW w:w="805" w:type="dxa"/>
          </w:tcPr>
          <w:p w:rsidR="004D0323" w:rsidRPr="00C35085" w:rsidRDefault="004D0323" w:rsidP="00D60170">
            <w:pPr>
              <w:rPr>
                <w:rFonts w:ascii="Times New Roman" w:hAnsi="Times New Roman" w:cs="Times New Roman"/>
                <w:sz w:val="24"/>
                <w:szCs w:val="24"/>
              </w:rPr>
            </w:pPr>
          </w:p>
        </w:tc>
        <w:tc>
          <w:tcPr>
            <w:tcW w:w="20525" w:type="dxa"/>
            <w:gridSpan w:val="25"/>
          </w:tcPr>
          <w:p w:rsidR="004D0323" w:rsidRPr="00C35085" w:rsidRDefault="004D0323" w:rsidP="00D60170">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1260" w:type="dxa"/>
          </w:tcPr>
          <w:p w:rsidR="004D0323" w:rsidRPr="00C35085" w:rsidRDefault="004D0323" w:rsidP="00D60170">
            <w:pPr>
              <w:rPr>
                <w:rFonts w:ascii="Times New Roman" w:hAnsi="Times New Roman" w:cs="Times New Roman"/>
                <w:sz w:val="24"/>
                <w:szCs w:val="24"/>
              </w:rPr>
            </w:pPr>
          </w:p>
        </w:tc>
      </w:tr>
    </w:tbl>
    <w:p w:rsidR="0001309C" w:rsidRDefault="0001309C"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Tr="00DF6904">
        <w:trPr>
          <w:trHeight w:val="186"/>
        </w:trPr>
        <w:tc>
          <w:tcPr>
            <w:tcW w:w="3260" w:type="dxa"/>
            <w:tcBorders>
              <w:top w:val="single" w:sz="4" w:space="0" w:color="auto"/>
              <w:left w:val="nil"/>
              <w:bottom w:val="nil"/>
              <w:right w:val="nil"/>
            </w:tcBorders>
            <w:hideMark/>
          </w:tcPr>
          <w:p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01309C" w:rsidRPr="0001309C" w:rsidRDefault="00580F97"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01309C">
        <w:rPr>
          <w:rFonts w:ascii="Times New Roman" w:eastAsia="Calibri" w:hAnsi="Times New Roman"/>
          <w:i/>
          <w:sz w:val="24"/>
          <w:szCs w:val="24"/>
        </w:rPr>
        <w:t>Veiklų sąrašo</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pildymo rekomendacijos:</w:t>
      </w:r>
    </w:p>
    <w:p w:rsid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Rangovas </w:t>
      </w:r>
      <w:r w:rsidR="00580F97">
        <w:rPr>
          <w:rFonts w:ascii="Times New Roman" w:eastAsia="Calibri" w:hAnsi="Times New Roman"/>
          <w:i/>
          <w:sz w:val="24"/>
          <w:szCs w:val="24"/>
        </w:rPr>
        <w:t>Žiniaraštyje (V</w:t>
      </w:r>
      <w:r w:rsidRPr="0001309C">
        <w:rPr>
          <w:rFonts w:ascii="Times New Roman" w:eastAsia="Calibri" w:hAnsi="Times New Roman"/>
          <w:i/>
          <w:sz w:val="24"/>
          <w:szCs w:val="24"/>
        </w:rPr>
        <w:t>eiklų sąraše</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turi įvertinti (įkainoti) visus reikiamus darbus, kurie reikalingi techniniame</w:t>
      </w:r>
      <w:r w:rsidR="00D60170">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projekte numatytiems darbams atlikti</w:t>
      </w:r>
      <w:r w:rsidR="003D7223">
        <w:rPr>
          <w:rFonts w:ascii="Times New Roman" w:eastAsia="Calibri" w:hAnsi="Times New Roman"/>
          <w:i/>
          <w:sz w:val="24"/>
          <w:szCs w:val="24"/>
        </w:rPr>
        <w:t xml:space="preserve"> pagal visas pateiktas techninio</w:t>
      </w:r>
      <w:r w:rsidR="00BB3AE7">
        <w:rPr>
          <w:rFonts w:ascii="Times New Roman" w:eastAsia="Calibri" w:hAnsi="Times New Roman"/>
          <w:i/>
          <w:sz w:val="24"/>
          <w:szCs w:val="24"/>
        </w:rPr>
        <w:t xml:space="preserve"> darbo</w:t>
      </w:r>
      <w:r w:rsidR="003D7223">
        <w:rPr>
          <w:rFonts w:ascii="Times New Roman" w:eastAsia="Calibri" w:hAnsi="Times New Roman"/>
          <w:i/>
          <w:sz w:val="24"/>
          <w:szCs w:val="24"/>
        </w:rPr>
        <w:t xml:space="preserve"> projekto dalis</w:t>
      </w:r>
      <w:r w:rsidRPr="0001309C">
        <w:rPr>
          <w:rFonts w:ascii="Times New Roman" w:eastAsia="Calibri" w:hAnsi="Times New Roman"/>
          <w:i/>
          <w:sz w:val="24"/>
          <w:szCs w:val="24"/>
        </w:rPr>
        <w:t>.</w:t>
      </w:r>
    </w:p>
    <w:p w:rsidR="0001309C" w:rsidRDefault="00580F97"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Rangovo išlaidos, susijusios su Sutarties nuostatų laikymusi, turi būti įvertintos </w:t>
      </w:r>
      <w:r w:rsidR="00580F97">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paskirstant išlaidas darbų kainose;</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Visos kainos turi būti nurodomos dviejų skaičių po kablelio tikslumu.</w:t>
      </w:r>
    </w:p>
    <w:p w:rsidR="0001309C" w:rsidRPr="0001309C" w:rsidRDefault="00580F97"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visų darbų grupių kainas Rangovas turi nurodyti be pridėtinės vertės mokesčio (PVM). PVM nurodomas tik susumavus darbų kainas.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Techninis</w:t>
      </w:r>
      <w:r>
        <w:rPr>
          <w:rFonts w:ascii="Times New Roman" w:eastAsia="Calibri" w:hAnsi="Times New Roman"/>
          <w:i/>
          <w:sz w:val="24"/>
          <w:szCs w:val="24"/>
        </w:rPr>
        <w:t xml:space="preserve"> </w:t>
      </w:r>
      <w:r w:rsidR="00D60170">
        <w:rPr>
          <w:rFonts w:ascii="Times New Roman" w:eastAsia="Calibri" w:hAnsi="Times New Roman"/>
          <w:i/>
          <w:sz w:val="24"/>
          <w:szCs w:val="24"/>
        </w:rPr>
        <w:t xml:space="preserve">darbo </w:t>
      </w:r>
      <w:r w:rsidRPr="0001309C">
        <w:rPr>
          <w:rFonts w:ascii="Times New Roman" w:eastAsia="Calibri" w:hAnsi="Times New Roman"/>
          <w:i/>
          <w:sz w:val="24"/>
          <w:szCs w:val="24"/>
        </w:rPr>
        <w:t xml:space="preserve">projektas  statybos rangos pirkimo konkurso dalyviams pateikiamas. Statybos rangos pirkimo dalyviai </w:t>
      </w:r>
      <w:r w:rsidR="00580F97">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privalo įvertinti visus Techninio</w:t>
      </w:r>
      <w:r>
        <w:rPr>
          <w:rFonts w:ascii="Times New Roman" w:eastAsia="Calibri" w:hAnsi="Times New Roman"/>
          <w:i/>
          <w:sz w:val="24"/>
          <w:szCs w:val="24"/>
        </w:rPr>
        <w:t xml:space="preserve"> </w:t>
      </w:r>
      <w:r w:rsidR="00D60170">
        <w:rPr>
          <w:rFonts w:ascii="Times New Roman" w:eastAsia="Calibri" w:hAnsi="Times New Roman"/>
          <w:i/>
          <w:sz w:val="24"/>
          <w:szCs w:val="24"/>
        </w:rPr>
        <w:t xml:space="preserve">darbo </w:t>
      </w:r>
      <w:r w:rsidRPr="0001309C">
        <w:rPr>
          <w:rFonts w:ascii="Times New Roman" w:eastAsia="Calibri" w:hAnsi="Times New Roman"/>
          <w:i/>
          <w:sz w:val="24"/>
          <w:szCs w:val="24"/>
        </w:rPr>
        <w:t>projekto sprendinius. Užsakovas turėtų nurodyti, kad jeigu Techniniame</w:t>
      </w:r>
      <w:r w:rsidR="00D60170">
        <w:rPr>
          <w:rFonts w:ascii="Times New Roman" w:eastAsia="Calibri" w:hAnsi="Times New Roman"/>
          <w:i/>
          <w:sz w:val="24"/>
          <w:szCs w:val="24"/>
        </w:rPr>
        <w:t xml:space="preserve"> darbo</w:t>
      </w:r>
      <w:r>
        <w:rPr>
          <w:rFonts w:ascii="Times New Roman" w:eastAsia="Calibri" w:hAnsi="Times New Roman"/>
          <w:i/>
          <w:sz w:val="24"/>
          <w:szCs w:val="24"/>
        </w:rPr>
        <w:t xml:space="preserve"> </w:t>
      </w:r>
      <w:r w:rsidRPr="0001309C">
        <w:rPr>
          <w:rFonts w:ascii="Times New Roman" w:eastAsia="Calibri" w:hAnsi="Times New Roman"/>
          <w:i/>
          <w:sz w:val="24"/>
          <w:szCs w:val="24"/>
        </w:rPr>
        <w:t xml:space="preserve">projekte pirkimo dalyvis aptinka Darbų, kurie, jo manymu, yra neįvertinti Užsakovo užpildytame </w:t>
      </w:r>
      <w:r w:rsidR="00580F97">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arba yra neaišku, kuriame </w:t>
      </w:r>
      <w:r w:rsidR="00580F97">
        <w:rPr>
          <w:rFonts w:ascii="Times New Roman" w:eastAsia="Calibri" w:hAnsi="Times New Roman"/>
          <w:i/>
          <w:sz w:val="24"/>
          <w:szCs w:val="24"/>
        </w:rPr>
        <w:t>Žiniaraščio (</w:t>
      </w:r>
      <w:r w:rsidRPr="0001309C">
        <w:rPr>
          <w:rFonts w:ascii="Times New Roman" w:eastAsia="Calibri" w:hAnsi="Times New Roman"/>
          <w:i/>
          <w:sz w:val="24"/>
          <w:szCs w:val="24"/>
        </w:rPr>
        <w:t>Veiklų sąrašo</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punkte turi būti įvertinti, konkurso dalyvis privalo apie tai raštu pranešti Užsakovui pirkimo sąlygose nustatyta tvarka. Konkurso dalyviai atsako už visų pirkimo dokumentų išnagrinėjimą, įskaitant konkurso sąlygų paaiškinimus ir </w:t>
      </w:r>
      <w:proofErr w:type="spellStart"/>
      <w:r w:rsidRPr="0001309C">
        <w:rPr>
          <w:rFonts w:ascii="Times New Roman" w:eastAsia="Calibri" w:hAnsi="Times New Roman"/>
          <w:i/>
          <w:sz w:val="24"/>
          <w:szCs w:val="24"/>
        </w:rPr>
        <w:t>papildymus</w:t>
      </w:r>
      <w:proofErr w:type="spellEnd"/>
      <w:r w:rsidRPr="0001309C">
        <w:rPr>
          <w:rFonts w:ascii="Times New Roman" w:eastAsia="Calibri" w:hAnsi="Times New Roman"/>
          <w:i/>
          <w:sz w:val="24"/>
          <w:szCs w:val="24"/>
        </w:rPr>
        <w:t xml:space="preserve">. </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Konkurso dalyviai, teikdami pasiūlymą, privalo pateikti kainomis užpildytą bei tinkamai pasirašytą </w:t>
      </w:r>
      <w:r w:rsidR="00580F97">
        <w:rPr>
          <w:rFonts w:ascii="Times New Roman" w:eastAsia="Calibri" w:hAnsi="Times New Roman"/>
          <w:i/>
          <w:sz w:val="24"/>
          <w:szCs w:val="24"/>
        </w:rPr>
        <w:t>Žiniaraštį (</w:t>
      </w:r>
      <w:r w:rsidRPr="0001309C">
        <w:rPr>
          <w:rFonts w:ascii="Times New Roman" w:eastAsia="Calibri" w:hAnsi="Times New Roman"/>
          <w:i/>
          <w:sz w:val="24"/>
          <w:szCs w:val="24"/>
        </w:rPr>
        <w:t>Veiklų sąrašą</w:t>
      </w:r>
      <w:r w:rsidR="00580F97">
        <w:rPr>
          <w:rFonts w:ascii="Times New Roman" w:eastAsia="Calibri" w:hAnsi="Times New Roman"/>
          <w:i/>
          <w:sz w:val="24"/>
          <w:szCs w:val="24"/>
        </w:rPr>
        <w:t>)</w:t>
      </w:r>
      <w:r w:rsidRPr="0001309C">
        <w:rPr>
          <w:rFonts w:ascii="Times New Roman" w:eastAsia="Calibri" w:hAnsi="Times New Roman"/>
          <w:i/>
          <w:sz w:val="24"/>
          <w:szCs w:val="24"/>
        </w:rPr>
        <w:t xml:space="preserve"> bei pridėti jo elektroninę laikmeną;</w:t>
      </w:r>
    </w:p>
    <w:p w:rsidR="0001309C" w:rsidRDefault="00580F97" w:rsidP="00391714">
      <w:pPr>
        <w:numPr>
          <w:ilvl w:val="0"/>
          <w:numId w:val="2"/>
        </w:numPr>
        <w:spacing w:after="0" w:line="240" w:lineRule="auto"/>
        <w:jc w:val="both"/>
      </w:pPr>
      <w:r>
        <w:rPr>
          <w:rFonts w:ascii="Times New Roman" w:eastAsia="Calibri" w:hAnsi="Times New Roman"/>
          <w:i/>
          <w:sz w:val="24"/>
          <w:szCs w:val="24"/>
        </w:rPr>
        <w:t>Žiniaraštis (</w:t>
      </w:r>
      <w:r w:rsidR="0001309C" w:rsidRPr="00391714">
        <w:rPr>
          <w:rFonts w:ascii="Times New Roman" w:eastAsia="Calibri" w:hAnsi="Times New Roman"/>
          <w:i/>
          <w:sz w:val="24"/>
          <w:szCs w:val="24"/>
        </w:rPr>
        <w:t>Veiklų sąrašas</w:t>
      </w:r>
      <w:r>
        <w:rPr>
          <w:rFonts w:ascii="Times New Roman" w:eastAsia="Calibri" w:hAnsi="Times New Roman"/>
          <w:i/>
          <w:sz w:val="24"/>
          <w:szCs w:val="24"/>
        </w:rPr>
        <w:t>)</w:t>
      </w:r>
      <w:r w:rsidR="0001309C" w:rsidRPr="00391714">
        <w:rPr>
          <w:rFonts w:ascii="Times New Roman" w:eastAsia="Calibri" w:hAnsi="Times New Roman"/>
          <w:i/>
          <w:sz w:val="24"/>
          <w:szCs w:val="24"/>
        </w:rPr>
        <w:t xml:space="preserve"> turi būti pildomas atsižvelgiant į pirkimo dokumentus, Sutarties sąlygas, Techninį </w:t>
      </w:r>
      <w:r w:rsidR="00D60170">
        <w:rPr>
          <w:rFonts w:ascii="Times New Roman" w:eastAsia="Calibri" w:hAnsi="Times New Roman"/>
          <w:i/>
          <w:sz w:val="24"/>
          <w:szCs w:val="24"/>
        </w:rPr>
        <w:t xml:space="preserve">darbo </w:t>
      </w:r>
      <w:r w:rsidR="0001309C" w:rsidRPr="00391714">
        <w:rPr>
          <w:rFonts w:ascii="Times New Roman" w:eastAsia="Calibri" w:hAnsi="Times New Roman"/>
          <w:i/>
          <w:sz w:val="24"/>
          <w:szCs w:val="24"/>
        </w:rPr>
        <w:t>projektą.</w:t>
      </w:r>
    </w:p>
    <w:sectPr w:rsidR="0001309C" w:rsidSect="00436F27">
      <w:pgSz w:w="23811" w:h="16838" w:orient="landscape" w:code="8"/>
      <w:pgMar w:top="720" w:right="426" w:bottom="450"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6"/>
    <w:rsid w:val="0001261A"/>
    <w:rsid w:val="0001309C"/>
    <w:rsid w:val="000262C2"/>
    <w:rsid w:val="0003254D"/>
    <w:rsid w:val="000412FC"/>
    <w:rsid w:val="00042282"/>
    <w:rsid w:val="000451FE"/>
    <w:rsid w:val="000609FE"/>
    <w:rsid w:val="000641BC"/>
    <w:rsid w:val="00076BCD"/>
    <w:rsid w:val="00091280"/>
    <w:rsid w:val="00097DC0"/>
    <w:rsid w:val="000A12A8"/>
    <w:rsid w:val="000C0F97"/>
    <w:rsid w:val="000D3661"/>
    <w:rsid w:val="000E23DD"/>
    <w:rsid w:val="000F7100"/>
    <w:rsid w:val="00101676"/>
    <w:rsid w:val="001062FE"/>
    <w:rsid w:val="00111C64"/>
    <w:rsid w:val="001A4E1C"/>
    <w:rsid w:val="001C5891"/>
    <w:rsid w:val="001D0998"/>
    <w:rsid w:val="001F748B"/>
    <w:rsid w:val="00225154"/>
    <w:rsid w:val="00230370"/>
    <w:rsid w:val="00236778"/>
    <w:rsid w:val="00272E6C"/>
    <w:rsid w:val="002C3459"/>
    <w:rsid w:val="002D34A1"/>
    <w:rsid w:val="002E357C"/>
    <w:rsid w:val="00302194"/>
    <w:rsid w:val="00303396"/>
    <w:rsid w:val="003055FA"/>
    <w:rsid w:val="003064DB"/>
    <w:rsid w:val="00311ACE"/>
    <w:rsid w:val="00313CE5"/>
    <w:rsid w:val="00313D16"/>
    <w:rsid w:val="003214DC"/>
    <w:rsid w:val="00343B0F"/>
    <w:rsid w:val="0036105E"/>
    <w:rsid w:val="00384FDC"/>
    <w:rsid w:val="00391714"/>
    <w:rsid w:val="003B1966"/>
    <w:rsid w:val="003D7223"/>
    <w:rsid w:val="003F6A77"/>
    <w:rsid w:val="00401F57"/>
    <w:rsid w:val="00434A85"/>
    <w:rsid w:val="00436F27"/>
    <w:rsid w:val="004412E1"/>
    <w:rsid w:val="004427D4"/>
    <w:rsid w:val="00454535"/>
    <w:rsid w:val="00465A4B"/>
    <w:rsid w:val="00477F27"/>
    <w:rsid w:val="004D0323"/>
    <w:rsid w:val="004E3C61"/>
    <w:rsid w:val="004F08E1"/>
    <w:rsid w:val="005165B1"/>
    <w:rsid w:val="00531276"/>
    <w:rsid w:val="00536F04"/>
    <w:rsid w:val="00541F64"/>
    <w:rsid w:val="005520E2"/>
    <w:rsid w:val="00573437"/>
    <w:rsid w:val="00575CB2"/>
    <w:rsid w:val="00580F97"/>
    <w:rsid w:val="005A2496"/>
    <w:rsid w:val="005E2C48"/>
    <w:rsid w:val="005F3FCF"/>
    <w:rsid w:val="00630406"/>
    <w:rsid w:val="00640814"/>
    <w:rsid w:val="00667BA4"/>
    <w:rsid w:val="0067483B"/>
    <w:rsid w:val="006978D5"/>
    <w:rsid w:val="006B3164"/>
    <w:rsid w:val="006C14CA"/>
    <w:rsid w:val="0070326F"/>
    <w:rsid w:val="0071043A"/>
    <w:rsid w:val="00730F38"/>
    <w:rsid w:val="00767CAF"/>
    <w:rsid w:val="00770A9C"/>
    <w:rsid w:val="00790DD1"/>
    <w:rsid w:val="007958C7"/>
    <w:rsid w:val="00797F6F"/>
    <w:rsid w:val="007B349C"/>
    <w:rsid w:val="007D39B9"/>
    <w:rsid w:val="007E21F4"/>
    <w:rsid w:val="00885D5A"/>
    <w:rsid w:val="008A2842"/>
    <w:rsid w:val="008E6B6F"/>
    <w:rsid w:val="009339BA"/>
    <w:rsid w:val="00947223"/>
    <w:rsid w:val="009A4A7E"/>
    <w:rsid w:val="009C606D"/>
    <w:rsid w:val="00A23EC2"/>
    <w:rsid w:val="00A44C4C"/>
    <w:rsid w:val="00A47F80"/>
    <w:rsid w:val="00A75E54"/>
    <w:rsid w:val="00A827D5"/>
    <w:rsid w:val="00A86EE3"/>
    <w:rsid w:val="00A93FE4"/>
    <w:rsid w:val="00AB2AC3"/>
    <w:rsid w:val="00AD2EFE"/>
    <w:rsid w:val="00AE6726"/>
    <w:rsid w:val="00B110D9"/>
    <w:rsid w:val="00B5222C"/>
    <w:rsid w:val="00B5296A"/>
    <w:rsid w:val="00B56583"/>
    <w:rsid w:val="00B62B07"/>
    <w:rsid w:val="00B91BDB"/>
    <w:rsid w:val="00BA04C4"/>
    <w:rsid w:val="00BB3AE7"/>
    <w:rsid w:val="00BD60F6"/>
    <w:rsid w:val="00BD63A4"/>
    <w:rsid w:val="00BE267A"/>
    <w:rsid w:val="00BF7DD1"/>
    <w:rsid w:val="00C20CCB"/>
    <w:rsid w:val="00C263C6"/>
    <w:rsid w:val="00C35085"/>
    <w:rsid w:val="00C54E76"/>
    <w:rsid w:val="00CB0AED"/>
    <w:rsid w:val="00CD1E28"/>
    <w:rsid w:val="00D60170"/>
    <w:rsid w:val="00D75934"/>
    <w:rsid w:val="00DA0CBC"/>
    <w:rsid w:val="00DB3D49"/>
    <w:rsid w:val="00DE623D"/>
    <w:rsid w:val="00E76863"/>
    <w:rsid w:val="00E776EF"/>
    <w:rsid w:val="00E83BDD"/>
    <w:rsid w:val="00E8606C"/>
    <w:rsid w:val="00E90EE0"/>
    <w:rsid w:val="00E976CF"/>
    <w:rsid w:val="00EB2A86"/>
    <w:rsid w:val="00ED18F9"/>
    <w:rsid w:val="00F00AD1"/>
    <w:rsid w:val="00F45D46"/>
    <w:rsid w:val="00F75722"/>
    <w:rsid w:val="00F87694"/>
    <w:rsid w:val="00F879AB"/>
    <w:rsid w:val="00FA73CB"/>
    <w:rsid w:val="00FA7AD1"/>
    <w:rsid w:val="00FB1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F879AB"/>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 w:type="character" w:customStyle="1" w:styleId="Antrat4Diagrama">
    <w:name w:val="Antraštė 4 Diagrama"/>
    <w:basedOn w:val="Numatytasispastraiposriftas"/>
    <w:link w:val="Antrat4"/>
    <w:uiPriority w:val="9"/>
    <w:rsid w:val="00F879AB"/>
    <w:rPr>
      <w:rFonts w:ascii="Times New Roman" w:eastAsia="Times New Roman" w:hAnsi="Times New Roman" w:cs="Times New Roman"/>
      <w:b/>
      <w:bCs/>
      <w:sz w:val="24"/>
      <w:szCs w:val="24"/>
      <w:lang w:eastAsia="lt-LT"/>
    </w:rPr>
  </w:style>
  <w:style w:type="character" w:customStyle="1" w:styleId="llctekstas">
    <w:name w:val="llctekstas"/>
    <w:basedOn w:val="Numatytasispastraiposriftas"/>
    <w:rsid w:val="0045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1F6D-6E37-471E-A1BA-3E3FA860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1238B341</Template>
  <TotalTime>2156</TotalTime>
  <Pages>1</Pages>
  <Words>2531</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103</cp:revision>
  <cp:lastPrinted>2022-01-19T08:57:00Z</cp:lastPrinted>
  <dcterms:created xsi:type="dcterms:W3CDTF">2018-07-25T12:08:00Z</dcterms:created>
  <dcterms:modified xsi:type="dcterms:W3CDTF">2025-05-07T08:45:00Z</dcterms:modified>
</cp:coreProperties>
</file>