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AB7674" w:rsidRPr="009A3013" w:rsidRDefault="00A95981" w:rsidP="00B35758">
      <w:pPr>
        <w:jc w:val="center"/>
        <w:rPr>
          <w:b/>
          <w:sz w:val="22"/>
          <w:szCs w:val="22"/>
        </w:rPr>
      </w:pPr>
      <w:r>
        <w:rPr>
          <w:b/>
          <w:sz w:val="22"/>
          <w:szCs w:val="22"/>
        </w:rPr>
        <w:t>TVARSLIAVA</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A95981">
        <w:rPr>
          <w:bCs/>
          <w:sz w:val="22"/>
          <w:szCs w:val="22"/>
        </w:rPr>
        <w:t>Tvarsliava</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Pr="006C16A2">
        <w:rPr>
          <w:sz w:val="22"/>
          <w:szCs w:val="22"/>
          <w:lang w:eastAsia="lt-LT"/>
        </w:rPr>
        <w:t>Tiekėjo deklaracija dėl Tarybos Reglamente (ES) 2022/576 nustatytų sąlygų nebuvimo</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680520" w:rsidRPr="00680520">
        <w:rPr>
          <w:rFonts w:cs="Times New Roman"/>
          <w:b/>
          <w:color w:val="0F243E" w:themeColor="text2" w:themeShade="80"/>
          <w:sz w:val="22"/>
          <w:szCs w:val="22"/>
          <w:lang w:val="lt-LT"/>
        </w:rPr>
        <w:t xml:space="preserve">tvarsliavą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 xml:space="preserve">Pirkimo dokumentų sudedamoji </w:t>
      </w:r>
      <w:proofErr w:type="gramStart"/>
      <w:r w:rsidRPr="007A7217">
        <w:rPr>
          <w:rFonts w:cs="Times New Roman"/>
          <w:sz w:val="22"/>
          <w:szCs w:val="22"/>
        </w:rPr>
        <w:t>dalis</w:t>
      </w:r>
      <w:proofErr w:type="gramEnd"/>
      <w:r w:rsidRPr="007A7217">
        <w:rPr>
          <w:rFonts w:cs="Times New Roman"/>
          <w:sz w:val="22"/>
          <w:szCs w:val="22"/>
        </w:rPr>
        <w:t xml:space="preserve">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044DE1" w:rsidRDefault="00E17DFB" w:rsidP="00FB60FF">
      <w:pPr>
        <w:pStyle w:val="ListParagraph"/>
        <w:numPr>
          <w:ilvl w:val="1"/>
          <w:numId w:val="12"/>
        </w:numPr>
        <w:tabs>
          <w:tab w:val="left" w:pos="993"/>
          <w:tab w:val="left" w:pos="1276"/>
          <w:tab w:val="left" w:pos="1418"/>
          <w:tab w:val="left" w:pos="1560"/>
        </w:tabs>
        <w:spacing w:after="0" w:line="240" w:lineRule="auto"/>
        <w:ind w:hanging="2345"/>
        <w:jc w:val="both"/>
        <w:rPr>
          <w:rFonts w:ascii="Times New Roman" w:hAnsi="Times New Roman"/>
          <w:b/>
          <w:bCs/>
        </w:rPr>
      </w:pPr>
      <w:r w:rsidRPr="00044DE1">
        <w:rPr>
          <w:rFonts w:ascii="Times New Roman" w:hAnsi="Times New Roman"/>
        </w:rPr>
        <w:t>Pirkimo objektas –</w:t>
      </w:r>
      <w:r w:rsidR="00680520">
        <w:rPr>
          <w:rFonts w:ascii="Times New Roman" w:hAnsi="Times New Roman"/>
        </w:rPr>
        <w:t xml:space="preserve"> tvarsliava</w:t>
      </w:r>
      <w:r w:rsidR="00A4659B" w:rsidRPr="00044DE1">
        <w:rPr>
          <w:rFonts w:ascii="Times New Roman" w:hAnsi="Times New Roman"/>
          <w:b/>
          <w:bCs/>
          <w:color w:val="548DD4" w:themeColor="text2" w:themeTint="99"/>
        </w:rPr>
        <w:t>.</w:t>
      </w:r>
    </w:p>
    <w:p w:rsidR="001248B2" w:rsidRPr="00044DE1" w:rsidRDefault="001248B2" w:rsidP="00490661">
      <w:pPr>
        <w:tabs>
          <w:tab w:val="left" w:pos="993"/>
          <w:tab w:val="left" w:pos="1134"/>
          <w:tab w:val="left" w:pos="1276"/>
          <w:tab w:val="left" w:pos="1440"/>
          <w:tab w:val="left" w:pos="1560"/>
          <w:tab w:val="left" w:pos="2127"/>
        </w:tabs>
        <w:ind w:firstLine="567"/>
        <w:jc w:val="both"/>
        <w:rPr>
          <w:sz w:val="22"/>
          <w:szCs w:val="22"/>
        </w:rPr>
      </w:pPr>
      <w:r w:rsidRPr="00044DE1">
        <w:rPr>
          <w:sz w:val="22"/>
          <w:szCs w:val="22"/>
        </w:rPr>
        <w:t>2.2.</w:t>
      </w:r>
      <w:r w:rsidRPr="00044DE1">
        <w:rPr>
          <w:sz w:val="22"/>
          <w:szCs w:val="22"/>
        </w:rPr>
        <w:tab/>
        <w:t xml:space="preserve">Detali informacija apie perkamas prekes pateikiama techninėje specifikacijoje. </w:t>
      </w:r>
      <w:r w:rsidR="00FD6CBF" w:rsidRPr="00FD6CBF">
        <w:rPr>
          <w:bCs/>
          <w:iCs/>
          <w:sz w:val="22"/>
          <w:szCs w:val="22"/>
        </w:rPr>
        <w:t>Marliniai sterilūs keturkampiai tvarsčiai</w:t>
      </w:r>
      <w:r w:rsidR="00F54615" w:rsidRPr="00F54615">
        <w:rPr>
          <w:i/>
          <w:iCs/>
          <w:sz w:val="22"/>
          <w:szCs w:val="22"/>
        </w:rPr>
        <w:t xml:space="preserve"> </w:t>
      </w:r>
      <w:r w:rsidR="00F54615" w:rsidRPr="00F54615">
        <w:rPr>
          <w:iCs/>
          <w:sz w:val="22"/>
          <w:szCs w:val="22"/>
        </w:rPr>
        <w:t>(</w:t>
      </w:r>
      <w:r w:rsidR="00FD6CBF">
        <w:rPr>
          <w:b/>
          <w:iCs/>
          <w:sz w:val="22"/>
          <w:szCs w:val="22"/>
        </w:rPr>
        <w:t>pirkimo dalys Nr. 2-4</w:t>
      </w:r>
      <w:r w:rsidR="00F54615" w:rsidRPr="00F54615">
        <w:rPr>
          <w:iCs/>
          <w:sz w:val="22"/>
          <w:szCs w:val="22"/>
        </w:rPr>
        <w:t>)</w:t>
      </w:r>
      <w:r w:rsidR="00F54615" w:rsidRPr="00F54615">
        <w:rPr>
          <w:i/>
          <w:iCs/>
          <w:sz w:val="22"/>
          <w:szCs w:val="22"/>
        </w:rPr>
        <w:t xml:space="preserve"> </w:t>
      </w:r>
      <w:r w:rsidR="00F54615" w:rsidRPr="00F54615">
        <w:rPr>
          <w:sz w:val="22"/>
          <w:szCs w:val="22"/>
        </w:rPr>
        <w:t xml:space="preserve">yra Centrinės perkančiosios organizacijos (toliau – CPO) kataloge, tačiau jis neatitinka perkančiosios organizacijos poreikių – </w:t>
      </w:r>
      <w:r w:rsidR="00FD6CBF" w:rsidRPr="00FD6CBF">
        <w:rPr>
          <w:sz w:val="22"/>
          <w:szCs w:val="22"/>
        </w:rPr>
        <w:t>CPO kataloge nurodyta „ne mažiau 17±3 siūlų/cm2“, kai techninėje specifikacijoje reikalaujama „19 ± 2 siūlų/cm2“;</w:t>
      </w:r>
      <w:r w:rsidR="00DB0BEB">
        <w:rPr>
          <w:sz w:val="22"/>
          <w:szCs w:val="22"/>
        </w:rPr>
        <w:t xml:space="preserve"> </w:t>
      </w:r>
      <w:r w:rsidR="00DB0BEB" w:rsidRPr="00DB0BEB">
        <w:rPr>
          <w:sz w:val="22"/>
          <w:szCs w:val="22"/>
        </w:rPr>
        <w:t>CPO kataloge nurodyta „supakuoti sterilioje pakuotėje“, kai techninėje specifikacijoje reikalaujama „pakuotė apsauganti sterilumą ne mažiau 2 sluoksnių“</w:t>
      </w:r>
      <w:r w:rsidR="00F54615" w:rsidRPr="00F54615">
        <w:rPr>
          <w:sz w:val="22"/>
          <w:szCs w:val="22"/>
        </w:rPr>
        <w:t xml:space="preserve">. </w:t>
      </w:r>
      <w:r w:rsidR="00DB0BEB" w:rsidRPr="00DB0BEB">
        <w:rPr>
          <w:bCs/>
          <w:iCs/>
          <w:sz w:val="22"/>
          <w:szCs w:val="22"/>
        </w:rPr>
        <w:t xml:space="preserve">Tvarstis plėvelė kateterių fiksavimui, turi rėmelį, permatoma, limpanti, sterili, hipoalergiška 6±0,1 x 7±0,1 cm </w:t>
      </w:r>
      <w:r w:rsidR="00F54615" w:rsidRPr="00F54615">
        <w:rPr>
          <w:iCs/>
          <w:sz w:val="22"/>
          <w:szCs w:val="22"/>
        </w:rPr>
        <w:t>(</w:t>
      </w:r>
      <w:r w:rsidR="00F54615" w:rsidRPr="00F54615">
        <w:rPr>
          <w:b/>
          <w:iCs/>
          <w:sz w:val="22"/>
          <w:szCs w:val="22"/>
        </w:rPr>
        <w:t xml:space="preserve">pirkimo dalis Nr. </w:t>
      </w:r>
      <w:r w:rsidR="00DB0BEB">
        <w:rPr>
          <w:b/>
          <w:iCs/>
          <w:sz w:val="22"/>
          <w:szCs w:val="22"/>
        </w:rPr>
        <w:t>1</w:t>
      </w:r>
      <w:r w:rsidR="00F54615" w:rsidRPr="00F54615">
        <w:rPr>
          <w:b/>
          <w:iCs/>
          <w:sz w:val="22"/>
          <w:szCs w:val="22"/>
        </w:rPr>
        <w:t>2</w:t>
      </w:r>
      <w:r w:rsidR="00F54615" w:rsidRPr="00F54615">
        <w:rPr>
          <w:iCs/>
          <w:sz w:val="22"/>
          <w:szCs w:val="22"/>
        </w:rPr>
        <w:t xml:space="preserve">) yra Centrinės perkančiosios organizacijos kataloge, tačiau jis neatitinka perkančiosios organizacijos poreikių –  </w:t>
      </w:r>
      <w:r w:rsidR="00B30433" w:rsidRPr="00B30433">
        <w:rPr>
          <w:sz w:val="22"/>
          <w:szCs w:val="22"/>
        </w:rPr>
        <w:t>CPO kataloge nenurodyti reikalavimai: turi neatsiklijuoti, esant šiltai ir drėgnai aplinkai; leidžianti kvėpuoti odai; klijai nelimpantys prie pirštų, bet tvirtai prilimpantys prie odos; alkoholiniai odos dezinfektantai turi nesilpninti, nepažeisti plėvelės</w:t>
      </w:r>
      <w:r w:rsidR="00B30433">
        <w:rPr>
          <w:sz w:val="22"/>
          <w:szCs w:val="22"/>
        </w:rPr>
        <w:t xml:space="preserve">; </w:t>
      </w:r>
      <w:r w:rsidR="00B30433" w:rsidRPr="00B30433">
        <w:rPr>
          <w:sz w:val="22"/>
          <w:szCs w:val="22"/>
        </w:rPr>
        <w:t>CPO kataloge nurodyta „tvarstis padengtas hipoalerginiais klijais“, kai techninėje specifikacijoje reikalaujama „padengta hipoalerginiais akriliniais ar lygiaverčiais klijais“</w:t>
      </w:r>
      <w:r w:rsidR="00F54615" w:rsidRPr="00F54615">
        <w:rPr>
          <w:sz w:val="22"/>
          <w:szCs w:val="22"/>
        </w:rPr>
        <w:t xml:space="preserve">. </w:t>
      </w:r>
      <w:r w:rsidR="00475186">
        <w:rPr>
          <w:sz w:val="22"/>
          <w:szCs w:val="22"/>
        </w:rPr>
        <w:t>Kitų numatomų įsigyti</w:t>
      </w:r>
      <w:r w:rsidR="00475186" w:rsidRPr="00475186">
        <w:rPr>
          <w:sz w:val="22"/>
          <w:szCs w:val="22"/>
        </w:rPr>
        <w:t xml:space="preserve"> prekių Centrinės perkančiosios organizacijos (CPO) kataloge nėra.</w:t>
      </w:r>
    </w:p>
    <w:p w:rsidR="00F704E1" w:rsidRPr="00044DE1" w:rsidRDefault="001248B2" w:rsidP="008C6EBE">
      <w:pPr>
        <w:ind w:firstLine="567"/>
        <w:jc w:val="both"/>
        <w:rPr>
          <w:b/>
          <w:sz w:val="22"/>
          <w:szCs w:val="22"/>
          <w:u w:val="single"/>
          <w:lang w:eastAsia="ar-SA"/>
        </w:rPr>
      </w:pPr>
      <w:r w:rsidRPr="00044DE1">
        <w:rPr>
          <w:sz w:val="22"/>
          <w:szCs w:val="22"/>
        </w:rPr>
        <w:t xml:space="preserve">2.3. </w:t>
      </w:r>
      <w:r w:rsidR="00487D4B" w:rsidRPr="00044DE1">
        <w:rPr>
          <w:sz w:val="22"/>
          <w:szCs w:val="22"/>
        </w:rPr>
        <w:t xml:space="preserve"> </w:t>
      </w:r>
      <w:r w:rsidR="002A2874" w:rsidRPr="00044DE1">
        <w:rPr>
          <w:iCs/>
          <w:sz w:val="22"/>
          <w:szCs w:val="22"/>
        </w:rPr>
        <w:t xml:space="preserve">Vadovaujantis LR Viešųjų pirkimų įstatymo 27 straipsnio nuostatomis CVP IS </w:t>
      </w:r>
      <w:r w:rsidR="00670BBC" w:rsidRPr="00670BBC">
        <w:rPr>
          <w:iCs/>
          <w:sz w:val="22"/>
          <w:szCs w:val="22"/>
        </w:rPr>
        <w:t>2025-0</w:t>
      </w:r>
      <w:r w:rsidR="00DA4320">
        <w:rPr>
          <w:iCs/>
          <w:sz w:val="22"/>
          <w:szCs w:val="22"/>
        </w:rPr>
        <w:t>5</w:t>
      </w:r>
      <w:r w:rsidR="00670BBC" w:rsidRPr="00670BBC">
        <w:rPr>
          <w:iCs/>
          <w:sz w:val="22"/>
          <w:szCs w:val="22"/>
        </w:rPr>
        <w:t>-</w:t>
      </w:r>
      <w:r w:rsidR="00B30433">
        <w:rPr>
          <w:iCs/>
          <w:sz w:val="22"/>
          <w:szCs w:val="22"/>
        </w:rPr>
        <w:t>07</w:t>
      </w:r>
      <w:r w:rsidR="00885D7E" w:rsidRPr="00044DE1">
        <w:rPr>
          <w:iCs/>
          <w:sz w:val="22"/>
          <w:szCs w:val="22"/>
        </w:rPr>
        <w:t xml:space="preserve"> </w:t>
      </w:r>
      <w:r w:rsidR="002A2874" w:rsidRPr="00044DE1">
        <w:rPr>
          <w:iCs/>
          <w:sz w:val="22"/>
          <w:szCs w:val="22"/>
        </w:rPr>
        <w:t xml:space="preserve">buvo viešai skelbta išankstinė rinkos konsultacija </w:t>
      </w:r>
      <w:r w:rsidR="007243D2" w:rsidRPr="00044DE1">
        <w:rPr>
          <w:iCs/>
          <w:sz w:val="22"/>
          <w:szCs w:val="22"/>
        </w:rPr>
        <w:t xml:space="preserve">„Rinkos konsultacija </w:t>
      </w:r>
      <w:r w:rsidR="00885D7E" w:rsidRPr="00044DE1">
        <w:rPr>
          <w:iCs/>
          <w:sz w:val="22"/>
          <w:szCs w:val="22"/>
        </w:rPr>
        <w:t xml:space="preserve">dėl </w:t>
      </w:r>
      <w:r w:rsidR="00B30433">
        <w:rPr>
          <w:iCs/>
          <w:sz w:val="22"/>
          <w:szCs w:val="22"/>
        </w:rPr>
        <w:t xml:space="preserve">tvarsliavos </w:t>
      </w:r>
      <w:r w:rsidR="00885D7E" w:rsidRPr="00044DE1">
        <w:rPr>
          <w:iCs/>
          <w:sz w:val="22"/>
          <w:szCs w:val="22"/>
        </w:rPr>
        <w:t>pirkimo</w:t>
      </w:r>
      <w:r w:rsidR="007243D2" w:rsidRPr="00044DE1">
        <w:rPr>
          <w:iCs/>
          <w:sz w:val="22"/>
          <w:szCs w:val="22"/>
        </w:rPr>
        <w:t xml:space="preserve">“ </w:t>
      </w:r>
      <w:r w:rsidR="002A2874" w:rsidRPr="00044DE1">
        <w:rPr>
          <w:iCs/>
          <w:sz w:val="22"/>
          <w:szCs w:val="22"/>
        </w:rPr>
        <w:t>Nr.</w:t>
      </w:r>
      <w:r w:rsidR="00EC48B0" w:rsidRPr="00044DE1">
        <w:rPr>
          <w:iCs/>
          <w:sz w:val="22"/>
          <w:szCs w:val="22"/>
        </w:rPr>
        <w:t xml:space="preserve"> </w:t>
      </w:r>
      <w:r w:rsidR="00B30433">
        <w:rPr>
          <w:iCs/>
          <w:sz w:val="22"/>
          <w:szCs w:val="22"/>
        </w:rPr>
        <w:t>2565818</w:t>
      </w:r>
      <w:r w:rsidR="002A2874" w:rsidRPr="00044DE1">
        <w:rPr>
          <w:iCs/>
          <w:sz w:val="22"/>
          <w:szCs w:val="22"/>
        </w:rPr>
        <w:t>.​</w:t>
      </w:r>
    </w:p>
    <w:p w:rsidR="00F704E1" w:rsidRPr="00044DE1" w:rsidRDefault="00F704E1"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b/>
          <w:lang w:eastAsia="lt-LT"/>
        </w:rPr>
        <w:t xml:space="preserve">Šis pirkimas yra  skaidomas į atskiras pirkimo dalis (viso </w:t>
      </w:r>
      <w:r w:rsidR="009755A5">
        <w:rPr>
          <w:rFonts w:ascii="Times New Roman" w:hAnsi="Times New Roman"/>
          <w:b/>
          <w:lang w:eastAsia="lt-LT"/>
        </w:rPr>
        <w:t>12</w:t>
      </w:r>
      <w:r w:rsidRPr="00044DE1">
        <w:rPr>
          <w:rFonts w:ascii="Times New Roman" w:hAnsi="Times New Roman"/>
          <w:b/>
          <w:lang w:eastAsia="lt-LT"/>
        </w:rPr>
        <w:t xml:space="preserve"> pirkimo </w:t>
      </w:r>
      <w:r w:rsidR="00A4659B" w:rsidRPr="00044DE1">
        <w:rPr>
          <w:rFonts w:ascii="Times New Roman" w:hAnsi="Times New Roman"/>
          <w:b/>
          <w:lang w:eastAsia="lt-LT"/>
        </w:rPr>
        <w:t>dal</w:t>
      </w:r>
      <w:r w:rsidR="009755A5">
        <w:rPr>
          <w:rFonts w:ascii="Times New Roman" w:hAnsi="Times New Roman"/>
          <w:b/>
          <w:lang w:eastAsia="lt-LT"/>
        </w:rPr>
        <w:t>ių</w:t>
      </w:r>
      <w:r w:rsidRPr="00044DE1">
        <w:rPr>
          <w:rFonts w:ascii="Times New Roman" w:hAnsi="Times New Roman"/>
          <w:b/>
          <w:lang w:eastAsia="lt-LT"/>
        </w:rPr>
        <w:t>).</w:t>
      </w:r>
      <w:r w:rsidR="007976C4" w:rsidRPr="00044DE1">
        <w:rPr>
          <w:rFonts w:ascii="Times New Roman" w:hAnsi="Times New Roman"/>
          <w:b/>
          <w:lang w:eastAsia="lt-LT"/>
        </w:rPr>
        <w:t xml:space="preserve"> </w:t>
      </w:r>
      <w:r w:rsidRPr="00044DE1">
        <w:rPr>
          <w:rFonts w:ascii="Times New Roman" w:hAnsi="Times New Roman"/>
          <w:lang w:eastAsia="lt-LT"/>
        </w:rPr>
        <w:t xml:space="preserve">Dalyvis gali pateikti pasiūlymą vienai pirkimo daliai, </w:t>
      </w:r>
      <w:r w:rsidR="00CA1132">
        <w:rPr>
          <w:rFonts w:ascii="Times New Roman" w:hAnsi="Times New Roman"/>
          <w:lang w:eastAsia="lt-LT"/>
        </w:rPr>
        <w:t xml:space="preserve">kelioms </w:t>
      </w:r>
      <w:r w:rsidRPr="00044DE1">
        <w:rPr>
          <w:rFonts w:ascii="Times New Roman" w:hAnsi="Times New Roman"/>
          <w:lang w:eastAsia="lt-LT"/>
        </w:rPr>
        <w:t xml:space="preserve">pirkimo dalims, visoms pirkimo dalims. </w:t>
      </w:r>
      <w:r w:rsidRPr="00044DE1">
        <w:rPr>
          <w:rFonts w:ascii="Times New Roman" w:hAnsi="Times New Roman"/>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044DE1">
        <w:rPr>
          <w:rFonts w:ascii="Times New Roman" w:hAnsi="Times New Roman"/>
          <w:lang w:eastAsia="lt-LT"/>
        </w:rPr>
        <w:t xml:space="preserve"> Alternatyvūs pasiūlymai negalimi.</w:t>
      </w:r>
    </w:p>
    <w:p w:rsidR="00794FD4" w:rsidRPr="00044DE1" w:rsidRDefault="00794FD4"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lang w:eastAsia="ar-SA"/>
        </w:rPr>
      </w:pPr>
      <w:r w:rsidRPr="00044DE1">
        <w:rPr>
          <w:rFonts w:ascii="Times New Roman" w:hAnsi="Times New Roman"/>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F704E1" w:rsidRPr="00044DE1" w:rsidRDefault="00F704E1" w:rsidP="00044DE1">
      <w:pPr>
        <w:pStyle w:val="ListParagraph"/>
        <w:numPr>
          <w:ilvl w:val="1"/>
          <w:numId w:val="36"/>
        </w:numPr>
        <w:tabs>
          <w:tab w:val="left" w:pos="567"/>
          <w:tab w:val="left" w:pos="993"/>
        </w:tabs>
        <w:ind w:left="0" w:firstLine="567"/>
        <w:jc w:val="both"/>
        <w:rPr>
          <w:rFonts w:ascii="Times New Roman" w:hAnsi="Times New Roman"/>
          <w:b/>
          <w:u w:val="single"/>
          <w:lang w:eastAsia="ar-SA"/>
        </w:rPr>
      </w:pPr>
      <w:r w:rsidRPr="00044DE1">
        <w:rPr>
          <w:rFonts w:ascii="Times New Roman" w:hAnsi="Times New Roman"/>
        </w:rPr>
        <w:t xml:space="preserve">Prekių pristatymo vieta yra </w:t>
      </w:r>
      <w:r w:rsidRPr="00044DE1">
        <w:rPr>
          <w:rFonts w:ascii="Times New Roman" w:hAnsi="Times New Roman"/>
          <w:iCs/>
        </w:rPr>
        <w:t>Lietuvos sveikatos mokslų universiteto ligoninė Kauno klinikos</w:t>
      </w:r>
      <w:r w:rsidRPr="00044DE1">
        <w:rPr>
          <w:rFonts w:ascii="Times New Roman" w:hAnsi="Times New Roman"/>
          <w:shd w:val="clear" w:color="auto" w:fill="FFFFFF"/>
        </w:rPr>
        <w:t>,</w:t>
      </w:r>
      <w:r w:rsidRPr="00044DE1">
        <w:rPr>
          <w:rFonts w:ascii="Times New Roman" w:hAnsi="Times New Roman"/>
          <w:iCs/>
        </w:rPr>
        <w:t xml:space="preserve"> adresas Eivenių g. 2, LT-50161 Kaunas</w:t>
      </w:r>
      <w:r w:rsidRPr="00044DE1">
        <w:rPr>
          <w:rFonts w:ascii="Times New Roman" w:hAnsi="Times New Roman"/>
        </w:rPr>
        <w:t>.</w:t>
      </w:r>
    </w:p>
    <w:p w:rsidR="007218D2"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privalo nutraukti pradėtas pirkimo procedūras, jeigu buvo pažeisti šio įstatymo 17 straipsnio 1 dalyje nustatyti principai ir atitinkamos padėties negalima ištaisyti.</w:t>
      </w:r>
    </w:p>
    <w:p w:rsidR="00F704E1"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044DE1">
        <w:rPr>
          <w:rFonts w:ascii="Times New Roman" w:hAnsi="Times New Roman"/>
        </w:rPr>
        <w:t>.</w:t>
      </w:r>
    </w:p>
    <w:p w:rsidR="00F704E1" w:rsidRPr="00044DE1" w:rsidRDefault="00F704E1"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lang w:eastAsia="lt-LT"/>
        </w:rPr>
        <w:lastRenderedPageBreak/>
        <w:t xml:space="preserve">Pasiūlymai vertinami pagal kainos kriterijų. </w:t>
      </w: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3) sukčiavimą, turto pasisavinimą, turto iššvaistymą, apgaulingą </w:t>
            </w:r>
            <w:r w:rsidRPr="00E718B5">
              <w:rPr>
                <w:rFonts w:ascii="Times New Roman" w:hAnsi="Times New Roman" w:cs="Times New Roman"/>
                <w:color w:val="000000"/>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w:t>
            </w:r>
            <w:r w:rsidRPr="003B51B3">
              <w:rPr>
                <w:rFonts w:ascii="Times New Roman" w:hAnsi="Times New Roman" w:cs="Times New Roman"/>
                <w:color w:val="000000"/>
                <w:lang w:eastAsia="lt-LT"/>
              </w:rPr>
              <w:lastRenderedPageBreak/>
              <w:t>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 xml:space="preserve">valstybės įmonės Registrų centro Lietuvos Respublikos Vyriausybės nustatyta tvarka išduoto dokumento, </w:t>
            </w:r>
            <w:r w:rsidRPr="00E718B5">
              <w:rPr>
                <w:rFonts w:ascii="Times New Roman" w:hAnsi="Times New Roman" w:cs="Times New Roman"/>
                <w:color w:val="000000"/>
                <w:lang w:eastAsia="lt-LT"/>
              </w:rPr>
              <w:lastRenderedPageBreak/>
              <w:t>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 xml:space="preserve">1) tiekėjas yra įsipareigojęs sumokėti mokesčius, įskaitant socialinio draudimo įmokas ir dėl to laikomas </w:t>
            </w:r>
            <w:r w:rsidRPr="00C54A7B">
              <w:rPr>
                <w:rFonts w:ascii="Times New Roman" w:hAnsi="Times New Roman" w:cs="Times New Roman"/>
                <w:bCs/>
                <w:color w:val="000000"/>
                <w:lang w:eastAsia="lt-LT"/>
              </w:rPr>
              <w:lastRenderedPageBreak/>
              <w:t>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F54615"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C54A7B">
              <w:rPr>
                <w:rFonts w:ascii="Times New Roman" w:hAnsi="Times New Roman" w:cs="Times New Roman"/>
                <w:color w:val="000000"/>
                <w:lang w:eastAsia="lt-LT"/>
              </w:rPr>
              <w:lastRenderedPageBreak/>
              <w:t>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F54615"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F54615"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F54615"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F54615"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lastRenderedPageBreak/>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1036F" w:rsidRPr="0021036F" w:rsidRDefault="0021036F" w:rsidP="0021036F">
      <w:pPr>
        <w:shd w:val="clear" w:color="auto" w:fill="FFFFFF"/>
        <w:ind w:left="-567" w:firstLine="1134"/>
        <w:jc w:val="both"/>
        <w:rPr>
          <w:b/>
          <w:sz w:val="22"/>
          <w:szCs w:val="22"/>
        </w:rPr>
      </w:pPr>
      <w:r w:rsidRPr="0021036F">
        <w:rPr>
          <w:b/>
          <w:sz w:val="22"/>
          <w:szCs w:val="22"/>
        </w:rPr>
        <w:t xml:space="preserve">3.14. Tarybos reglamente </w:t>
      </w:r>
      <w:r w:rsidRPr="0021036F">
        <w:rPr>
          <w:b/>
          <w:bCs/>
          <w:sz w:val="22"/>
          <w:szCs w:val="22"/>
          <w:shd w:val="clear" w:color="auto" w:fill="FFFFFF"/>
        </w:rPr>
        <w:t>(ES) 2022/576</w:t>
      </w:r>
      <w:r w:rsidRPr="0021036F">
        <w:rPr>
          <w:b/>
          <w:sz w:val="22"/>
          <w:szCs w:val="22"/>
        </w:rPr>
        <w:t xml:space="preserve"> nustatytų sąlygų nebuvimas*</w:t>
      </w:r>
    </w:p>
    <w:p w:rsidR="0021036F" w:rsidRPr="0021036F" w:rsidRDefault="0021036F" w:rsidP="0021036F">
      <w:pPr>
        <w:shd w:val="clear" w:color="auto" w:fill="FFFFFF"/>
        <w:ind w:left="-567" w:firstLine="1134"/>
        <w:jc w:val="both"/>
        <w:rPr>
          <w:sz w:val="22"/>
          <w:szCs w:val="22"/>
        </w:rPr>
      </w:pPr>
      <w:r w:rsidRPr="0021036F">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3B42CA" w:rsidTr="003B51B3">
        <w:trPr>
          <w:trHeight w:val="633"/>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1.</w:t>
            </w:r>
          </w:p>
        </w:tc>
        <w:tc>
          <w:tcPr>
            <w:tcW w:w="2799" w:type="pct"/>
          </w:tcPr>
          <w:p w:rsidR="003B42CA" w:rsidRPr="003B51B3" w:rsidRDefault="003B42CA" w:rsidP="00323CE5">
            <w:pPr>
              <w:rPr>
                <w:sz w:val="22"/>
                <w:szCs w:val="22"/>
              </w:rPr>
            </w:pPr>
            <w:r w:rsidRPr="003B51B3">
              <w:rPr>
                <w:sz w:val="22"/>
                <w:szCs w:val="22"/>
              </w:rPr>
              <w:t>Tiekėjas yra Rusijos pilietis fizinis ar juridinis asmuo, subjektas ar organizacija, įsisteigusi Rusijoje</w:t>
            </w:r>
          </w:p>
        </w:tc>
        <w:tc>
          <w:tcPr>
            <w:tcW w:w="1906" w:type="pct"/>
            <w:vMerge w:val="restart"/>
          </w:tcPr>
          <w:p w:rsidR="003B42CA" w:rsidRPr="003B42CA" w:rsidRDefault="003B42CA" w:rsidP="00323CE5">
            <w:pPr>
              <w:jc w:val="both"/>
              <w:rPr>
                <w:color w:val="000000" w:themeColor="text1"/>
                <w:sz w:val="22"/>
                <w:szCs w:val="22"/>
              </w:rPr>
            </w:pPr>
            <w:r w:rsidRPr="003B42CA">
              <w:rPr>
                <w:color w:val="000000" w:themeColor="text1"/>
                <w:sz w:val="22"/>
                <w:szCs w:val="22"/>
              </w:rPr>
              <w:t xml:space="preserve">Pateikiama: </w:t>
            </w:r>
            <w:r w:rsidRPr="003B42CA">
              <w:rPr>
                <w:b/>
                <w:color w:val="000000" w:themeColor="text1"/>
                <w:sz w:val="22"/>
                <w:szCs w:val="22"/>
              </w:rPr>
              <w:t>Tiekėjo d</w:t>
            </w:r>
            <w:r w:rsidRPr="003B42CA">
              <w:rPr>
                <w:b/>
                <w:bCs/>
                <w:color w:val="000000" w:themeColor="text1"/>
                <w:sz w:val="22"/>
                <w:szCs w:val="22"/>
              </w:rPr>
              <w:t xml:space="preserve">eklaracija dėl </w:t>
            </w:r>
            <w:r w:rsidRPr="003B42CA">
              <w:rPr>
                <w:b/>
                <w:color w:val="000000" w:themeColor="text1"/>
                <w:sz w:val="22"/>
                <w:szCs w:val="22"/>
              </w:rPr>
              <w:t xml:space="preserve">Tarybos reglamente </w:t>
            </w:r>
            <w:r w:rsidRPr="003B42CA">
              <w:rPr>
                <w:b/>
                <w:bCs/>
                <w:color w:val="000000" w:themeColor="text1"/>
                <w:sz w:val="22"/>
                <w:szCs w:val="22"/>
                <w:shd w:val="clear" w:color="auto" w:fill="FFFFFF"/>
              </w:rPr>
              <w:t>(ES) 2022/576</w:t>
            </w:r>
            <w:r w:rsidRPr="003B42CA">
              <w:rPr>
                <w:b/>
                <w:color w:val="000000" w:themeColor="text1"/>
                <w:sz w:val="22"/>
                <w:szCs w:val="22"/>
              </w:rPr>
              <w:t xml:space="preserve"> nustatytų sąlygų nebuvimo</w:t>
            </w:r>
            <w:r w:rsidRPr="003B42CA">
              <w:rPr>
                <w:color w:val="000000" w:themeColor="text1"/>
                <w:sz w:val="22"/>
                <w:szCs w:val="22"/>
              </w:rPr>
              <w:t xml:space="preserve"> (pildoma pagal pirkimo sąlygų 7 priedą)</w:t>
            </w:r>
          </w:p>
          <w:p w:rsidR="003B42CA" w:rsidRPr="003B42CA" w:rsidRDefault="003B42CA" w:rsidP="00323CE5">
            <w:pPr>
              <w:jc w:val="both"/>
              <w:rPr>
                <w:color w:val="000000" w:themeColor="text1"/>
                <w:sz w:val="22"/>
                <w:szCs w:val="22"/>
              </w:rPr>
            </w:pPr>
            <w:r w:rsidRPr="003B42CA">
              <w:rPr>
                <w:color w:val="000000" w:themeColor="text1"/>
                <w:sz w:val="22"/>
                <w:szCs w:val="22"/>
                <w:u w:val="single"/>
              </w:rPr>
              <w:t>Pateikiama dokumento kopija</w:t>
            </w:r>
          </w:p>
          <w:p w:rsidR="003B42CA" w:rsidRPr="003B42CA" w:rsidRDefault="003B42CA" w:rsidP="00323CE5">
            <w:pPr>
              <w:jc w:val="both"/>
              <w:rPr>
                <w:i/>
                <w:color w:val="8DB3E2" w:themeColor="text2" w:themeTint="66"/>
                <w:sz w:val="22"/>
                <w:szCs w:val="22"/>
              </w:rPr>
            </w:pPr>
            <w:r w:rsidRPr="003B42CA">
              <w:rPr>
                <w:i/>
                <w:color w:val="8DB3E2" w:themeColor="text2" w:themeTint="66"/>
                <w:sz w:val="22"/>
                <w:szCs w:val="22"/>
              </w:rPr>
              <w:t xml:space="preserve"> </w:t>
            </w: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shd w:val="clear" w:color="auto" w:fill="FFFFFF"/>
              <w:ind w:firstLine="33"/>
              <w:jc w:val="both"/>
              <w:rPr>
                <w:color w:val="8DB3E2" w:themeColor="text2" w:themeTint="66"/>
                <w:sz w:val="22"/>
                <w:szCs w:val="22"/>
              </w:rPr>
            </w:pPr>
            <w:r w:rsidRPr="003B51B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3B42CA" w:rsidRDefault="003B42CA" w:rsidP="00323CE5">
            <w:pPr>
              <w:jc w:val="both"/>
              <w:rPr>
                <w:color w:val="8DB3E2" w:themeColor="text2" w:themeTint="66"/>
                <w:sz w:val="22"/>
                <w:szCs w:val="22"/>
              </w:rPr>
            </w:pP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jc w:val="both"/>
              <w:rPr>
                <w:color w:val="8DB3E2" w:themeColor="text2" w:themeTint="66"/>
                <w:sz w:val="22"/>
                <w:szCs w:val="22"/>
              </w:rPr>
            </w:pPr>
            <w:r w:rsidRPr="003B51B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3B42CA" w:rsidRDefault="003B42CA" w:rsidP="00323CE5">
            <w:pPr>
              <w:jc w:val="both"/>
              <w:rPr>
                <w:color w:val="8DB3E2" w:themeColor="text2" w:themeTint="66"/>
                <w:sz w:val="22"/>
                <w:szCs w:val="22"/>
              </w:rPr>
            </w:pPr>
          </w:p>
        </w:tc>
      </w:tr>
    </w:tbl>
    <w:p w:rsidR="0021036F" w:rsidRPr="00DB1928" w:rsidRDefault="0021036F" w:rsidP="0021036F">
      <w:pPr>
        <w:pStyle w:val="Body2"/>
        <w:rPr>
          <w:b/>
          <w:i/>
          <w:lang w:val="lt-LT" w:eastAsia="lt-LT"/>
        </w:rPr>
      </w:pPr>
      <w:r w:rsidRPr="0021036F">
        <w:rPr>
          <w:rFonts w:cs="Times New Roman"/>
          <w:b/>
          <w:i/>
        </w:rPr>
        <w:t xml:space="preserve">*Pastaba. Esant poreikiui </w:t>
      </w:r>
      <w:r w:rsidRPr="0021036F">
        <w:rPr>
          <w:b/>
          <w:i/>
          <w:lang w:val="lt-LT" w:eastAsia="lt-LT"/>
        </w:rPr>
        <w:t>Perkančioji organizacija gali paprašyti galimo laimėtojo pateikti dokumentus (VPĮ 51 str. 12 d.), pagrindžianč</w:t>
      </w:r>
      <w:r w:rsidR="00145AAB">
        <w:rPr>
          <w:b/>
          <w:i/>
          <w:lang w:val="lt-LT" w:eastAsia="lt-LT"/>
        </w:rPr>
        <w:t>ius užpildytoje deklaracijoje (7</w:t>
      </w:r>
      <w:r w:rsidRPr="0021036F">
        <w:rPr>
          <w:b/>
          <w:i/>
          <w:lang w:val="lt-LT" w:eastAsia="lt-LT"/>
        </w:rPr>
        <w:t xml:space="preserve"> priedas) pateiktos informacijos teisingumą.</w:t>
      </w: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 xml:space="preserve">ir </w:t>
      </w:r>
      <w:r w:rsidRPr="007A7217">
        <w:rPr>
          <w:rFonts w:cs="Times New Roman"/>
          <w:sz w:val="22"/>
          <w:szCs w:val="22"/>
          <w:lang w:val="de-DE"/>
        </w:rPr>
        <w:lastRenderedPageBreak/>
        <w:t>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5.1. Tiekėjas</w:t>
      </w:r>
      <w:r w:rsidR="00F704E1" w:rsidRPr="007A7217">
        <w:rPr>
          <w:rFonts w:cs="Times New Roman"/>
          <w:sz w:val="22"/>
          <w:szCs w:val="22"/>
        </w:rPr>
        <w:t xml:space="preserve"> vienai pirkimo daliai</w:t>
      </w:r>
      <w:r w:rsidRPr="007A7217">
        <w:rPr>
          <w:rFonts w:cs="Times New Roman"/>
          <w:sz w:val="22"/>
          <w:szCs w:val="22"/>
        </w:rPr>
        <w:t xml:space="preserve"> gali pateikti tik vieną </w:t>
      </w:r>
      <w:r w:rsidRPr="007A7217">
        <w:rPr>
          <w:rFonts w:cs="Times New Roman"/>
          <w:sz w:val="22"/>
          <w:szCs w:val="22"/>
          <w:lang w:val="es-ES_tradnl"/>
        </w:rPr>
        <w:t>pasi</w:t>
      </w:r>
      <w:r w:rsidRPr="007A7217">
        <w:rPr>
          <w:rFonts w:cs="Times New Roman"/>
          <w:sz w:val="22"/>
          <w:szCs w:val="22"/>
        </w:rPr>
        <w:t xml:space="preserve">ūlymą. Jei tiekėjas pateikia daugiau kaip vieną </w:t>
      </w:r>
      <w:r w:rsidRPr="007A7217">
        <w:rPr>
          <w:rFonts w:cs="Times New Roman"/>
          <w:sz w:val="22"/>
          <w:szCs w:val="22"/>
          <w:lang w:val="es-ES_tradnl"/>
        </w:rPr>
        <w:t>pasi</w:t>
      </w:r>
      <w:r w:rsidRPr="007A7217">
        <w:rPr>
          <w:rFonts w:cs="Times New Roman"/>
          <w:sz w:val="22"/>
          <w:szCs w:val="22"/>
        </w:rPr>
        <w:t>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835113">
        <w:rPr>
          <w:rFonts w:cs="Times New Roman"/>
          <w:b/>
          <w:iCs/>
          <w:color w:val="548DD4" w:themeColor="text2" w:themeTint="99"/>
          <w:sz w:val="22"/>
          <w:szCs w:val="22"/>
        </w:rPr>
        <w:t>5</w:t>
      </w:r>
      <w:r w:rsidR="009A3013" w:rsidRPr="000706F8">
        <w:rPr>
          <w:rFonts w:cs="Times New Roman"/>
          <w:b/>
          <w:iCs/>
          <w:color w:val="548DD4" w:themeColor="text2" w:themeTint="99"/>
          <w:sz w:val="22"/>
          <w:szCs w:val="22"/>
        </w:rPr>
        <w:t xml:space="preserve"> </w:t>
      </w:r>
      <w:r w:rsidR="00EE6F70">
        <w:rPr>
          <w:rFonts w:cs="Times New Roman"/>
          <w:b/>
          <w:iCs/>
          <w:color w:val="548DD4" w:themeColor="text2" w:themeTint="99"/>
          <w:sz w:val="22"/>
          <w:szCs w:val="22"/>
        </w:rPr>
        <w:t>m. liepos</w:t>
      </w:r>
      <w:r w:rsidR="003B7AD1" w:rsidRPr="000706F8">
        <w:rPr>
          <w:rFonts w:cs="Times New Roman"/>
          <w:b/>
          <w:iCs/>
          <w:color w:val="548DD4" w:themeColor="text2" w:themeTint="99"/>
          <w:sz w:val="22"/>
          <w:szCs w:val="22"/>
        </w:rPr>
        <w:t xml:space="preserve"> </w:t>
      </w:r>
      <w:r w:rsidR="00D12F53">
        <w:rPr>
          <w:rFonts w:cs="Times New Roman"/>
          <w:b/>
          <w:iCs/>
          <w:color w:val="548DD4" w:themeColor="text2" w:themeTint="99"/>
          <w:sz w:val="22"/>
          <w:szCs w:val="22"/>
        </w:rPr>
        <w:t>2</w:t>
      </w:r>
      <w:r w:rsidR="009755A5">
        <w:rPr>
          <w:rFonts w:cs="Times New Roman"/>
          <w:b/>
          <w:iCs/>
          <w:color w:val="548DD4" w:themeColor="text2" w:themeTint="99"/>
          <w:sz w:val="22"/>
          <w:szCs w:val="22"/>
        </w:rPr>
        <w:t>8</w:t>
      </w:r>
      <w:r w:rsidRPr="000706F8">
        <w:rPr>
          <w:rFonts w:cs="Times New Roman"/>
          <w:b/>
          <w:iCs/>
          <w:color w:val="548DD4" w:themeColor="text2" w:themeTint="99"/>
          <w:sz w:val="22"/>
          <w:szCs w:val="22"/>
        </w:rPr>
        <w:t xml:space="preserve"> d. </w:t>
      </w:r>
      <w:r w:rsidR="00550A9E">
        <w:rPr>
          <w:rFonts w:cs="Times New Roman"/>
          <w:b/>
          <w:iCs/>
          <w:color w:val="548DD4" w:themeColor="text2" w:themeTint="99"/>
          <w:sz w:val="22"/>
          <w:szCs w:val="22"/>
        </w:rPr>
        <w:t>10</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lastRenderedPageBreak/>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9033D4" w:rsidRDefault="009033D4" w:rsidP="00AD2506">
      <w:pPr>
        <w:tabs>
          <w:tab w:val="left" w:pos="567"/>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9033D4">
        <w:rPr>
          <w:rFonts w:eastAsia="Arial Unicode MS"/>
          <w:b/>
          <w:color w:val="548DD4" w:themeColor="text2" w:themeTint="99"/>
          <w:sz w:val="22"/>
          <w:szCs w:val="22"/>
          <w:bdr w:val="nil"/>
          <w:lang w:eastAsia="en-GB"/>
        </w:rPr>
        <w:t xml:space="preserve">Tiekėjo deklaracija dėl Tarybos reglamente (ES) 2022/576 nustatytų sąlygų nebuvimo </w:t>
      </w:r>
    </w:p>
    <w:p w:rsidR="009033D4" w:rsidRPr="007A7217" w:rsidRDefault="009033D4" w:rsidP="000761A9">
      <w:pPr>
        <w:tabs>
          <w:tab w:val="left" w:pos="567"/>
        </w:tabs>
        <w:suppressAutoHyphens/>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 (7 priedas)</w:t>
      </w:r>
    </w:p>
    <w:p w:rsidR="000729DE" w:rsidRPr="007A7217" w:rsidRDefault="009033D4" w:rsidP="000761A9">
      <w:pPr>
        <w:tabs>
          <w:tab w:val="left" w:pos="567"/>
        </w:tabs>
        <w:suppressAutoHyphens/>
        <w:ind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 xml:space="preserve">Tiekėjai turi pateikti pasiūlyme nurodytų parametrų teisingumą įrodančius firmos gamintojos dokumentus (bukletus ir </w:t>
      </w:r>
      <w:proofErr w:type="gramStart"/>
      <w:r w:rsidR="00A1113B" w:rsidRPr="007A7217">
        <w:rPr>
          <w:rFonts w:cs="Times New Roman"/>
          <w:b/>
          <w:color w:val="548DD4" w:themeColor="text2" w:themeTint="99"/>
          <w:sz w:val="22"/>
          <w:szCs w:val="22"/>
        </w:rPr>
        <w:t>pan</w:t>
      </w:r>
      <w:proofErr w:type="gramEnd"/>
      <w:r w:rsidR="00A1113B" w:rsidRPr="007A7217">
        <w:rPr>
          <w:rFonts w:cs="Times New Roman"/>
          <w:b/>
          <w:color w:val="548DD4" w:themeColor="text2" w:themeTint="99"/>
          <w:sz w:val="22"/>
          <w:szCs w:val="22"/>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w:t>
      </w:r>
      <w:r w:rsidRPr="007A7217">
        <w:rPr>
          <w:rFonts w:cs="Times New Roman"/>
          <w:sz w:val="22"/>
          <w:szCs w:val="22"/>
          <w:lang w:val="pt-PT"/>
        </w:rPr>
        <w:lastRenderedPageBreak/>
        <w:t xml:space="preserve">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EE6F70">
        <w:rPr>
          <w:b/>
          <w:iCs/>
          <w:color w:val="548DD4" w:themeColor="text2" w:themeTint="99"/>
          <w:sz w:val="22"/>
          <w:szCs w:val="22"/>
        </w:rPr>
        <w:t>liepos</w:t>
      </w:r>
      <w:r w:rsidR="000706F8" w:rsidRPr="000706F8">
        <w:rPr>
          <w:b/>
          <w:iCs/>
          <w:color w:val="548DD4" w:themeColor="text2" w:themeTint="99"/>
          <w:sz w:val="22"/>
          <w:szCs w:val="22"/>
        </w:rPr>
        <w:t xml:space="preserve"> </w:t>
      </w:r>
      <w:r w:rsidR="00550A9E">
        <w:rPr>
          <w:b/>
          <w:iCs/>
          <w:color w:val="548DD4" w:themeColor="text2" w:themeTint="99"/>
          <w:sz w:val="22"/>
          <w:szCs w:val="22"/>
        </w:rPr>
        <w:t>2</w:t>
      </w:r>
      <w:r w:rsidR="009755A5">
        <w:rPr>
          <w:b/>
          <w:iCs/>
          <w:color w:val="548DD4" w:themeColor="text2" w:themeTint="99"/>
          <w:sz w:val="22"/>
          <w:szCs w:val="22"/>
        </w:rPr>
        <w:t>8</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550A9E">
        <w:rPr>
          <w:b/>
          <w:iCs/>
          <w:color w:val="548DD4" w:themeColor="text2" w:themeTint="99"/>
          <w:sz w:val="22"/>
          <w:szCs w:val="22"/>
        </w:rPr>
        <w:t>10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EE6F70">
        <w:rPr>
          <w:b/>
          <w:iCs/>
          <w:color w:val="548DD4" w:themeColor="text2" w:themeTint="99"/>
          <w:sz w:val="22"/>
          <w:szCs w:val="22"/>
          <w:u w:val="single"/>
        </w:rPr>
        <w:t xml:space="preserve"> liepos</w:t>
      </w:r>
      <w:r w:rsidR="002A5A44">
        <w:rPr>
          <w:b/>
          <w:iCs/>
          <w:color w:val="548DD4" w:themeColor="text2" w:themeTint="99"/>
          <w:sz w:val="22"/>
          <w:szCs w:val="22"/>
          <w:u w:val="single"/>
        </w:rPr>
        <w:t xml:space="preserve"> </w:t>
      </w:r>
      <w:r w:rsidR="00550A9E">
        <w:rPr>
          <w:b/>
          <w:iCs/>
          <w:color w:val="548DD4" w:themeColor="text2" w:themeTint="99"/>
          <w:sz w:val="22"/>
          <w:szCs w:val="22"/>
          <w:u w:val="single"/>
        </w:rPr>
        <w:t>2</w:t>
      </w:r>
      <w:r w:rsidR="009755A5">
        <w:rPr>
          <w:b/>
          <w:iCs/>
          <w:color w:val="548DD4" w:themeColor="text2" w:themeTint="99"/>
          <w:sz w:val="22"/>
          <w:szCs w:val="22"/>
          <w:u w:val="single"/>
        </w:rPr>
        <w:t>8</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550A9E">
        <w:rPr>
          <w:b/>
          <w:iCs/>
          <w:color w:val="548DD4" w:themeColor="text2" w:themeTint="99"/>
          <w:sz w:val="22"/>
          <w:szCs w:val="22"/>
          <w:u w:val="single"/>
        </w:rPr>
        <w:t>10</w:t>
      </w:r>
      <w:r w:rsidRPr="000706F8">
        <w:rPr>
          <w:b/>
          <w:iCs/>
          <w:color w:val="548DD4" w:themeColor="text2" w:themeTint="99"/>
          <w:sz w:val="22"/>
          <w:szCs w:val="22"/>
          <w:u w:val="single"/>
        </w:rPr>
        <w:t xml:space="preserve">.00 – </w:t>
      </w:r>
      <w:r w:rsidR="00550A9E">
        <w:rPr>
          <w:b/>
          <w:iCs/>
          <w:color w:val="548DD4" w:themeColor="text2" w:themeTint="99"/>
          <w:sz w:val="22"/>
          <w:szCs w:val="22"/>
          <w:u w:val="single"/>
        </w:rPr>
        <w:t>10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lastRenderedPageBreak/>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 xml:space="preserve">ą </w:t>
      </w:r>
      <w:proofErr w:type="gramStart"/>
      <w:r w:rsidRPr="00B36A91">
        <w:rPr>
          <w:rFonts w:cs="Times New Roman"/>
          <w:sz w:val="22"/>
          <w:szCs w:val="22"/>
        </w:rPr>
        <w:t>dė</w:t>
      </w:r>
      <w:r w:rsidRPr="00B36A91">
        <w:rPr>
          <w:rFonts w:cs="Times New Roman"/>
          <w:sz w:val="22"/>
          <w:szCs w:val="22"/>
          <w:lang w:val="it-IT"/>
        </w:rPr>
        <w:t>l</w:t>
      </w:r>
      <w:proofErr w:type="gramEnd"/>
      <w:r w:rsidRPr="00B36A91">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lastRenderedPageBreak/>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lastRenderedPageBreak/>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374682">
        <w:rPr>
          <w:color w:val="000000"/>
          <w:sz w:val="22"/>
          <w:szCs w:val="22"/>
          <w:lang w:eastAsia="lt-LT"/>
        </w:rPr>
        <w:t>Tvarsliava</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bookmarkStart w:id="2" w:name="_GoBack"/>
      <w:bookmarkEnd w:id="2"/>
    </w:p>
    <w:p w:rsidR="00CC1F5E"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550A9E" w:rsidRPr="007A7217" w:rsidRDefault="00550A9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615" w:rsidRDefault="00F54615" w:rsidP="00D348FD">
      <w:r>
        <w:separator/>
      </w:r>
    </w:p>
  </w:endnote>
  <w:endnote w:type="continuationSeparator" w:id="0">
    <w:p w:rsidR="00F54615" w:rsidRDefault="00F54615"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615" w:rsidRDefault="00F54615">
    <w:pPr>
      <w:pStyle w:val="Footer"/>
      <w:jc w:val="right"/>
    </w:pPr>
  </w:p>
  <w:p w:rsidR="00F54615" w:rsidRDefault="00F54615">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615" w:rsidRDefault="00F54615">
    <w:pPr>
      <w:pStyle w:val="Footer"/>
      <w:jc w:val="right"/>
    </w:pPr>
  </w:p>
  <w:p w:rsidR="00F54615" w:rsidRDefault="00F546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615" w:rsidRDefault="00F54615" w:rsidP="00D348FD">
      <w:r>
        <w:separator/>
      </w:r>
    </w:p>
  </w:footnote>
  <w:footnote w:type="continuationSeparator" w:id="0">
    <w:p w:rsidR="00F54615" w:rsidRDefault="00F54615" w:rsidP="00D348FD">
      <w:r>
        <w:continuationSeparator/>
      </w:r>
    </w:p>
  </w:footnote>
  <w:footnote w:id="1">
    <w:p w:rsidR="00F54615" w:rsidRPr="00C54A7B" w:rsidRDefault="00F54615"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54615" w:rsidRPr="00C54A7B" w:rsidRDefault="00F54615" w:rsidP="00C54A7B">
      <w:pPr>
        <w:pStyle w:val="FootnoteText"/>
        <w:numPr>
          <w:ilvl w:val="0"/>
          <w:numId w:val="31"/>
        </w:numPr>
        <w:rPr>
          <w:rFonts w:eastAsia="Yu Mincho"/>
          <w:i/>
          <w:iCs/>
        </w:rPr>
      </w:pPr>
      <w:r w:rsidRPr="00C54A7B">
        <w:rPr>
          <w:rFonts w:eastAsia="Yu Mincho"/>
          <w:i/>
          <w:iCs/>
        </w:rPr>
        <w:t xml:space="preserve">priesaikos deklaracija; </w:t>
      </w:r>
    </w:p>
    <w:p w:rsidR="00F54615" w:rsidRDefault="00F54615"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24B95"/>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A08F6"/>
    <w:rsid w:val="000A4E80"/>
    <w:rsid w:val="000A607B"/>
    <w:rsid w:val="000E4AD1"/>
    <w:rsid w:val="000F27B7"/>
    <w:rsid w:val="000F47D7"/>
    <w:rsid w:val="000F594A"/>
    <w:rsid w:val="00105854"/>
    <w:rsid w:val="00121503"/>
    <w:rsid w:val="001248B2"/>
    <w:rsid w:val="001309EE"/>
    <w:rsid w:val="00135D44"/>
    <w:rsid w:val="00145AAB"/>
    <w:rsid w:val="001601E7"/>
    <w:rsid w:val="00172554"/>
    <w:rsid w:val="001740CF"/>
    <w:rsid w:val="001A033D"/>
    <w:rsid w:val="001A4824"/>
    <w:rsid w:val="001A6875"/>
    <w:rsid w:val="001A6DA0"/>
    <w:rsid w:val="001B1C41"/>
    <w:rsid w:val="001B29E3"/>
    <w:rsid w:val="001B66C0"/>
    <w:rsid w:val="001D178E"/>
    <w:rsid w:val="001D3322"/>
    <w:rsid w:val="001D5C9B"/>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C7DC1"/>
    <w:rsid w:val="002D398F"/>
    <w:rsid w:val="002E02D3"/>
    <w:rsid w:val="002E5947"/>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682"/>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3688F"/>
    <w:rsid w:val="00444E13"/>
    <w:rsid w:val="004473B7"/>
    <w:rsid w:val="00457516"/>
    <w:rsid w:val="0046028A"/>
    <w:rsid w:val="004619B9"/>
    <w:rsid w:val="00470506"/>
    <w:rsid w:val="0047518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50A9E"/>
    <w:rsid w:val="00551DA7"/>
    <w:rsid w:val="00574FFF"/>
    <w:rsid w:val="00581CE1"/>
    <w:rsid w:val="00582AEF"/>
    <w:rsid w:val="00595E4D"/>
    <w:rsid w:val="005A67AC"/>
    <w:rsid w:val="005D6D2B"/>
    <w:rsid w:val="005E6556"/>
    <w:rsid w:val="005F42BF"/>
    <w:rsid w:val="005F6A2A"/>
    <w:rsid w:val="006048E5"/>
    <w:rsid w:val="0060712E"/>
    <w:rsid w:val="00614540"/>
    <w:rsid w:val="0062424E"/>
    <w:rsid w:val="00630E3D"/>
    <w:rsid w:val="00660934"/>
    <w:rsid w:val="006674AF"/>
    <w:rsid w:val="00670BBC"/>
    <w:rsid w:val="0067568F"/>
    <w:rsid w:val="00676354"/>
    <w:rsid w:val="0067693D"/>
    <w:rsid w:val="00676AA3"/>
    <w:rsid w:val="00680520"/>
    <w:rsid w:val="00683987"/>
    <w:rsid w:val="00686478"/>
    <w:rsid w:val="00693E23"/>
    <w:rsid w:val="0069713A"/>
    <w:rsid w:val="006A03D3"/>
    <w:rsid w:val="006A1757"/>
    <w:rsid w:val="006C16A2"/>
    <w:rsid w:val="006C4497"/>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32CC1"/>
    <w:rsid w:val="00833845"/>
    <w:rsid w:val="00835113"/>
    <w:rsid w:val="00837416"/>
    <w:rsid w:val="00856B92"/>
    <w:rsid w:val="00864B9D"/>
    <w:rsid w:val="008673A7"/>
    <w:rsid w:val="00871F43"/>
    <w:rsid w:val="008850F6"/>
    <w:rsid w:val="00885D7E"/>
    <w:rsid w:val="00886BA5"/>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54D7C"/>
    <w:rsid w:val="00957318"/>
    <w:rsid w:val="00971BA0"/>
    <w:rsid w:val="00971E19"/>
    <w:rsid w:val="009755A5"/>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36091"/>
    <w:rsid w:val="00A43824"/>
    <w:rsid w:val="00A4659B"/>
    <w:rsid w:val="00A47354"/>
    <w:rsid w:val="00A47AC1"/>
    <w:rsid w:val="00A60223"/>
    <w:rsid w:val="00A76F9F"/>
    <w:rsid w:val="00A87C15"/>
    <w:rsid w:val="00A90F29"/>
    <w:rsid w:val="00A91A11"/>
    <w:rsid w:val="00A9598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0433"/>
    <w:rsid w:val="00B3476B"/>
    <w:rsid w:val="00B35758"/>
    <w:rsid w:val="00B36A91"/>
    <w:rsid w:val="00B44CD6"/>
    <w:rsid w:val="00B511F6"/>
    <w:rsid w:val="00B546C8"/>
    <w:rsid w:val="00B56AF6"/>
    <w:rsid w:val="00B62F74"/>
    <w:rsid w:val="00B77C5A"/>
    <w:rsid w:val="00B832B8"/>
    <w:rsid w:val="00B85522"/>
    <w:rsid w:val="00B90B2B"/>
    <w:rsid w:val="00B95358"/>
    <w:rsid w:val="00B960E3"/>
    <w:rsid w:val="00B97858"/>
    <w:rsid w:val="00BA6958"/>
    <w:rsid w:val="00BB33CD"/>
    <w:rsid w:val="00BB3B7D"/>
    <w:rsid w:val="00BB5C93"/>
    <w:rsid w:val="00BD3E55"/>
    <w:rsid w:val="00BE3121"/>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D00821"/>
    <w:rsid w:val="00D12F53"/>
    <w:rsid w:val="00D348FD"/>
    <w:rsid w:val="00D425CA"/>
    <w:rsid w:val="00D46F8C"/>
    <w:rsid w:val="00D50C4E"/>
    <w:rsid w:val="00D63C69"/>
    <w:rsid w:val="00D723B1"/>
    <w:rsid w:val="00D77C80"/>
    <w:rsid w:val="00D84289"/>
    <w:rsid w:val="00D87B13"/>
    <w:rsid w:val="00DA4111"/>
    <w:rsid w:val="00DA4320"/>
    <w:rsid w:val="00DA5861"/>
    <w:rsid w:val="00DB0BEB"/>
    <w:rsid w:val="00DB49F1"/>
    <w:rsid w:val="00DC3731"/>
    <w:rsid w:val="00DC7725"/>
    <w:rsid w:val="00DD3701"/>
    <w:rsid w:val="00DE0292"/>
    <w:rsid w:val="00DE046C"/>
    <w:rsid w:val="00DE2154"/>
    <w:rsid w:val="00DE2E0C"/>
    <w:rsid w:val="00DE7E7B"/>
    <w:rsid w:val="00E039E1"/>
    <w:rsid w:val="00E05285"/>
    <w:rsid w:val="00E061EA"/>
    <w:rsid w:val="00E17DFB"/>
    <w:rsid w:val="00E22DBF"/>
    <w:rsid w:val="00E3259F"/>
    <w:rsid w:val="00E43192"/>
    <w:rsid w:val="00E718B5"/>
    <w:rsid w:val="00E72387"/>
    <w:rsid w:val="00E81F10"/>
    <w:rsid w:val="00E849FA"/>
    <w:rsid w:val="00E85C9D"/>
    <w:rsid w:val="00E91015"/>
    <w:rsid w:val="00EA5D7A"/>
    <w:rsid w:val="00EC1E1C"/>
    <w:rsid w:val="00EC48B0"/>
    <w:rsid w:val="00ED182D"/>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54615"/>
    <w:rsid w:val="00F65F30"/>
    <w:rsid w:val="00F704E1"/>
    <w:rsid w:val="00F83A08"/>
    <w:rsid w:val="00F92E70"/>
    <w:rsid w:val="00FA048F"/>
    <w:rsid w:val="00FA49D0"/>
    <w:rsid w:val="00FB60FF"/>
    <w:rsid w:val="00FB7537"/>
    <w:rsid w:val="00FC0245"/>
    <w:rsid w:val="00FC40BB"/>
    <w:rsid w:val="00FD0EF3"/>
    <w:rsid w:val="00FD3AE3"/>
    <w:rsid w:val="00FD4B94"/>
    <w:rsid w:val="00FD5AB9"/>
    <w:rsid w:val="00FD6CBF"/>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84843-90B6-44AE-AEA0-934621A3F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18</Pages>
  <Words>40175</Words>
  <Characters>22901</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78</cp:revision>
  <cp:lastPrinted>2019-12-02T08:33:00Z</cp:lastPrinted>
  <dcterms:created xsi:type="dcterms:W3CDTF">2023-02-01T12:53:00Z</dcterms:created>
  <dcterms:modified xsi:type="dcterms:W3CDTF">2025-06-22T22:04:00Z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