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5BE20813" w:rsidR="0068231C" w:rsidRDefault="00CF0B97">
            <w:pPr>
              <w:jc w:val="both"/>
              <w:rPr>
                <w:kern w:val="2"/>
                <w:szCs w:val="24"/>
              </w:rPr>
            </w:pPr>
            <w:r w:rsidRPr="00CF0B97">
              <w:rPr>
                <w:kern w:val="2"/>
                <w:szCs w:val="24"/>
              </w:rPr>
              <w:t>„</w:t>
            </w:r>
            <w:r w:rsidR="00A142B0" w:rsidRPr="00A142B0">
              <w:rPr>
                <w:kern w:val="2"/>
                <w:szCs w:val="24"/>
              </w:rPr>
              <w:t>Neigiamo slėgio žaizdų gydymo aparatai (10977)</w:t>
            </w:r>
            <w:r w:rsidRPr="00CF0B97">
              <w:rPr>
                <w:kern w:val="2"/>
                <w:szCs w:val="24"/>
              </w:rPr>
              <w:t>“</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1DF3D128" w14:textId="77777777" w:rsidR="000E6483" w:rsidRDefault="000E6483" w:rsidP="000E6483">
            <w:pPr>
              <w:rPr>
                <w:color w:val="0070C0"/>
                <w:kern w:val="2"/>
                <w:szCs w:val="24"/>
              </w:rPr>
            </w:pPr>
            <w:r>
              <w:rPr>
                <w:color w:val="0070C0"/>
                <w:kern w:val="2"/>
                <w:szCs w:val="24"/>
              </w:rPr>
              <w:t>(jei Tiekėjas yra fizinis asmuo, skiltys atitinkamai pakoreguojamos.</w:t>
            </w:r>
          </w:p>
          <w:p w14:paraId="2DABC0CD" w14:textId="77777777" w:rsidR="000E6483" w:rsidRDefault="000E6483" w:rsidP="000E6483">
            <w:pPr>
              <w:rPr>
                <w:color w:val="0070C0"/>
                <w:kern w:val="2"/>
                <w:szCs w:val="24"/>
              </w:rPr>
            </w:pPr>
            <w:r>
              <w:rPr>
                <w:color w:val="0070C0"/>
                <w:kern w:val="2"/>
                <w:szCs w:val="24"/>
              </w:rPr>
              <w:t>Jei Tiekėjas yra tiekėjų grupė, skiltys pildomos įterpiant kiekvieno grupės nario informaciją)</w:t>
            </w:r>
          </w:p>
          <w:p w14:paraId="31104713" w14:textId="77777777" w:rsidR="000E6483" w:rsidRDefault="000E6483" w:rsidP="000E6483">
            <w:pPr>
              <w:rPr>
                <w:color w:val="0070C0"/>
                <w:kern w:val="2"/>
                <w:szCs w:val="24"/>
              </w:rPr>
            </w:pP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095CAD8D"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A142B0">
              <w:rPr>
                <w:kern w:val="2"/>
                <w:szCs w:val="24"/>
              </w:rPr>
              <w:t>Medicinos technikos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E81FED">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lastRenderedPageBreak/>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4DA6EB92"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9E7618" w:rsidRPr="009E7618">
              <w:rPr>
                <w:kern w:val="2"/>
                <w:szCs w:val="24"/>
              </w:rPr>
              <w:t xml:space="preserve">neigiamo slėgio žaizdų gydymo aparatus </w:t>
            </w:r>
            <w:r w:rsidRPr="004C6076">
              <w:rPr>
                <w:color w:val="000000"/>
                <w:kern w:val="2"/>
                <w:szCs w:val="24"/>
              </w:rPr>
              <w:t>(toliau  – Prekės). Išsamus Prekių aprašymas ir kiti reikalavimai tiekiamoms Prekėms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687C1B37" w:rsidR="0068231C" w:rsidRPr="004B2763" w:rsidRDefault="00D9400C" w:rsidP="0033481E">
            <w:pPr>
              <w:jc w:val="both"/>
              <w:rPr>
                <w:kern w:val="2"/>
                <w:szCs w:val="24"/>
              </w:rPr>
            </w:pPr>
            <w:r w:rsidRPr="004B2763">
              <w:rPr>
                <w:kern w:val="2"/>
                <w:szCs w:val="24"/>
              </w:rPr>
              <w:t>„</w:t>
            </w:r>
            <w:r w:rsidR="009E7618" w:rsidRPr="009E7618">
              <w:rPr>
                <w:kern w:val="2"/>
                <w:szCs w:val="24"/>
              </w:rPr>
              <w:t>Neigiamo slėgio žaizdų gydymo aparatai (10977)</w:t>
            </w:r>
            <w:r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9E7618">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01DEFBDF" w:rsidR="0068231C" w:rsidRDefault="009E7618" w:rsidP="003F44E1">
            <w:pPr>
              <w:jc w:val="both"/>
              <w:rPr>
                <w:kern w:val="2"/>
                <w:szCs w:val="24"/>
              </w:rPr>
            </w:pPr>
            <w:r>
              <w:rPr>
                <w:kern w:val="2"/>
                <w:szCs w:val="24"/>
              </w:rPr>
              <w:t>Netaikoma</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48AC2635"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Pr="004C6076">
              <w:rPr>
                <w:kern w:val="2"/>
                <w:szCs w:val="24"/>
              </w:rPr>
              <w:t xml:space="preserve">ne vėliau kaip per </w:t>
            </w:r>
            <w:r w:rsidR="00150821">
              <w:rPr>
                <w:b/>
                <w:kern w:val="2"/>
                <w:szCs w:val="24"/>
              </w:rPr>
              <w:t>5</w:t>
            </w:r>
            <w:r w:rsidR="00150821" w:rsidRPr="004C6076">
              <w:rPr>
                <w:b/>
                <w:kern w:val="2"/>
                <w:szCs w:val="24"/>
              </w:rPr>
              <w:t xml:space="preserve"> </w:t>
            </w:r>
            <w:r w:rsidRPr="004C6076">
              <w:rPr>
                <w:b/>
                <w:kern w:val="2"/>
                <w:szCs w:val="24"/>
              </w:rPr>
              <w:t>(</w:t>
            </w:r>
            <w:r w:rsidR="00150821">
              <w:rPr>
                <w:b/>
                <w:kern w:val="2"/>
                <w:szCs w:val="24"/>
              </w:rPr>
              <w:t>penkis</w:t>
            </w:r>
            <w:r w:rsidRPr="004C6076">
              <w:rPr>
                <w:b/>
                <w:kern w:val="2"/>
                <w:szCs w:val="24"/>
              </w:rPr>
              <w:t xml:space="preserve">) </w:t>
            </w:r>
            <w:r w:rsidR="000D502D">
              <w:rPr>
                <w:b/>
                <w:kern w:val="2"/>
                <w:szCs w:val="24"/>
              </w:rPr>
              <w:t>mėnes</w:t>
            </w:r>
            <w:r w:rsidR="00150821">
              <w:rPr>
                <w:b/>
                <w:kern w:val="2"/>
                <w:szCs w:val="24"/>
              </w:rPr>
              <w:t>ius</w:t>
            </w:r>
            <w:r w:rsidRPr="004C6076">
              <w:rPr>
                <w:kern w:val="2"/>
                <w:szCs w:val="24"/>
              </w:rPr>
              <w:t xml:space="preserve"> nuo </w:t>
            </w:r>
            <w:r w:rsidR="00150821">
              <w:rPr>
                <w:kern w:val="2"/>
                <w:szCs w:val="24"/>
              </w:rPr>
              <w:t>Sutarties įsigaliojimo</w:t>
            </w:r>
            <w:r w:rsidRPr="004C6076">
              <w:rPr>
                <w:kern w:val="2"/>
                <w:szCs w:val="24"/>
              </w:rPr>
              <w:t xml:space="preserve"> dienos</w:t>
            </w:r>
            <w:r w:rsidRPr="004C6076">
              <w:rPr>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428F2BD"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r w:rsidR="00287DC0">
              <w:rPr>
                <w:kern w:val="2"/>
                <w:szCs w:val="24"/>
              </w:rPr>
              <w:t>Sutarties vykdymo (</w:t>
            </w:r>
            <w:r w:rsidR="00287DC0" w:rsidRPr="00287DC0">
              <w:rPr>
                <w:kern w:val="2"/>
                <w:szCs w:val="24"/>
              </w:rPr>
              <w:t>Prekių tiekimo</w:t>
            </w:r>
            <w:r w:rsidR="00287DC0">
              <w:rPr>
                <w:kern w:val="2"/>
                <w:szCs w:val="24"/>
              </w:rPr>
              <w:t>)</w:t>
            </w:r>
            <w:r w:rsidR="00287DC0" w:rsidRPr="00287DC0">
              <w:rPr>
                <w:kern w:val="2"/>
                <w:szCs w:val="24"/>
              </w:rPr>
              <w:t xml:space="preserve"> terminas negali būti ilgesnis kaip 5 (penki) mėnesiai.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7F27DC" w:rsidRDefault="000F4D31" w:rsidP="00FF1184">
            <w:pPr>
              <w:jc w:val="both"/>
              <w:rPr>
                <w:kern w:val="2"/>
                <w:szCs w:val="24"/>
              </w:rPr>
            </w:pPr>
            <w:r w:rsidRPr="007F27DC">
              <w:rPr>
                <w:kern w:val="2"/>
                <w:szCs w:val="24"/>
              </w:rPr>
              <w:t xml:space="preserve">Kartu su Prekėmis pateikiami šie dokumentai: </w:t>
            </w:r>
          </w:p>
          <w:p w14:paraId="330B7CE6" w14:textId="3D541CC2" w:rsidR="00FB060D" w:rsidRPr="007F27DC" w:rsidRDefault="000F4D31" w:rsidP="00FF1184">
            <w:pPr>
              <w:jc w:val="both"/>
              <w:rPr>
                <w:kern w:val="2"/>
                <w:szCs w:val="24"/>
              </w:rPr>
            </w:pPr>
            <w:r w:rsidRPr="007F27DC">
              <w:rPr>
                <w:kern w:val="2"/>
                <w:szCs w:val="24"/>
              </w:rPr>
              <w:t xml:space="preserve">4.5.1. </w:t>
            </w:r>
            <w:r w:rsidR="007078C9" w:rsidRPr="007F27DC">
              <w:rPr>
                <w:kern w:val="2"/>
                <w:szCs w:val="24"/>
              </w:rPr>
              <w:t>Prekių vartotojo instrukcijos (lietuvių kalba) bei su Preke susijusi privaloma techninė dokumentacija</w:t>
            </w:r>
            <w:r w:rsidR="00B02A74" w:rsidRPr="007F27DC">
              <w:rPr>
                <w:kern w:val="2"/>
                <w:szCs w:val="24"/>
              </w:rPr>
              <w:t>;</w:t>
            </w:r>
            <w:r w:rsidR="007078C9" w:rsidRPr="007F27DC">
              <w:rPr>
                <w:kern w:val="2"/>
                <w:szCs w:val="24"/>
              </w:rPr>
              <w:t xml:space="preserve"> </w:t>
            </w:r>
          </w:p>
          <w:p w14:paraId="2B7BF6F4" w14:textId="5EE0043C" w:rsidR="00F6256B" w:rsidRPr="007F27DC" w:rsidRDefault="00FB060D" w:rsidP="00FF1184">
            <w:pPr>
              <w:jc w:val="both"/>
              <w:rPr>
                <w:kern w:val="2"/>
                <w:szCs w:val="24"/>
              </w:rPr>
            </w:pPr>
            <w:r w:rsidRPr="007F27DC">
              <w:rPr>
                <w:kern w:val="2"/>
                <w:szCs w:val="24"/>
              </w:rPr>
              <w:t>4.5.2.</w:t>
            </w:r>
            <w:r w:rsidR="000F4D31" w:rsidRPr="007F27DC">
              <w:rPr>
                <w:kern w:val="2"/>
                <w:szCs w:val="24"/>
              </w:rPr>
              <w:t xml:space="preserve"> </w:t>
            </w:r>
            <w:r w:rsidR="007F27DC" w:rsidRPr="007F27DC">
              <w:rPr>
                <w:kern w:val="2"/>
                <w:szCs w:val="24"/>
              </w:rPr>
              <w:t>CE sertifikato arba EB deklaracijos kopija;</w:t>
            </w:r>
            <w:r w:rsidR="007F27DC" w:rsidRPr="007C2A13" w:rsidDel="00B02A74">
              <w:rPr>
                <w:kern w:val="2"/>
                <w:szCs w:val="24"/>
              </w:rPr>
              <w:t xml:space="preserve"> </w:t>
            </w:r>
          </w:p>
          <w:p w14:paraId="013F5D90" w14:textId="4D073950" w:rsidR="00CF0B97" w:rsidRDefault="000F4D31" w:rsidP="00CF0B97">
            <w:pPr>
              <w:jc w:val="both"/>
              <w:rPr>
                <w:kern w:val="2"/>
                <w:szCs w:val="24"/>
              </w:rPr>
            </w:pPr>
            <w:r w:rsidRPr="007F27DC">
              <w:rPr>
                <w:kern w:val="2"/>
                <w:szCs w:val="24"/>
              </w:rPr>
              <w:t>4.5.</w:t>
            </w:r>
            <w:r w:rsidR="00FB060D" w:rsidRPr="007F27DC">
              <w:rPr>
                <w:kern w:val="2"/>
                <w:szCs w:val="24"/>
              </w:rPr>
              <w:t>3</w:t>
            </w:r>
            <w:r w:rsidRPr="007F27DC">
              <w:rPr>
                <w:kern w:val="2"/>
                <w:szCs w:val="24"/>
              </w:rPr>
              <w:t>.</w:t>
            </w:r>
            <w:r w:rsidR="00FF1184" w:rsidRPr="007F27DC">
              <w:rPr>
                <w:kern w:val="2"/>
                <w:szCs w:val="24"/>
              </w:rPr>
              <w:t xml:space="preserve"> Dokumentai, patvirtinantys aplinkosauginių reikalavimų,  nustatytų 13.1.1</w:t>
            </w:r>
            <w:r w:rsidR="007F27DC" w:rsidRPr="007C2A13">
              <w:rPr>
                <w:kern w:val="2"/>
                <w:szCs w:val="24"/>
              </w:rPr>
              <w:t>–13.1.2</w:t>
            </w:r>
            <w:r w:rsidR="003C7BA9">
              <w:rPr>
                <w:kern w:val="2"/>
                <w:szCs w:val="24"/>
              </w:rPr>
              <w:t xml:space="preserve"> </w:t>
            </w:r>
            <w:r w:rsidR="00FF1184" w:rsidRPr="007F27DC">
              <w:rPr>
                <w:kern w:val="2"/>
                <w:szCs w:val="24"/>
              </w:rPr>
              <w:t>papunk</w:t>
            </w:r>
            <w:r w:rsidR="007F27DC" w:rsidRPr="007C2A13">
              <w:rPr>
                <w:kern w:val="2"/>
                <w:szCs w:val="24"/>
              </w:rPr>
              <w:t>čiuose</w:t>
            </w:r>
            <w:r w:rsidR="00FF1184" w:rsidRPr="007F27DC">
              <w:rPr>
                <w:kern w:val="2"/>
                <w:szCs w:val="24"/>
              </w:rPr>
              <w:t>,  laikymąsi</w:t>
            </w:r>
            <w:r w:rsidR="00CF0B97" w:rsidRPr="007F27DC">
              <w:rPr>
                <w:kern w:val="2"/>
                <w:szCs w:val="24"/>
              </w:rPr>
              <w:t>.</w:t>
            </w:r>
          </w:p>
          <w:p w14:paraId="6085B884" w14:textId="77947E08" w:rsidR="0015082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78AD537E" w:rsidR="00346A65" w:rsidRPr="004C6076" w:rsidRDefault="00346A65" w:rsidP="00346A65">
            <w:pPr>
              <w:rPr>
                <w:kern w:val="2"/>
                <w:szCs w:val="24"/>
              </w:rPr>
            </w:pPr>
            <w:r w:rsidRPr="004C6076">
              <w:rPr>
                <w:kern w:val="2"/>
                <w:szCs w:val="24"/>
              </w:rPr>
              <w:t>5.3.1. dėl PVM tarifo pasikeitimo</w:t>
            </w:r>
            <w:r w:rsidR="002D5DE2">
              <w:rPr>
                <w:kern w:val="2"/>
                <w:szCs w:val="24"/>
              </w:rPr>
              <w:t>.</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4F9A206" w14:textId="5E350B00" w:rsidR="0068231C" w:rsidRPr="0044589B" w:rsidRDefault="00AD6743" w:rsidP="0044589B">
            <w:pPr>
              <w:jc w:val="both"/>
              <w:rPr>
                <w:kern w:val="2"/>
                <w:szCs w:val="24"/>
              </w:rPr>
            </w:pPr>
            <w:r>
              <w:rPr>
                <w:kern w:val="2"/>
                <w:szCs w:val="24"/>
              </w:rPr>
              <w:t xml:space="preserve">Netaikoma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2EE7656" w14:textId="77777777" w:rsidR="007078C9" w:rsidRPr="007078C9" w:rsidRDefault="007078C9" w:rsidP="007078C9">
            <w:pPr>
              <w:jc w:val="both"/>
              <w:rPr>
                <w:kern w:val="2"/>
                <w:szCs w:val="24"/>
                <w:shd w:val="clear" w:color="auto" w:fill="FFFFFF"/>
              </w:rPr>
            </w:pPr>
            <w:r w:rsidRPr="007078C9">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3CBAAC0C" w:rsidR="005A72AE" w:rsidRPr="004C6076" w:rsidRDefault="005A72AE" w:rsidP="005A72AE">
            <w:pPr>
              <w:jc w:val="both"/>
              <w:rPr>
                <w:kern w:val="2"/>
                <w:szCs w:val="24"/>
                <w:shd w:val="clear" w:color="auto" w:fill="FFFFFF"/>
              </w:rPr>
            </w:pPr>
            <w:r w:rsidRPr="004C6076">
              <w:rPr>
                <w:kern w:val="2"/>
                <w:szCs w:val="24"/>
                <w:shd w:val="clear" w:color="auto" w:fill="FFFFFF"/>
              </w:rPr>
              <w:t xml:space="preserve">Apmokėjimo sąlygos: </w:t>
            </w:r>
          </w:p>
          <w:p w14:paraId="6CDA07DB" w14:textId="13CEB99E" w:rsidR="0068231C" w:rsidRPr="002C70F8" w:rsidRDefault="005A72AE" w:rsidP="002C70F8">
            <w:pPr>
              <w:jc w:val="both"/>
              <w:rPr>
                <w:kern w:val="2"/>
                <w:szCs w:val="24"/>
                <w:shd w:val="clear" w:color="auto" w:fill="FFFFFF"/>
              </w:rPr>
            </w:pPr>
            <w:r w:rsidRPr="004C6076">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5ADAA291" w:rsidR="0068231C" w:rsidRDefault="00743FC2" w:rsidP="00743FC2">
            <w:pPr>
              <w:jc w:val="both"/>
              <w:rPr>
                <w:kern w:val="2"/>
                <w:szCs w:val="24"/>
              </w:rPr>
            </w:pPr>
            <w:r w:rsidRPr="004C6076">
              <w:rPr>
                <w:kern w:val="2"/>
                <w:szCs w:val="24"/>
              </w:rPr>
              <w:t xml:space="preserve">Prekėms nustatomas </w:t>
            </w:r>
            <w:r w:rsidRPr="00743FC2">
              <w:rPr>
                <w:kern w:val="2"/>
                <w:szCs w:val="24"/>
              </w:rPr>
              <w:t xml:space="preserve">Prekių gamintojo taikomas / Tiekėjo pasiūlytas </w:t>
            </w:r>
            <w:r>
              <w:rPr>
                <w:kern w:val="2"/>
                <w:szCs w:val="24"/>
              </w:rPr>
              <w:t>g</w:t>
            </w:r>
            <w:r w:rsidRPr="004C6076">
              <w:rPr>
                <w:kern w:val="2"/>
                <w:szCs w:val="24"/>
              </w:rPr>
              <w:t xml:space="preserve">arantinis terminas, </w:t>
            </w:r>
            <w:r w:rsidR="008B53BA">
              <w:rPr>
                <w:kern w:val="2"/>
                <w:szCs w:val="24"/>
              </w:rPr>
              <w:t>nurodytas Techninėje specifikacijoje</w:t>
            </w:r>
            <w:r w:rsidR="00236D39" w:rsidRPr="00236D39">
              <w:rPr>
                <w:kern w:val="2"/>
                <w:szCs w:val="24"/>
              </w:rPr>
              <w:t>.</w:t>
            </w:r>
            <w:r w:rsidRPr="004C6076">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7F4B86E2" w:rsidR="00CC2EC0"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lastRenderedPageBreak/>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lastRenderedPageBreak/>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15D2DAC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1B2FC1">
              <w:rPr>
                <w:kern w:val="2"/>
                <w:szCs w:val="24"/>
              </w:rPr>
              <w:t>7</w:t>
            </w:r>
            <w:r w:rsidR="001B2FC1" w:rsidRPr="004C6076">
              <w:rPr>
                <w:kern w:val="2"/>
                <w:szCs w:val="24"/>
              </w:rPr>
              <w:t xml:space="preserve"> </w:t>
            </w:r>
            <w:r w:rsidRPr="004C6076">
              <w:rPr>
                <w:kern w:val="2"/>
                <w:szCs w:val="24"/>
              </w:rPr>
              <w:t>(</w:t>
            </w:r>
            <w:r w:rsidR="001B2FC1">
              <w:rPr>
                <w:kern w:val="2"/>
                <w:szCs w:val="24"/>
              </w:rPr>
              <w:t>septyni</w:t>
            </w:r>
            <w:r w:rsidRPr="004C6076">
              <w:rPr>
                <w:kern w:val="2"/>
                <w:szCs w:val="24"/>
              </w:rPr>
              <w:t>) mėnesi</w:t>
            </w:r>
            <w:r w:rsidR="00D7398B">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1B2FC1">
              <w:rPr>
                <w:kern w:val="2"/>
                <w:szCs w:val="24"/>
              </w:rPr>
              <w:t>5</w:t>
            </w:r>
            <w:r w:rsidRPr="004C6076">
              <w:rPr>
                <w:kern w:val="2"/>
                <w:szCs w:val="24"/>
              </w:rPr>
              <w:t xml:space="preserve"> (</w:t>
            </w:r>
            <w:r w:rsidR="001B2FC1">
              <w:rPr>
                <w:kern w:val="2"/>
                <w:szCs w:val="24"/>
              </w:rPr>
              <w:t>penki</w:t>
            </w:r>
            <w:r w:rsidRPr="004C6076">
              <w:rPr>
                <w:kern w:val="2"/>
                <w:szCs w:val="24"/>
              </w:rPr>
              <w:t>) mėnesiai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6A75B8C" w:rsidR="00686855" w:rsidRPr="00EA029E" w:rsidRDefault="00686855" w:rsidP="00EA029E">
            <w:pPr>
              <w:spacing w:line="257" w:lineRule="auto"/>
              <w:jc w:val="both"/>
              <w:rPr>
                <w:kern w:val="2"/>
                <w:szCs w:val="24"/>
              </w:rPr>
            </w:pPr>
            <w:r w:rsidRPr="00C735AD">
              <w:rPr>
                <w:kern w:val="2"/>
                <w:szCs w:val="24"/>
              </w:rPr>
              <w:lastRenderedPageBreak/>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Pr>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lastRenderedPageBreak/>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7003" w:type="dxa"/>
            <w:gridSpan w:val="4"/>
          </w:tcPr>
          <w:p w14:paraId="03A7FE42" w14:textId="77777777" w:rsidR="00791277" w:rsidRDefault="00686855" w:rsidP="00163256">
            <w:pPr>
              <w:jc w:val="both"/>
              <w:rPr>
                <w:color w:val="000000"/>
                <w:kern w:val="2"/>
                <w:szCs w:val="24"/>
                <w:shd w:val="clear" w:color="auto" w:fill="FFFFFF"/>
              </w:rPr>
            </w:pPr>
            <w:r w:rsidRPr="00163256">
              <w:rPr>
                <w:color w:val="000000"/>
                <w:kern w:val="2"/>
                <w:szCs w:val="24"/>
                <w:shd w:val="clear" w:color="auto" w:fill="FFFFFF"/>
              </w:rPr>
              <w:t xml:space="preserve">Aplinkosauginiai kriterijai Prekėms nustatomi vadovaujantis </w:t>
            </w:r>
            <w:r w:rsidRPr="00163256">
              <w:rPr>
                <w:color w:val="000000"/>
                <w:kern w:val="2"/>
                <w:szCs w:val="24"/>
              </w:rPr>
              <w:t>Aplinkos apsaugos kriterijų taikymo, vykdant žaliuosius pirkimus, tvarkos aprašo, patvirtinto Lietuvos Respublikos aplinkos ministro 2011 m. birželio 28 d. įsakymu Nr. D1-508</w:t>
            </w:r>
            <w:r w:rsidRPr="00163256">
              <w:rPr>
                <w:color w:val="000000"/>
                <w:kern w:val="2"/>
                <w:szCs w:val="24"/>
                <w:shd w:val="clear" w:color="auto" w:fill="FFFFFF"/>
              </w:rPr>
              <w:t> „Dėl Aplinkos apsaugos kriterijų taikymo, vykdant žaliuosius pirkimus, tvarkos aprašo patvirtinimo“ (toliau – Tvarkos aprašas) 4.4.4 papunkčiu</w:t>
            </w:r>
            <w:r w:rsidR="00791277">
              <w:rPr>
                <w:color w:val="000000"/>
                <w:kern w:val="2"/>
                <w:szCs w:val="24"/>
                <w:shd w:val="clear" w:color="auto" w:fill="FFFFFF"/>
              </w:rPr>
              <w:t xml:space="preserve">. </w:t>
            </w:r>
          </w:p>
          <w:p w14:paraId="6403C749" w14:textId="57D326C6" w:rsidR="00E823C5" w:rsidRPr="00163256" w:rsidRDefault="00791277" w:rsidP="00163256">
            <w:pPr>
              <w:jc w:val="both"/>
              <w:rPr>
                <w:color w:val="000000"/>
                <w:kern w:val="2"/>
                <w:szCs w:val="24"/>
                <w:shd w:val="clear" w:color="auto" w:fill="FFFFFF"/>
              </w:rPr>
            </w:pPr>
            <w:r w:rsidRPr="00163256">
              <w:rPr>
                <w:color w:val="000000"/>
                <w:kern w:val="2"/>
                <w:szCs w:val="24"/>
                <w:shd w:val="clear" w:color="auto" w:fill="FFFFFF"/>
              </w:rPr>
              <w:t xml:space="preserve">Nustačius, kad Tiekėjas </w:t>
            </w:r>
            <w:r>
              <w:rPr>
                <w:kern w:val="2"/>
                <w:shd w:val="clear" w:color="auto" w:fill="FFFFFF"/>
              </w:rPr>
              <w:t>13.1.1</w:t>
            </w:r>
            <w:r w:rsidR="003C7BA9">
              <w:rPr>
                <w:kern w:val="2"/>
                <w:shd w:val="clear" w:color="auto" w:fill="FFFFFF"/>
              </w:rPr>
              <w:t>–</w:t>
            </w:r>
            <w:r>
              <w:rPr>
                <w:kern w:val="2"/>
                <w:shd w:val="clear" w:color="auto" w:fill="FFFFFF"/>
              </w:rPr>
              <w:t>13.1.2</w:t>
            </w:r>
            <w:r w:rsidRPr="00163256">
              <w:rPr>
                <w:color w:val="000000"/>
                <w:kern w:val="2"/>
                <w:szCs w:val="24"/>
                <w:shd w:val="clear" w:color="auto" w:fill="FFFFFF"/>
              </w:rPr>
              <w:t xml:space="preserve"> papunk</w:t>
            </w:r>
            <w:r>
              <w:rPr>
                <w:color w:val="000000"/>
                <w:kern w:val="2"/>
                <w:szCs w:val="24"/>
                <w:shd w:val="clear" w:color="auto" w:fill="FFFFFF"/>
              </w:rPr>
              <w:t>čiuose</w:t>
            </w:r>
            <w:r w:rsidRPr="00163256">
              <w:rPr>
                <w:color w:val="000000"/>
                <w:kern w:val="2"/>
                <w:szCs w:val="24"/>
                <w:shd w:val="clear" w:color="auto" w:fill="FFFFFF"/>
              </w:rPr>
              <w:t xml:space="preserve"> nustatyt</w:t>
            </w:r>
            <w:r w:rsidR="003C7BA9">
              <w:rPr>
                <w:color w:val="000000"/>
                <w:kern w:val="2"/>
                <w:szCs w:val="24"/>
                <w:shd w:val="clear" w:color="auto" w:fill="FFFFFF"/>
              </w:rPr>
              <w:t>ų</w:t>
            </w:r>
            <w:r w:rsidRPr="00163256">
              <w:rPr>
                <w:color w:val="000000"/>
                <w:kern w:val="2"/>
                <w:szCs w:val="24"/>
                <w:shd w:val="clear" w:color="auto" w:fill="FFFFFF"/>
              </w:rPr>
              <w:t xml:space="preserve"> kriteri</w:t>
            </w:r>
            <w:r w:rsidR="003C7BA9">
              <w:rPr>
                <w:color w:val="000000"/>
                <w:kern w:val="2"/>
                <w:szCs w:val="24"/>
                <w:shd w:val="clear" w:color="auto" w:fill="FFFFFF"/>
              </w:rPr>
              <w:t>jų</w:t>
            </w:r>
            <w:r w:rsidRPr="00163256">
              <w:rPr>
                <w:color w:val="000000"/>
                <w:kern w:val="2"/>
                <w:szCs w:val="24"/>
                <w:shd w:val="clear" w:color="auto" w:fill="FFFFFF"/>
              </w:rPr>
              <w:t xml:space="preserve"> nesilaiko, Tiekėjui taikoma Specialiųjų sąlygų 9.5 punkte nurodyto dydžio bauda.</w:t>
            </w:r>
          </w:p>
          <w:p w14:paraId="0AF2659B" w14:textId="1781C0F2" w:rsidR="00163256" w:rsidRPr="007C2A13" w:rsidRDefault="00163256" w:rsidP="007C2A13">
            <w:pPr>
              <w:pStyle w:val="Default"/>
              <w:jc w:val="both"/>
              <w:rPr>
                <w:color w:val="232323"/>
                <w:lang w:val="lt-LT"/>
              </w:rPr>
            </w:pPr>
            <w:r>
              <w:rPr>
                <w:color w:val="232323"/>
                <w:lang w:val="lt-LT"/>
              </w:rPr>
              <w:t xml:space="preserve">13.1.1. </w:t>
            </w:r>
            <w:r w:rsidRPr="007C2A13">
              <w:rPr>
                <w:color w:val="232323"/>
                <w:lang w:val="lt-LT"/>
              </w:rPr>
              <w:t xml:space="preserve">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728"/>
              <w:gridCol w:w="2493"/>
            </w:tblGrid>
            <w:tr w:rsidR="00163256" w:rsidRPr="00163256" w14:paraId="4BC08605"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3276ABA5"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Eil. Nr.</w:t>
                  </w:r>
                </w:p>
              </w:tc>
              <w:tc>
                <w:tcPr>
                  <w:tcW w:w="2750" w:type="pct"/>
                  <w:tcBorders>
                    <w:top w:val="single" w:sz="4" w:space="0" w:color="auto"/>
                    <w:left w:val="single" w:sz="4" w:space="0" w:color="auto"/>
                    <w:bottom w:val="single" w:sz="4" w:space="0" w:color="auto"/>
                    <w:right w:val="single" w:sz="4" w:space="0" w:color="auto"/>
                  </w:tcBorders>
                  <w:hideMark/>
                </w:tcPr>
                <w:p w14:paraId="0DA39B68"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Pakuotės medžiaga</w:t>
                  </w:r>
                </w:p>
              </w:tc>
              <w:tc>
                <w:tcPr>
                  <w:tcW w:w="1839" w:type="pct"/>
                  <w:tcBorders>
                    <w:top w:val="single" w:sz="4" w:space="0" w:color="auto"/>
                    <w:left w:val="single" w:sz="4" w:space="0" w:color="auto"/>
                    <w:bottom w:val="single" w:sz="4" w:space="0" w:color="auto"/>
                    <w:right w:val="single" w:sz="4" w:space="0" w:color="auto"/>
                  </w:tcBorders>
                  <w:hideMark/>
                </w:tcPr>
                <w:p w14:paraId="588D9CAD"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Ženklinimas</w:t>
                  </w:r>
                </w:p>
              </w:tc>
            </w:tr>
            <w:tr w:rsidR="00163256" w:rsidRPr="00163256" w14:paraId="42AFCD96"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33E23A3F"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1.</w:t>
                  </w:r>
                </w:p>
              </w:tc>
              <w:tc>
                <w:tcPr>
                  <w:tcW w:w="2750" w:type="pct"/>
                  <w:tcBorders>
                    <w:top w:val="single" w:sz="4" w:space="0" w:color="auto"/>
                    <w:left w:val="single" w:sz="4" w:space="0" w:color="auto"/>
                    <w:bottom w:val="single" w:sz="4" w:space="0" w:color="auto"/>
                    <w:right w:val="single" w:sz="4" w:space="0" w:color="auto"/>
                  </w:tcBorders>
                  <w:hideMark/>
                </w:tcPr>
                <w:p w14:paraId="08E140DB"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Stiklas</w:t>
                  </w:r>
                </w:p>
              </w:tc>
              <w:tc>
                <w:tcPr>
                  <w:tcW w:w="1839" w:type="pct"/>
                  <w:tcBorders>
                    <w:top w:val="single" w:sz="4" w:space="0" w:color="auto"/>
                    <w:left w:val="single" w:sz="4" w:space="0" w:color="auto"/>
                    <w:bottom w:val="single" w:sz="4" w:space="0" w:color="auto"/>
                    <w:right w:val="single" w:sz="4" w:space="0" w:color="auto"/>
                  </w:tcBorders>
                  <w:hideMark/>
                </w:tcPr>
                <w:p w14:paraId="4481CD5A"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GL (arba GL nuo 70 iki 79)</w:t>
                  </w:r>
                </w:p>
              </w:tc>
            </w:tr>
            <w:tr w:rsidR="00163256" w:rsidRPr="00163256" w14:paraId="08FB68D1"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6D6ECFCD"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2.</w:t>
                  </w:r>
                </w:p>
              </w:tc>
              <w:tc>
                <w:tcPr>
                  <w:tcW w:w="2750" w:type="pct"/>
                  <w:tcBorders>
                    <w:top w:val="single" w:sz="4" w:space="0" w:color="auto"/>
                    <w:left w:val="single" w:sz="4" w:space="0" w:color="auto"/>
                    <w:bottom w:val="single" w:sz="4" w:space="0" w:color="auto"/>
                    <w:right w:val="single" w:sz="4" w:space="0" w:color="auto"/>
                  </w:tcBorders>
                  <w:hideMark/>
                </w:tcPr>
                <w:p w14:paraId="4F26E348"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Metalas</w:t>
                  </w:r>
                </w:p>
              </w:tc>
              <w:tc>
                <w:tcPr>
                  <w:tcW w:w="1839" w:type="pct"/>
                  <w:tcBorders>
                    <w:top w:val="single" w:sz="4" w:space="0" w:color="auto"/>
                    <w:left w:val="single" w:sz="4" w:space="0" w:color="auto"/>
                    <w:bottom w:val="single" w:sz="4" w:space="0" w:color="auto"/>
                    <w:right w:val="single" w:sz="4" w:space="0" w:color="auto"/>
                  </w:tcBorders>
                  <w:hideMark/>
                </w:tcPr>
                <w:p w14:paraId="21EA2C15"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FE (arba FE 40),</w:t>
                  </w:r>
                </w:p>
                <w:p w14:paraId="2FA9DCD3"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ALU (arba ALU 41)</w:t>
                  </w:r>
                </w:p>
                <w:p w14:paraId="22895129"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Nuo 42 iki 49</w:t>
                  </w:r>
                </w:p>
              </w:tc>
            </w:tr>
            <w:tr w:rsidR="00163256" w:rsidRPr="00163256" w14:paraId="10EF17CB"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2FF0C204"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3.</w:t>
                  </w:r>
                </w:p>
              </w:tc>
              <w:tc>
                <w:tcPr>
                  <w:tcW w:w="2750" w:type="pct"/>
                  <w:tcBorders>
                    <w:top w:val="single" w:sz="4" w:space="0" w:color="auto"/>
                    <w:left w:val="single" w:sz="4" w:space="0" w:color="auto"/>
                    <w:bottom w:val="single" w:sz="4" w:space="0" w:color="auto"/>
                    <w:right w:val="single" w:sz="4" w:space="0" w:color="auto"/>
                  </w:tcBorders>
                  <w:hideMark/>
                </w:tcPr>
                <w:p w14:paraId="424FCDBF"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Popierius ar kartonas</w:t>
                  </w:r>
                </w:p>
              </w:tc>
              <w:tc>
                <w:tcPr>
                  <w:tcW w:w="1839" w:type="pct"/>
                  <w:tcBorders>
                    <w:top w:val="single" w:sz="4" w:space="0" w:color="auto"/>
                    <w:left w:val="single" w:sz="4" w:space="0" w:color="auto"/>
                    <w:bottom w:val="single" w:sz="4" w:space="0" w:color="auto"/>
                    <w:right w:val="single" w:sz="4" w:space="0" w:color="auto"/>
                  </w:tcBorders>
                  <w:hideMark/>
                </w:tcPr>
                <w:p w14:paraId="0A94FE5E"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PAP (arba PAP nuo 20 iki 39)</w:t>
                  </w:r>
                </w:p>
              </w:tc>
            </w:tr>
            <w:tr w:rsidR="00163256" w:rsidRPr="00163256" w14:paraId="3945238B"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3F7090B3"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4.</w:t>
                  </w:r>
                </w:p>
              </w:tc>
              <w:tc>
                <w:tcPr>
                  <w:tcW w:w="2750" w:type="pct"/>
                  <w:tcBorders>
                    <w:top w:val="single" w:sz="4" w:space="0" w:color="auto"/>
                    <w:left w:val="single" w:sz="4" w:space="0" w:color="auto"/>
                    <w:bottom w:val="single" w:sz="4" w:space="0" w:color="auto"/>
                    <w:right w:val="single" w:sz="4" w:space="0" w:color="auto"/>
                  </w:tcBorders>
                  <w:hideMark/>
                </w:tcPr>
                <w:p w14:paraId="5C6C0794"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Medis ar kamštinė medžiaga</w:t>
                  </w:r>
                </w:p>
              </w:tc>
              <w:tc>
                <w:tcPr>
                  <w:tcW w:w="1839" w:type="pct"/>
                  <w:tcBorders>
                    <w:top w:val="single" w:sz="4" w:space="0" w:color="auto"/>
                    <w:left w:val="single" w:sz="4" w:space="0" w:color="auto"/>
                    <w:bottom w:val="single" w:sz="4" w:space="0" w:color="auto"/>
                    <w:right w:val="single" w:sz="4" w:space="0" w:color="auto"/>
                  </w:tcBorders>
                  <w:hideMark/>
                </w:tcPr>
                <w:p w14:paraId="376BAFD4" w14:textId="77777777" w:rsidR="00163256" w:rsidRPr="007C2A13" w:rsidRDefault="00163256" w:rsidP="00163256">
                  <w:pPr>
                    <w:tabs>
                      <w:tab w:val="left" w:pos="1808"/>
                    </w:tabs>
                    <w:suppressAutoHyphens/>
                    <w:jc w:val="both"/>
                    <w:rPr>
                      <w:color w:val="000000"/>
                      <w:kern w:val="2"/>
                      <w:szCs w:val="24"/>
                      <w:lang w:eastAsia="en-GB"/>
                    </w:rPr>
                  </w:pPr>
                  <w:r w:rsidRPr="007C2A13">
                    <w:rPr>
                      <w:color w:val="000000"/>
                      <w:kern w:val="2"/>
                      <w:szCs w:val="24"/>
                      <w:lang w:eastAsia="en-GB"/>
                    </w:rPr>
                    <w:t>FOR (arba FOR nuo 50 iki 59)</w:t>
                  </w:r>
                </w:p>
              </w:tc>
            </w:tr>
            <w:tr w:rsidR="00163256" w:rsidRPr="00163256" w14:paraId="77C07002"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2C7168EF"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5.</w:t>
                  </w:r>
                </w:p>
              </w:tc>
              <w:tc>
                <w:tcPr>
                  <w:tcW w:w="2750" w:type="pct"/>
                  <w:tcBorders>
                    <w:top w:val="single" w:sz="4" w:space="0" w:color="auto"/>
                    <w:left w:val="single" w:sz="4" w:space="0" w:color="auto"/>
                    <w:bottom w:val="single" w:sz="4" w:space="0" w:color="auto"/>
                    <w:right w:val="single" w:sz="4" w:space="0" w:color="auto"/>
                  </w:tcBorders>
                  <w:hideMark/>
                </w:tcPr>
                <w:p w14:paraId="15D35FB6"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Medvilnė ar džiutas</w:t>
                  </w:r>
                </w:p>
              </w:tc>
              <w:tc>
                <w:tcPr>
                  <w:tcW w:w="1839" w:type="pct"/>
                  <w:tcBorders>
                    <w:top w:val="single" w:sz="4" w:space="0" w:color="auto"/>
                    <w:left w:val="single" w:sz="4" w:space="0" w:color="auto"/>
                    <w:bottom w:val="single" w:sz="4" w:space="0" w:color="auto"/>
                    <w:right w:val="single" w:sz="4" w:space="0" w:color="auto"/>
                  </w:tcBorders>
                  <w:hideMark/>
                </w:tcPr>
                <w:p w14:paraId="690B7626"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TEX (arba TEX nuo 60 iki 69)</w:t>
                  </w:r>
                </w:p>
              </w:tc>
            </w:tr>
            <w:tr w:rsidR="00163256" w:rsidRPr="00163256" w14:paraId="6FB9DDA8"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2C96059F"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6.</w:t>
                  </w:r>
                </w:p>
              </w:tc>
              <w:tc>
                <w:tcPr>
                  <w:tcW w:w="2750" w:type="pct"/>
                  <w:tcBorders>
                    <w:top w:val="single" w:sz="4" w:space="0" w:color="auto"/>
                    <w:left w:val="single" w:sz="4" w:space="0" w:color="auto"/>
                    <w:bottom w:val="single" w:sz="4" w:space="0" w:color="auto"/>
                    <w:right w:val="single" w:sz="4" w:space="0" w:color="auto"/>
                  </w:tcBorders>
                  <w:hideMark/>
                </w:tcPr>
                <w:p w14:paraId="12627936" w14:textId="77777777" w:rsidR="00163256" w:rsidRPr="007C2A13" w:rsidRDefault="00163256" w:rsidP="00163256">
                  <w:pPr>
                    <w:suppressAutoHyphens/>
                    <w:jc w:val="both"/>
                    <w:rPr>
                      <w:color w:val="000000"/>
                      <w:kern w:val="2"/>
                      <w:szCs w:val="24"/>
                      <w:lang w:eastAsia="en-GB"/>
                    </w:rPr>
                  </w:pPr>
                  <w:proofErr w:type="spellStart"/>
                  <w:r w:rsidRPr="007C2A13">
                    <w:rPr>
                      <w:color w:val="000000"/>
                      <w:kern w:val="2"/>
                      <w:szCs w:val="24"/>
                      <w:lang w:eastAsia="en-GB"/>
                    </w:rPr>
                    <w:t>Polietilentereftalatas</w:t>
                  </w:r>
                  <w:proofErr w:type="spellEnd"/>
                </w:p>
              </w:tc>
              <w:tc>
                <w:tcPr>
                  <w:tcW w:w="1839" w:type="pct"/>
                  <w:tcBorders>
                    <w:top w:val="single" w:sz="4" w:space="0" w:color="auto"/>
                    <w:left w:val="single" w:sz="4" w:space="0" w:color="auto"/>
                    <w:bottom w:val="single" w:sz="4" w:space="0" w:color="auto"/>
                    <w:right w:val="single" w:sz="4" w:space="0" w:color="auto"/>
                  </w:tcBorders>
                  <w:hideMark/>
                </w:tcPr>
                <w:p w14:paraId="66D0B4ED"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PET arba PET 1</w:t>
                  </w:r>
                </w:p>
              </w:tc>
            </w:tr>
            <w:tr w:rsidR="00163256" w:rsidRPr="00163256" w14:paraId="5E7A7A50"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48797602"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7.</w:t>
                  </w:r>
                </w:p>
              </w:tc>
              <w:tc>
                <w:tcPr>
                  <w:tcW w:w="2750" w:type="pct"/>
                  <w:tcBorders>
                    <w:top w:val="single" w:sz="4" w:space="0" w:color="auto"/>
                    <w:left w:val="single" w:sz="4" w:space="0" w:color="auto"/>
                    <w:bottom w:val="single" w:sz="4" w:space="0" w:color="auto"/>
                    <w:right w:val="single" w:sz="4" w:space="0" w:color="auto"/>
                  </w:tcBorders>
                  <w:hideMark/>
                </w:tcPr>
                <w:p w14:paraId="76B10DDB"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Aukšto tankumo polietilenas</w:t>
                  </w:r>
                </w:p>
              </w:tc>
              <w:tc>
                <w:tcPr>
                  <w:tcW w:w="1839" w:type="pct"/>
                  <w:tcBorders>
                    <w:top w:val="single" w:sz="4" w:space="0" w:color="auto"/>
                    <w:left w:val="single" w:sz="4" w:space="0" w:color="auto"/>
                    <w:bottom w:val="single" w:sz="4" w:space="0" w:color="auto"/>
                    <w:right w:val="single" w:sz="4" w:space="0" w:color="auto"/>
                  </w:tcBorders>
                  <w:hideMark/>
                </w:tcPr>
                <w:p w14:paraId="016D7051" w14:textId="77777777" w:rsidR="00163256" w:rsidRPr="007C2A13" w:rsidRDefault="00163256" w:rsidP="00163256">
                  <w:pPr>
                    <w:tabs>
                      <w:tab w:val="left" w:pos="872"/>
                    </w:tabs>
                    <w:suppressAutoHyphens/>
                    <w:jc w:val="both"/>
                    <w:rPr>
                      <w:color w:val="000000"/>
                      <w:kern w:val="2"/>
                      <w:szCs w:val="24"/>
                      <w:lang w:eastAsia="en-GB"/>
                    </w:rPr>
                  </w:pPr>
                  <w:r w:rsidRPr="007C2A13">
                    <w:rPr>
                      <w:color w:val="000000"/>
                      <w:kern w:val="2"/>
                      <w:szCs w:val="24"/>
                      <w:lang w:eastAsia="en-GB"/>
                    </w:rPr>
                    <w:t>HDPE (arba HDPE 2)</w:t>
                  </w:r>
                </w:p>
              </w:tc>
            </w:tr>
            <w:tr w:rsidR="00163256" w:rsidRPr="00163256" w14:paraId="158B5592"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1BB33352"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8.</w:t>
                  </w:r>
                </w:p>
              </w:tc>
              <w:tc>
                <w:tcPr>
                  <w:tcW w:w="2750" w:type="pct"/>
                  <w:tcBorders>
                    <w:top w:val="single" w:sz="4" w:space="0" w:color="auto"/>
                    <w:left w:val="single" w:sz="4" w:space="0" w:color="auto"/>
                    <w:bottom w:val="single" w:sz="4" w:space="0" w:color="auto"/>
                    <w:right w:val="single" w:sz="4" w:space="0" w:color="auto"/>
                  </w:tcBorders>
                  <w:hideMark/>
                </w:tcPr>
                <w:p w14:paraId="44C49114" w14:textId="77777777" w:rsidR="00163256" w:rsidRPr="007C2A13" w:rsidRDefault="00163256" w:rsidP="00163256">
                  <w:pPr>
                    <w:suppressAutoHyphens/>
                    <w:jc w:val="both"/>
                    <w:rPr>
                      <w:color w:val="000000"/>
                      <w:kern w:val="2"/>
                      <w:szCs w:val="24"/>
                      <w:lang w:eastAsia="en-GB"/>
                    </w:rPr>
                  </w:pPr>
                  <w:proofErr w:type="spellStart"/>
                  <w:r w:rsidRPr="007C2A13">
                    <w:rPr>
                      <w:color w:val="000000"/>
                      <w:kern w:val="2"/>
                      <w:szCs w:val="24"/>
                      <w:lang w:eastAsia="en-GB"/>
                    </w:rPr>
                    <w:t>Polivinilchloridas</w:t>
                  </w:r>
                  <w:proofErr w:type="spellEnd"/>
                </w:p>
              </w:tc>
              <w:tc>
                <w:tcPr>
                  <w:tcW w:w="1839" w:type="pct"/>
                  <w:tcBorders>
                    <w:top w:val="single" w:sz="4" w:space="0" w:color="auto"/>
                    <w:left w:val="single" w:sz="4" w:space="0" w:color="auto"/>
                    <w:bottom w:val="single" w:sz="4" w:space="0" w:color="auto"/>
                    <w:right w:val="single" w:sz="4" w:space="0" w:color="auto"/>
                  </w:tcBorders>
                  <w:hideMark/>
                </w:tcPr>
                <w:p w14:paraId="43FE8043"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PVC (arba PVC 3)</w:t>
                  </w:r>
                </w:p>
              </w:tc>
            </w:tr>
            <w:tr w:rsidR="00163256" w:rsidRPr="00163256" w14:paraId="2CAB8D4D"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1D5E839B"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9.</w:t>
                  </w:r>
                </w:p>
              </w:tc>
              <w:tc>
                <w:tcPr>
                  <w:tcW w:w="2750" w:type="pct"/>
                  <w:tcBorders>
                    <w:top w:val="single" w:sz="4" w:space="0" w:color="auto"/>
                    <w:left w:val="single" w:sz="4" w:space="0" w:color="auto"/>
                    <w:bottom w:val="single" w:sz="4" w:space="0" w:color="auto"/>
                    <w:right w:val="single" w:sz="4" w:space="0" w:color="auto"/>
                  </w:tcBorders>
                  <w:hideMark/>
                </w:tcPr>
                <w:p w14:paraId="4DEB8250"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Žemo tankumo polietilenas</w:t>
                  </w:r>
                </w:p>
              </w:tc>
              <w:tc>
                <w:tcPr>
                  <w:tcW w:w="1839" w:type="pct"/>
                  <w:tcBorders>
                    <w:top w:val="single" w:sz="4" w:space="0" w:color="auto"/>
                    <w:left w:val="single" w:sz="4" w:space="0" w:color="auto"/>
                    <w:bottom w:val="single" w:sz="4" w:space="0" w:color="auto"/>
                    <w:right w:val="single" w:sz="4" w:space="0" w:color="auto"/>
                  </w:tcBorders>
                  <w:hideMark/>
                </w:tcPr>
                <w:p w14:paraId="5EF308F5"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LDPE (arba LDPE 4)</w:t>
                  </w:r>
                </w:p>
              </w:tc>
            </w:tr>
            <w:tr w:rsidR="00163256" w:rsidRPr="00163256" w14:paraId="6E768ADA"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4C5884D6"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10.</w:t>
                  </w:r>
                </w:p>
              </w:tc>
              <w:tc>
                <w:tcPr>
                  <w:tcW w:w="2750" w:type="pct"/>
                  <w:tcBorders>
                    <w:top w:val="single" w:sz="4" w:space="0" w:color="auto"/>
                    <w:left w:val="single" w:sz="4" w:space="0" w:color="auto"/>
                    <w:bottom w:val="single" w:sz="4" w:space="0" w:color="auto"/>
                    <w:right w:val="single" w:sz="4" w:space="0" w:color="auto"/>
                  </w:tcBorders>
                  <w:hideMark/>
                </w:tcPr>
                <w:p w14:paraId="7AECD29E"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Polipropilenas</w:t>
                  </w:r>
                </w:p>
              </w:tc>
              <w:tc>
                <w:tcPr>
                  <w:tcW w:w="1839" w:type="pct"/>
                  <w:tcBorders>
                    <w:top w:val="single" w:sz="4" w:space="0" w:color="auto"/>
                    <w:left w:val="single" w:sz="4" w:space="0" w:color="auto"/>
                    <w:bottom w:val="single" w:sz="4" w:space="0" w:color="auto"/>
                    <w:right w:val="single" w:sz="4" w:space="0" w:color="auto"/>
                  </w:tcBorders>
                  <w:hideMark/>
                </w:tcPr>
                <w:p w14:paraId="6A58DF2C"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PP (arba PP 5)</w:t>
                  </w:r>
                </w:p>
              </w:tc>
            </w:tr>
            <w:tr w:rsidR="00163256" w:rsidRPr="00163256" w14:paraId="60A1EA98" w14:textId="77777777" w:rsidTr="007C2A13">
              <w:tc>
                <w:tcPr>
                  <w:tcW w:w="410" w:type="pct"/>
                  <w:tcBorders>
                    <w:top w:val="single" w:sz="4" w:space="0" w:color="auto"/>
                    <w:left w:val="single" w:sz="4" w:space="0" w:color="auto"/>
                    <w:bottom w:val="single" w:sz="4" w:space="0" w:color="auto"/>
                    <w:right w:val="single" w:sz="4" w:space="0" w:color="auto"/>
                  </w:tcBorders>
                  <w:hideMark/>
                </w:tcPr>
                <w:p w14:paraId="54B9AE4D"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11.</w:t>
                  </w:r>
                </w:p>
              </w:tc>
              <w:tc>
                <w:tcPr>
                  <w:tcW w:w="2750" w:type="pct"/>
                  <w:tcBorders>
                    <w:top w:val="single" w:sz="4" w:space="0" w:color="auto"/>
                    <w:left w:val="single" w:sz="4" w:space="0" w:color="auto"/>
                    <w:bottom w:val="single" w:sz="4" w:space="0" w:color="auto"/>
                    <w:right w:val="single" w:sz="4" w:space="0" w:color="auto"/>
                  </w:tcBorders>
                  <w:hideMark/>
                </w:tcPr>
                <w:p w14:paraId="7260A965" w14:textId="77777777" w:rsidR="00163256" w:rsidRPr="007C2A13" w:rsidRDefault="00163256" w:rsidP="00163256">
                  <w:pPr>
                    <w:suppressAutoHyphens/>
                    <w:jc w:val="both"/>
                    <w:rPr>
                      <w:color w:val="000000"/>
                      <w:kern w:val="2"/>
                      <w:szCs w:val="24"/>
                      <w:lang w:eastAsia="en-GB"/>
                    </w:rPr>
                  </w:pPr>
                  <w:proofErr w:type="spellStart"/>
                  <w:r w:rsidRPr="007C2A13">
                    <w:rPr>
                      <w:color w:val="000000"/>
                      <w:kern w:val="2"/>
                      <w:szCs w:val="24"/>
                      <w:lang w:eastAsia="en-GB"/>
                    </w:rPr>
                    <w:t>Polistirenas</w:t>
                  </w:r>
                  <w:proofErr w:type="spellEnd"/>
                </w:p>
              </w:tc>
              <w:tc>
                <w:tcPr>
                  <w:tcW w:w="1839" w:type="pct"/>
                  <w:tcBorders>
                    <w:top w:val="single" w:sz="4" w:space="0" w:color="auto"/>
                    <w:left w:val="single" w:sz="4" w:space="0" w:color="auto"/>
                    <w:bottom w:val="single" w:sz="4" w:space="0" w:color="auto"/>
                    <w:right w:val="single" w:sz="4" w:space="0" w:color="auto"/>
                  </w:tcBorders>
                  <w:hideMark/>
                </w:tcPr>
                <w:p w14:paraId="014F7757" w14:textId="77777777" w:rsidR="00163256" w:rsidRPr="007C2A13" w:rsidRDefault="00163256" w:rsidP="00163256">
                  <w:pPr>
                    <w:suppressAutoHyphens/>
                    <w:jc w:val="both"/>
                    <w:rPr>
                      <w:color w:val="000000"/>
                      <w:kern w:val="2"/>
                      <w:szCs w:val="24"/>
                      <w:lang w:eastAsia="en-GB"/>
                    </w:rPr>
                  </w:pPr>
                  <w:r w:rsidRPr="007C2A13">
                    <w:rPr>
                      <w:color w:val="000000"/>
                      <w:kern w:val="2"/>
                      <w:szCs w:val="24"/>
                      <w:lang w:eastAsia="en-GB"/>
                    </w:rPr>
                    <w:t>PS (arba PS 6)</w:t>
                  </w:r>
                </w:p>
              </w:tc>
            </w:tr>
          </w:tbl>
          <w:p w14:paraId="6902A0C0" w14:textId="225BE36B" w:rsidR="00791277" w:rsidRDefault="00163256" w:rsidP="00163256">
            <w:pPr>
              <w:pStyle w:val="Default"/>
              <w:jc w:val="both"/>
              <w:rPr>
                <w:color w:val="232323"/>
                <w:lang w:val="lt-LT"/>
              </w:rPr>
            </w:pPr>
            <w:r w:rsidRPr="007C2A13">
              <w:rPr>
                <w:color w:val="232323"/>
                <w:lang w:val="lt-LT"/>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C2A13">
              <w:rPr>
                <w:i/>
                <w:iCs/>
                <w:color w:val="232323"/>
                <w:lang w:val="lt-LT"/>
              </w:rPr>
              <w:t>Voluntary</w:t>
            </w:r>
            <w:proofErr w:type="spellEnd"/>
            <w:r w:rsidRPr="007C2A13">
              <w:rPr>
                <w:i/>
                <w:iCs/>
                <w:color w:val="232323"/>
                <w:lang w:val="lt-LT"/>
              </w:rPr>
              <w:t xml:space="preserve"> Standard </w:t>
            </w:r>
            <w:proofErr w:type="spellStart"/>
            <w:r w:rsidRPr="007C2A13">
              <w:rPr>
                <w:i/>
                <w:iCs/>
                <w:color w:val="232323"/>
                <w:lang w:val="lt-LT"/>
              </w:rPr>
              <w:t>for</w:t>
            </w:r>
            <w:proofErr w:type="spellEnd"/>
            <w:r w:rsidRPr="007C2A13">
              <w:rPr>
                <w:i/>
                <w:iCs/>
                <w:color w:val="232323"/>
                <w:lang w:val="lt-LT"/>
              </w:rPr>
              <w:t xml:space="preserve"> </w:t>
            </w:r>
            <w:proofErr w:type="spellStart"/>
            <w:r w:rsidRPr="007C2A13">
              <w:rPr>
                <w:i/>
                <w:iCs/>
                <w:color w:val="232323"/>
                <w:lang w:val="lt-LT"/>
              </w:rPr>
              <w:t>Repulping</w:t>
            </w:r>
            <w:proofErr w:type="spellEnd"/>
            <w:r w:rsidRPr="007C2A13">
              <w:rPr>
                <w:i/>
                <w:iCs/>
                <w:color w:val="232323"/>
                <w:lang w:val="lt-LT"/>
              </w:rPr>
              <w:t xml:space="preserve"> </w:t>
            </w:r>
            <w:proofErr w:type="spellStart"/>
            <w:r w:rsidRPr="007C2A13">
              <w:rPr>
                <w:i/>
                <w:iCs/>
                <w:color w:val="232323"/>
                <w:lang w:val="lt-LT"/>
              </w:rPr>
              <w:t>and</w:t>
            </w:r>
            <w:proofErr w:type="spellEnd"/>
            <w:r w:rsidRPr="007C2A13">
              <w:rPr>
                <w:i/>
                <w:iCs/>
                <w:color w:val="232323"/>
                <w:lang w:val="lt-LT"/>
              </w:rPr>
              <w:t xml:space="preserve"> </w:t>
            </w:r>
            <w:proofErr w:type="spellStart"/>
            <w:r w:rsidRPr="007C2A13">
              <w:rPr>
                <w:i/>
                <w:iCs/>
                <w:color w:val="232323"/>
                <w:lang w:val="lt-LT"/>
              </w:rPr>
              <w:t>Recycling</w:t>
            </w:r>
            <w:proofErr w:type="spellEnd"/>
            <w:r w:rsidRPr="007C2A13">
              <w:rPr>
                <w:i/>
                <w:iCs/>
                <w:color w:val="232323"/>
                <w:lang w:val="lt-LT"/>
              </w:rPr>
              <w:t xml:space="preserve"> </w:t>
            </w:r>
            <w:proofErr w:type="spellStart"/>
            <w:r w:rsidRPr="007C2A13">
              <w:rPr>
                <w:i/>
                <w:iCs/>
                <w:color w:val="232323"/>
                <w:lang w:val="lt-LT"/>
              </w:rPr>
              <w:t>Corrugated</w:t>
            </w:r>
            <w:proofErr w:type="spellEnd"/>
            <w:r w:rsidRPr="007C2A13">
              <w:rPr>
                <w:i/>
                <w:iCs/>
                <w:color w:val="232323"/>
                <w:lang w:val="lt-LT"/>
              </w:rPr>
              <w:t xml:space="preserve"> </w:t>
            </w:r>
            <w:proofErr w:type="spellStart"/>
            <w:r w:rsidRPr="007C2A13">
              <w:rPr>
                <w:i/>
                <w:iCs/>
                <w:color w:val="232323"/>
                <w:lang w:val="lt-LT"/>
              </w:rPr>
              <w:t>Fiberboard</w:t>
            </w:r>
            <w:proofErr w:type="spellEnd"/>
            <w:r w:rsidRPr="007C2A13">
              <w:rPr>
                <w:i/>
                <w:iCs/>
                <w:color w:val="232323"/>
                <w:lang w:val="lt-LT"/>
              </w:rPr>
              <w:t xml:space="preserve"> </w:t>
            </w:r>
            <w:proofErr w:type="spellStart"/>
            <w:r w:rsidRPr="007C2A13">
              <w:rPr>
                <w:i/>
                <w:iCs/>
                <w:color w:val="232323"/>
                <w:lang w:val="lt-LT"/>
              </w:rPr>
              <w:t>Treated</w:t>
            </w:r>
            <w:proofErr w:type="spellEnd"/>
            <w:r w:rsidRPr="007C2A13">
              <w:rPr>
                <w:i/>
                <w:iCs/>
                <w:color w:val="232323"/>
                <w:lang w:val="lt-LT"/>
              </w:rPr>
              <w:t xml:space="preserve"> to </w:t>
            </w:r>
            <w:proofErr w:type="spellStart"/>
            <w:r w:rsidRPr="007C2A13">
              <w:rPr>
                <w:i/>
                <w:iCs/>
                <w:color w:val="232323"/>
                <w:lang w:val="lt-LT"/>
              </w:rPr>
              <w:t>Improve</w:t>
            </w:r>
            <w:proofErr w:type="spellEnd"/>
            <w:r w:rsidRPr="007C2A13">
              <w:rPr>
                <w:i/>
                <w:iCs/>
                <w:color w:val="232323"/>
                <w:lang w:val="lt-LT"/>
              </w:rPr>
              <w:t xml:space="preserve"> </w:t>
            </w:r>
            <w:proofErr w:type="spellStart"/>
            <w:r w:rsidRPr="007C2A13">
              <w:rPr>
                <w:i/>
                <w:iCs/>
                <w:color w:val="232323"/>
                <w:lang w:val="lt-LT"/>
              </w:rPr>
              <w:t>Its</w:t>
            </w:r>
            <w:proofErr w:type="spellEnd"/>
            <w:r w:rsidRPr="007C2A13">
              <w:rPr>
                <w:i/>
                <w:iCs/>
                <w:color w:val="232323"/>
                <w:lang w:val="lt-LT"/>
              </w:rPr>
              <w:t xml:space="preserve"> </w:t>
            </w:r>
            <w:proofErr w:type="spellStart"/>
            <w:r w:rsidRPr="007C2A13">
              <w:rPr>
                <w:i/>
                <w:iCs/>
                <w:color w:val="232323"/>
                <w:lang w:val="lt-LT"/>
              </w:rPr>
              <w:t>Performance</w:t>
            </w:r>
            <w:proofErr w:type="spellEnd"/>
            <w:r w:rsidRPr="007C2A13">
              <w:rPr>
                <w:i/>
                <w:iCs/>
                <w:color w:val="232323"/>
                <w:lang w:val="lt-LT"/>
              </w:rPr>
              <w:t xml:space="preserve"> </w:t>
            </w:r>
            <w:proofErr w:type="spellStart"/>
            <w:r w:rsidRPr="007C2A13">
              <w:rPr>
                <w:i/>
                <w:iCs/>
                <w:color w:val="232323"/>
                <w:lang w:val="lt-LT"/>
              </w:rPr>
              <w:t>in</w:t>
            </w:r>
            <w:proofErr w:type="spellEnd"/>
            <w:r w:rsidRPr="007C2A13">
              <w:rPr>
                <w:i/>
                <w:iCs/>
                <w:color w:val="232323"/>
                <w:lang w:val="lt-LT"/>
              </w:rPr>
              <w:t xml:space="preserve"> </w:t>
            </w:r>
            <w:proofErr w:type="spellStart"/>
            <w:r w:rsidRPr="007C2A13">
              <w:rPr>
                <w:i/>
                <w:iCs/>
                <w:color w:val="232323"/>
                <w:lang w:val="lt-LT"/>
              </w:rPr>
              <w:t>the</w:t>
            </w:r>
            <w:proofErr w:type="spellEnd"/>
            <w:r w:rsidRPr="007C2A13">
              <w:rPr>
                <w:i/>
                <w:iCs/>
                <w:color w:val="232323"/>
                <w:lang w:val="lt-LT"/>
              </w:rPr>
              <w:t xml:space="preserve"> </w:t>
            </w:r>
            <w:proofErr w:type="spellStart"/>
            <w:r w:rsidRPr="007C2A13">
              <w:rPr>
                <w:i/>
                <w:iCs/>
                <w:color w:val="232323"/>
                <w:lang w:val="lt-LT"/>
              </w:rPr>
              <w:t>Presence</w:t>
            </w:r>
            <w:proofErr w:type="spellEnd"/>
            <w:r w:rsidRPr="007C2A13">
              <w:rPr>
                <w:i/>
                <w:iCs/>
                <w:color w:val="232323"/>
                <w:lang w:val="lt-LT"/>
              </w:rPr>
              <w:t xml:space="preserve"> </w:t>
            </w:r>
            <w:proofErr w:type="spellStart"/>
            <w:r w:rsidRPr="007C2A13">
              <w:rPr>
                <w:i/>
                <w:iCs/>
                <w:color w:val="232323"/>
                <w:lang w:val="lt-LT"/>
              </w:rPr>
              <w:t>of</w:t>
            </w:r>
            <w:proofErr w:type="spellEnd"/>
            <w:r w:rsidRPr="007C2A13">
              <w:rPr>
                <w:i/>
                <w:iCs/>
                <w:color w:val="232323"/>
                <w:lang w:val="lt-LT"/>
              </w:rPr>
              <w:t xml:space="preserve"> </w:t>
            </w:r>
            <w:proofErr w:type="spellStart"/>
            <w:r w:rsidRPr="007C2A13">
              <w:rPr>
                <w:i/>
                <w:iCs/>
                <w:color w:val="232323"/>
                <w:lang w:val="lt-LT"/>
              </w:rPr>
              <w:t>Water</w:t>
            </w:r>
            <w:proofErr w:type="spellEnd"/>
            <w:r w:rsidRPr="007C2A13">
              <w:rPr>
                <w:i/>
                <w:iCs/>
                <w:color w:val="232323"/>
                <w:lang w:val="lt-LT"/>
              </w:rPr>
              <w:t xml:space="preserve"> </w:t>
            </w:r>
            <w:proofErr w:type="spellStart"/>
            <w:r w:rsidRPr="007C2A13">
              <w:rPr>
                <w:i/>
                <w:iCs/>
                <w:color w:val="232323"/>
                <w:lang w:val="lt-LT"/>
              </w:rPr>
              <w:t>and</w:t>
            </w:r>
            <w:proofErr w:type="spellEnd"/>
            <w:r w:rsidRPr="007C2A13">
              <w:rPr>
                <w:i/>
                <w:iCs/>
                <w:color w:val="232323"/>
                <w:lang w:val="lt-LT"/>
              </w:rPr>
              <w:t xml:space="preserve"> </w:t>
            </w:r>
            <w:proofErr w:type="spellStart"/>
            <w:r w:rsidRPr="007C2A13">
              <w:rPr>
                <w:i/>
                <w:iCs/>
                <w:color w:val="232323"/>
                <w:lang w:val="lt-LT"/>
              </w:rPr>
              <w:t>Water</w:t>
            </w:r>
            <w:proofErr w:type="spellEnd"/>
            <w:r w:rsidRPr="007C2A13">
              <w:rPr>
                <w:i/>
                <w:iCs/>
                <w:color w:val="232323"/>
                <w:lang w:val="lt-LT"/>
              </w:rPr>
              <w:t xml:space="preserve"> </w:t>
            </w:r>
            <w:proofErr w:type="spellStart"/>
            <w:r w:rsidRPr="007C2A13">
              <w:rPr>
                <w:i/>
                <w:iCs/>
                <w:color w:val="232323"/>
                <w:lang w:val="lt-LT"/>
              </w:rPr>
              <w:t>Vapor</w:t>
            </w:r>
            <w:proofErr w:type="spellEnd"/>
            <w:r w:rsidRPr="007C2A13">
              <w:rPr>
                <w:i/>
                <w:iCs/>
                <w:color w:val="232323"/>
                <w:lang w:val="lt-LT"/>
              </w:rPr>
              <w:t xml:space="preserve">, </w:t>
            </w:r>
            <w:r w:rsidRPr="007C2A13">
              <w:rPr>
                <w:color w:val="232323"/>
                <w:lang w:val="lt-LT"/>
              </w:rPr>
              <w:t>standartas</w:t>
            </w:r>
            <w:r w:rsidRPr="007C2A13">
              <w:rPr>
                <w:i/>
                <w:iCs/>
                <w:color w:val="232323"/>
                <w:lang w:val="lt-LT"/>
              </w:rPr>
              <w:t xml:space="preserve"> </w:t>
            </w:r>
            <w:proofErr w:type="spellStart"/>
            <w:r w:rsidRPr="007C2A13">
              <w:rPr>
                <w:i/>
                <w:iCs/>
                <w:color w:val="232323"/>
                <w:lang w:val="lt-LT"/>
              </w:rPr>
              <w:t>RecyClass</w:t>
            </w:r>
            <w:proofErr w:type="spellEnd"/>
            <w:r w:rsidRPr="007C2A13">
              <w:rPr>
                <w:i/>
                <w:iCs/>
                <w:color w:val="232323"/>
                <w:lang w:val="lt-LT"/>
              </w:rPr>
              <w:t xml:space="preserve"> </w:t>
            </w:r>
            <w:r w:rsidRPr="007C2A13">
              <w:rPr>
                <w:color w:val="232323"/>
                <w:lang w:val="lt-LT"/>
              </w:rPr>
              <w:t xml:space="preserve">ar kitas lygiavertis standartas, arba Aplinkos apsaugos agentūros interneto svetainėje (https://aaa.lrv.lt/) skelbiamame atliekų </w:t>
            </w:r>
            <w:r w:rsidRPr="007C2A13">
              <w:rPr>
                <w:color w:val="232323"/>
                <w:lang w:val="lt-LT"/>
              </w:rPr>
              <w:lastRenderedPageBreak/>
              <w:t>tvarkytojų, turinčių teisę išrašyti gaminių ir (ar) pakuočių atliekų sutvarkymą įrodančius dokumentus, sąraše nurodytų atliekų perdirbėjų ar eksportuotojų dokumentai, pagrindžiantys, kad tokios pakuotės, tapusios atliekomis, gali būti perdirbamos</w:t>
            </w:r>
            <w:r w:rsidR="00791277">
              <w:rPr>
                <w:color w:val="232323"/>
                <w:lang w:val="lt-LT"/>
              </w:rPr>
              <w:t>.</w:t>
            </w:r>
          </w:p>
          <w:p w14:paraId="5F8E1A7D" w14:textId="7BF75A6B" w:rsidR="00163256" w:rsidRPr="007C2A13" w:rsidRDefault="00791277" w:rsidP="007C2A13">
            <w:pPr>
              <w:pStyle w:val="Default"/>
              <w:jc w:val="both"/>
              <w:rPr>
                <w:color w:val="232323"/>
              </w:rPr>
            </w:pPr>
            <w:r>
              <w:rPr>
                <w:color w:val="232323"/>
                <w:lang w:val="lt-LT"/>
              </w:rPr>
              <w:t xml:space="preserve">13.1.2. </w:t>
            </w:r>
            <w:r w:rsidRPr="00791277">
              <w:rPr>
                <w:color w:val="232323"/>
                <w:lang w:val="lt-LT"/>
              </w:rPr>
              <w:t>Prekė, virtusi atliekomis, tinka paruošti pakartotinai naudoti ar perdirbti. Atitiktį reikalavimams įrodantys dokumentai: Tiekėjas turi pateikti tiekėjo ar prekių gamintojo dokumentus, patvirtinančius, kad siūlomų prekių pagrindinės medžiagos/komponentai yra tinkamos pakartotinam naudojimui ar perdirbimui (deklaracijas ar kitus lygiaverčius dokumentus).</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77FC974B" w14:textId="77777777" w:rsidR="004A4FBA" w:rsidRDefault="004A4FBA" w:rsidP="00CF4783">
      <w:pPr>
        <w:jc w:val="right"/>
      </w:pPr>
      <w:r>
        <w:br/>
      </w:r>
    </w:p>
    <w:p w14:paraId="62A8A97A" w14:textId="77777777" w:rsidR="004A4FBA" w:rsidRDefault="004A4FBA" w:rsidP="00CF4783">
      <w:pPr>
        <w:jc w:val="right"/>
      </w:pPr>
    </w:p>
    <w:p w14:paraId="26D0DF5F" w14:textId="77777777" w:rsidR="004A4FBA" w:rsidRDefault="004A4FBA" w:rsidP="00CF4783">
      <w:pPr>
        <w:jc w:val="right"/>
      </w:pPr>
    </w:p>
    <w:p w14:paraId="04091AB9" w14:textId="77777777" w:rsidR="004A4FBA" w:rsidRDefault="004A4FBA" w:rsidP="00CF4783">
      <w:pPr>
        <w:jc w:val="right"/>
      </w:pPr>
    </w:p>
    <w:p w14:paraId="4201F393" w14:textId="77777777" w:rsidR="004A4FBA" w:rsidRDefault="004A4FBA" w:rsidP="00CF4783">
      <w:pPr>
        <w:jc w:val="right"/>
      </w:pPr>
    </w:p>
    <w:p w14:paraId="34A3A95F" w14:textId="77777777" w:rsidR="004A4FBA" w:rsidRDefault="004A4FBA" w:rsidP="00CF4783">
      <w:pPr>
        <w:jc w:val="right"/>
      </w:pPr>
    </w:p>
    <w:p w14:paraId="21388680" w14:textId="77777777" w:rsidR="00EA029E" w:rsidRDefault="00EA029E" w:rsidP="00CF4783">
      <w:pPr>
        <w:jc w:val="right"/>
      </w:pPr>
    </w:p>
    <w:p w14:paraId="1202801C" w14:textId="5D6FB325" w:rsidR="00CF4783" w:rsidRPr="004C6076" w:rsidRDefault="00CF4783" w:rsidP="00CF4783">
      <w:pPr>
        <w:jc w:val="right"/>
      </w:pPr>
      <w:r w:rsidRPr="004C6076">
        <w:lastRenderedPageBreak/>
        <w:t>Priedas Nr. 1</w:t>
      </w:r>
    </w:p>
    <w:p w14:paraId="6F3BDD49" w14:textId="0BCDDAA3" w:rsidR="00CF4783" w:rsidRPr="004C6076" w:rsidRDefault="00CF4783" w:rsidP="00D13A46">
      <w:pPr>
        <w:jc w:val="center"/>
        <w:rPr>
          <w:b/>
          <w:bCs/>
          <w:iCs/>
          <w:szCs w:val="24"/>
        </w:rPr>
      </w:pPr>
      <w:r w:rsidRPr="004C6076">
        <w:rPr>
          <w:b/>
          <w:bCs/>
          <w:iCs/>
          <w:szCs w:val="24"/>
        </w:rPr>
        <w:t xml:space="preserve">TECHNINĖ SPECIFIKACIJA IR </w:t>
      </w:r>
      <w:r w:rsidR="00EC0AE1">
        <w:rPr>
          <w:b/>
          <w:bCs/>
          <w:iCs/>
          <w:szCs w:val="24"/>
        </w:rPr>
        <w:t>KAINA</w:t>
      </w:r>
    </w:p>
    <w:p w14:paraId="1A37B82C" w14:textId="47B73DEA" w:rsidR="00D13A46" w:rsidRDefault="00D13A46" w:rsidP="00D13A46">
      <w:pPr>
        <w:jc w:val="center"/>
        <w:rPr>
          <w:b/>
          <w:szCs w:val="24"/>
        </w:rPr>
      </w:pPr>
      <w:r w:rsidRPr="003938DB">
        <w:rPr>
          <w:b/>
          <w:szCs w:val="24"/>
        </w:rPr>
        <w:t>„Neigiamo slėgio žaizdų gydymo aparatai (10977)“</w:t>
      </w:r>
      <w:r w:rsidR="001F2F16" w:rsidRPr="001F2F16">
        <w:rPr>
          <w:b/>
          <w:szCs w:val="24"/>
        </w:rPr>
        <w:t xml:space="preserve"> </w:t>
      </w:r>
    </w:p>
    <w:p w14:paraId="2239128C" w14:textId="77777777" w:rsidR="00D60E18" w:rsidRDefault="00D60E18" w:rsidP="00D60E18">
      <w:pPr>
        <w:tabs>
          <w:tab w:val="left" w:pos="426"/>
        </w:tabs>
        <w:jc w:val="center"/>
        <w:rPr>
          <w:b/>
          <w:szCs w:val="24"/>
        </w:rPr>
      </w:pPr>
    </w:p>
    <w:p w14:paraId="57403DBF" w14:textId="3DBD4CD3" w:rsidR="001F2F16" w:rsidRDefault="00D60E18" w:rsidP="00D60E18">
      <w:pPr>
        <w:tabs>
          <w:tab w:val="left" w:pos="426"/>
        </w:tabs>
        <w:jc w:val="center"/>
        <w:rPr>
          <w:b/>
          <w:szCs w:val="24"/>
        </w:rPr>
      </w:pPr>
      <w:r w:rsidRPr="00D60E18">
        <w:rPr>
          <w:b/>
          <w:szCs w:val="24"/>
        </w:rPr>
        <w:t>Neigiamo slėgio žaizdų gydymo aparatai</w:t>
      </w:r>
      <w:r>
        <w:rPr>
          <w:b/>
          <w:szCs w:val="24"/>
        </w:rPr>
        <w:t xml:space="preserve"> (2 vnt.)</w:t>
      </w:r>
    </w:p>
    <w:p w14:paraId="4B943CA8" w14:textId="16370179" w:rsidR="00D13A46" w:rsidRPr="00B4655C" w:rsidRDefault="00D13A46" w:rsidP="00D13A46">
      <w:pPr>
        <w:tabs>
          <w:tab w:val="left" w:pos="426"/>
        </w:tabs>
        <w:jc w:val="both"/>
      </w:pPr>
      <w:r w:rsidRPr="00B4655C">
        <w:t>BENDRIEJI REIKALAVIMAI:</w:t>
      </w:r>
    </w:p>
    <w:p w14:paraId="10E7C576" w14:textId="77777777" w:rsidR="00D13A46" w:rsidRPr="00B4655C" w:rsidRDefault="00D13A46" w:rsidP="00D13A46">
      <w:pPr>
        <w:numPr>
          <w:ilvl w:val="0"/>
          <w:numId w:val="2"/>
        </w:numPr>
        <w:tabs>
          <w:tab w:val="left" w:pos="426"/>
        </w:tabs>
        <w:ind w:left="0" w:firstLine="0"/>
        <w:jc w:val="both"/>
      </w:pPr>
      <w:r w:rsidRPr="00B4655C">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B4655C">
        <w:t>pdf</w:t>
      </w:r>
      <w:proofErr w:type="spellEnd"/>
      <w:r w:rsidRPr="00B4655C">
        <w:t xml:space="preserve"> formatu). Šiuose dokumentuose tiekėjas </w:t>
      </w:r>
      <w:r w:rsidRPr="00B4655C">
        <w:rPr>
          <w:b/>
          <w:bCs/>
          <w:u w:val="single"/>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B4655C">
        <w:t xml:space="preserve">. </w:t>
      </w:r>
    </w:p>
    <w:p w14:paraId="268EFDD6" w14:textId="77777777" w:rsidR="00D13A46" w:rsidRPr="00B4655C" w:rsidRDefault="00D13A46" w:rsidP="00D13A46">
      <w:pPr>
        <w:numPr>
          <w:ilvl w:val="0"/>
          <w:numId w:val="2"/>
        </w:numPr>
        <w:tabs>
          <w:tab w:val="left" w:pos="426"/>
        </w:tabs>
        <w:ind w:left="0" w:firstLine="0"/>
        <w:jc w:val="both"/>
      </w:pPr>
      <w:r w:rsidRPr="00B4655C">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56ACB689" w14:textId="77777777" w:rsidR="00D13A46" w:rsidRPr="00B4655C" w:rsidRDefault="00D13A46" w:rsidP="00D13A46">
      <w:pPr>
        <w:numPr>
          <w:ilvl w:val="0"/>
          <w:numId w:val="2"/>
        </w:numPr>
        <w:tabs>
          <w:tab w:val="left" w:pos="426"/>
        </w:tabs>
        <w:ind w:left="0" w:firstLine="0"/>
        <w:jc w:val="both"/>
      </w:pPr>
      <w:r w:rsidRPr="00B4655C">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3AE37DA9" w14:textId="77777777" w:rsidR="00D13A46" w:rsidRPr="00B4655C" w:rsidRDefault="00D13A46" w:rsidP="00D13A46">
      <w:pPr>
        <w:numPr>
          <w:ilvl w:val="0"/>
          <w:numId w:val="2"/>
        </w:numPr>
        <w:tabs>
          <w:tab w:val="left" w:pos="426"/>
        </w:tabs>
        <w:ind w:left="0" w:firstLine="0"/>
        <w:jc w:val="both"/>
      </w:pPr>
      <w:r w:rsidRPr="00B4655C">
        <w:t>Į pasiūlymo kainą turi būti įskaičiuotas įrangos pristatymas į VšĮ Vilniaus universiteto ligoninės Santaros klinikų sandėlį.</w:t>
      </w:r>
    </w:p>
    <w:p w14:paraId="445898B5" w14:textId="77777777" w:rsidR="00D13A46" w:rsidRPr="00B4655C" w:rsidRDefault="00D13A46" w:rsidP="00D13A46">
      <w:pPr>
        <w:numPr>
          <w:ilvl w:val="0"/>
          <w:numId w:val="2"/>
        </w:numPr>
        <w:tabs>
          <w:tab w:val="left" w:pos="426"/>
        </w:tabs>
        <w:ind w:left="0" w:firstLine="0"/>
        <w:jc w:val="both"/>
      </w:pPr>
      <w:r w:rsidRPr="00B4655C">
        <w:t xml:space="preserve">Kartu su prekėmis pateikiama dokumentacija naudojimo instrukcija </w:t>
      </w:r>
      <w:r w:rsidRPr="004D461E">
        <w:t>lietuvių</w:t>
      </w:r>
      <w:r>
        <w:t xml:space="preserve"> kalba</w:t>
      </w:r>
      <w:r w:rsidRPr="00B4655C">
        <w:t>.</w:t>
      </w:r>
    </w:p>
    <w:p w14:paraId="15E72934" w14:textId="77777777" w:rsidR="00D13A46" w:rsidRPr="00B4655C" w:rsidRDefault="00D13A46" w:rsidP="00D13A46">
      <w:pPr>
        <w:numPr>
          <w:ilvl w:val="0"/>
          <w:numId w:val="2"/>
        </w:numPr>
        <w:tabs>
          <w:tab w:val="left" w:pos="426"/>
        </w:tabs>
        <w:ind w:left="0" w:firstLine="0"/>
        <w:jc w:val="both"/>
      </w:pPr>
      <w:r w:rsidRPr="00B4655C">
        <w:t>Siūlomos prekės turi būti naujos, nenaudotos, neatnaujintos (net ir gamykliniu būdu).</w:t>
      </w:r>
    </w:p>
    <w:p w14:paraId="60247460" w14:textId="77777777" w:rsidR="00D13A46" w:rsidRDefault="00D13A46" w:rsidP="00D13A46"/>
    <w:tbl>
      <w:tblPr>
        <w:tblStyle w:val="TableNormal1"/>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648"/>
        <w:gridCol w:w="2779"/>
        <w:gridCol w:w="2714"/>
        <w:gridCol w:w="3821"/>
      </w:tblGrid>
      <w:tr w:rsidR="00D13A46" w:rsidRPr="00204805" w14:paraId="32992EA9" w14:textId="77777777" w:rsidTr="00726864">
        <w:trPr>
          <w:trHeight w:val="50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16176" w14:textId="77777777" w:rsidR="00D13A46" w:rsidRPr="00DD50D3" w:rsidRDefault="00D13A46" w:rsidP="00726864">
            <w:pPr>
              <w:pStyle w:val="Body"/>
              <w:jc w:val="center"/>
              <w:rPr>
                <w:rFonts w:ascii="Times New Roman" w:hAnsi="Times New Roman" w:cs="Times New Roman"/>
                <w:sz w:val="24"/>
                <w:szCs w:val="24"/>
                <w:lang w:val="lt-LT"/>
              </w:rPr>
            </w:pPr>
            <w:r w:rsidRPr="00DD50D3">
              <w:rPr>
                <w:rFonts w:ascii="Times New Roman" w:hAnsi="Times New Roman" w:cs="Times New Roman"/>
                <w:b/>
                <w:bCs/>
                <w:sz w:val="24"/>
                <w:szCs w:val="24"/>
                <w:lang w:val="lt-LT"/>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4DCDB" w14:textId="77777777" w:rsidR="00D13A46" w:rsidRPr="00DD50D3" w:rsidRDefault="00D13A46" w:rsidP="00726864">
            <w:pPr>
              <w:pStyle w:val="Body"/>
              <w:jc w:val="center"/>
              <w:rPr>
                <w:rFonts w:ascii="Times New Roman" w:hAnsi="Times New Roman" w:cs="Times New Roman"/>
                <w:sz w:val="24"/>
                <w:szCs w:val="24"/>
                <w:lang w:val="lt-LT"/>
              </w:rPr>
            </w:pPr>
            <w:r w:rsidRPr="00DD50D3">
              <w:rPr>
                <w:rFonts w:ascii="Times New Roman" w:hAnsi="Times New Roman" w:cs="Times New Roman"/>
                <w:b/>
                <w:bCs/>
                <w:sz w:val="24"/>
                <w:szCs w:val="24"/>
                <w:lang w:val="lt-LT"/>
              </w:rPr>
              <w:t>Parametrai</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9BA76" w14:textId="77777777" w:rsidR="00D13A46" w:rsidRPr="00DD50D3" w:rsidRDefault="00D13A46" w:rsidP="00726864">
            <w:pPr>
              <w:pStyle w:val="Body"/>
              <w:jc w:val="center"/>
              <w:rPr>
                <w:rFonts w:ascii="Times New Roman" w:hAnsi="Times New Roman" w:cs="Times New Roman"/>
                <w:sz w:val="24"/>
                <w:szCs w:val="24"/>
                <w:lang w:val="lt-LT"/>
              </w:rPr>
            </w:pPr>
            <w:r w:rsidRPr="00DD50D3">
              <w:rPr>
                <w:rFonts w:ascii="Times New Roman" w:hAnsi="Times New Roman" w:cs="Times New Roman"/>
                <w:b/>
                <w:bCs/>
                <w:sz w:val="24"/>
                <w:szCs w:val="24"/>
                <w:lang w:val="lt-LT"/>
              </w:rPr>
              <w:t>Reikalaujamo parametro reikšmė</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33948" w14:textId="77777777" w:rsidR="00D13A46" w:rsidRPr="00204805" w:rsidRDefault="00D13A46" w:rsidP="00726864">
            <w:pPr>
              <w:pStyle w:val="Body"/>
              <w:jc w:val="center"/>
              <w:rPr>
                <w:rFonts w:ascii="Times New Roman" w:hAnsi="Times New Roman" w:cs="Times New Roman"/>
                <w:sz w:val="24"/>
                <w:szCs w:val="24"/>
                <w:lang w:val="lt-LT"/>
              </w:rPr>
            </w:pPr>
            <w:r w:rsidRPr="00204805">
              <w:rPr>
                <w:rFonts w:ascii="Times New Roman" w:hAnsi="Times New Roman" w:cs="Times New Roman"/>
                <w:b/>
                <w:bCs/>
                <w:sz w:val="24"/>
                <w:szCs w:val="24"/>
                <w:lang w:val="lt-LT"/>
              </w:rPr>
              <w:t>Tiekėjo siūlomos prekės parametrų reikšmės (Failo, dokumento pavadinimas ir puslapio Nr., pažymintis vietą, kurioje yra siūlomus techninius parametrus patvirtinantys dokumentai, siūlomos prekės katalogo numeris)</w:t>
            </w:r>
          </w:p>
        </w:tc>
      </w:tr>
      <w:tr w:rsidR="00D13A46" w:rsidRPr="00204805" w14:paraId="27732E05" w14:textId="77777777" w:rsidTr="00726864">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FE961" w14:textId="77777777" w:rsidR="00D13A46" w:rsidRPr="00DD50D3" w:rsidRDefault="00D13A46" w:rsidP="00726864">
            <w:pPr>
              <w:pStyle w:val="Body"/>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1</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8FBDD" w14:textId="77777777" w:rsidR="00D13A46" w:rsidRPr="00204805" w:rsidRDefault="00D13A46" w:rsidP="00726864">
            <w:r w:rsidRPr="00DD50D3">
              <w:rPr>
                <w:b/>
                <w:bCs/>
                <w:sz w:val="24"/>
                <w:szCs w:val="24"/>
              </w:rPr>
              <w:t xml:space="preserve">Reikalavimai portatyviam neigiamo slėgio žaizdų gydymo aparatui </w:t>
            </w:r>
          </w:p>
        </w:tc>
      </w:tr>
      <w:tr w:rsidR="00D13A46" w:rsidRPr="00204805" w14:paraId="3032B906" w14:textId="77777777" w:rsidTr="00726864">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93C67"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EF2F1"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Aparato svoris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AD1E2"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A3"/>
            </w:r>
            <w:r w:rsidRPr="00DD50D3">
              <w:rPr>
                <w:rFonts w:ascii="Times New Roman" w:hAnsi="Times New Roman" w:cs="Times New Roman"/>
                <w:sz w:val="24"/>
                <w:szCs w:val="24"/>
                <w:lang w:val="lt-LT"/>
              </w:rPr>
              <w:t xml:space="preserve"> </w:t>
            </w:r>
            <w:r>
              <w:rPr>
                <w:rFonts w:ascii="Times New Roman" w:hAnsi="Times New Roman" w:cs="Times New Roman"/>
                <w:sz w:val="24"/>
                <w:szCs w:val="24"/>
                <w:lang w:val="lt-LT"/>
              </w:rPr>
              <w:t>800 gramų</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285C4" w14:textId="77777777" w:rsidR="00D13A46" w:rsidRPr="00204805" w:rsidRDefault="00D13A46" w:rsidP="00726864"/>
        </w:tc>
      </w:tr>
      <w:tr w:rsidR="00D13A46" w:rsidRPr="00204805" w14:paraId="0737425B" w14:textId="77777777" w:rsidTr="00726864">
        <w:trPr>
          <w:trHeight w:val="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0F41F"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2140A"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Slėgio diapazonas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7A81C"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Nuo 0 iki -</w:t>
            </w:r>
            <w:r w:rsidRPr="00DD50D3">
              <w:rPr>
                <w:rFonts w:ascii="Times New Roman" w:hAnsi="Times New Roman" w:cs="Times New Roman"/>
                <w:color w:val="000000" w:themeColor="text1"/>
                <w:sz w:val="24"/>
                <w:szCs w:val="24"/>
                <w:lang w:val="lt-LT"/>
              </w:rPr>
              <w:t>230mmHg (ne siauresniame diapazone už nurodytą)</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92A43"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7130C44D" w14:textId="77777777" w:rsidTr="00726864">
        <w:trPr>
          <w:trHeight w:val="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953C1"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F03E2"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Garso lygis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4B6D1"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A3"/>
            </w:r>
            <w:r w:rsidRPr="00DD50D3">
              <w:rPr>
                <w:rFonts w:ascii="Times New Roman" w:hAnsi="Times New Roman" w:cs="Times New Roman"/>
                <w:sz w:val="24"/>
                <w:szCs w:val="24"/>
                <w:lang w:val="lt-LT"/>
              </w:rPr>
              <w:t xml:space="preserve"> 47 </w:t>
            </w:r>
            <w:proofErr w:type="spellStart"/>
            <w:r w:rsidRPr="00DD50D3">
              <w:rPr>
                <w:rFonts w:ascii="Times New Roman" w:hAnsi="Times New Roman" w:cs="Times New Roman"/>
                <w:sz w:val="24"/>
                <w:szCs w:val="24"/>
                <w:lang w:val="lt-LT"/>
              </w:rPr>
              <w:t>dB</w:t>
            </w:r>
            <w:proofErr w:type="spellEnd"/>
            <w:r w:rsidRPr="00DD50D3">
              <w:rPr>
                <w:rFonts w:ascii="Times New Roman" w:hAnsi="Times New Roman" w:cs="Times New Roman"/>
                <w:sz w:val="24"/>
                <w:szCs w:val="24"/>
                <w:lang w:val="lt-LT"/>
              </w:rPr>
              <w:t xml:space="preserve"> </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62EDE"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0C290F3C"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7AD03"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w:t>
            </w:r>
            <w:r w:rsidRPr="00DD50D3">
              <w:rPr>
                <w:rFonts w:ascii="Times New Roman" w:hAnsi="Times New Roman" w:cs="Times New Roman"/>
                <w:sz w:val="24"/>
                <w:szCs w:val="24"/>
                <w:lang w:val="lt-LT"/>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553C9"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 xml:space="preserve">Akumuliatoriaus naudojimo laikas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C1E0F"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B3"/>
            </w:r>
            <w:r w:rsidRPr="00DD50D3">
              <w:rPr>
                <w:rFonts w:ascii="Times New Roman" w:hAnsi="Times New Roman" w:cs="Times New Roman"/>
                <w:sz w:val="24"/>
                <w:szCs w:val="24"/>
                <w:lang w:val="lt-LT"/>
              </w:rPr>
              <w:t xml:space="preserve"> 12 valandų</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A0FB2"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17AC4FD2" w14:textId="77777777" w:rsidTr="00726864">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A361C"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A8453"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Baterijos įkrovimo laikas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327CF"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A3"/>
            </w:r>
            <w:r w:rsidRPr="00DD50D3">
              <w:rPr>
                <w:rFonts w:ascii="Times New Roman" w:hAnsi="Times New Roman" w:cs="Times New Roman"/>
                <w:sz w:val="24"/>
                <w:szCs w:val="24"/>
                <w:lang w:val="lt-LT"/>
              </w:rPr>
              <w:t xml:space="preserve"> 3.5 valandos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313A" w14:textId="77777777" w:rsidR="00D13A46" w:rsidRPr="00204805" w:rsidRDefault="00D13A46" w:rsidP="00726864"/>
        </w:tc>
      </w:tr>
      <w:tr w:rsidR="00D13A46" w:rsidRPr="00204805" w14:paraId="3EB70412" w14:textId="77777777" w:rsidTr="00726864">
        <w:trPr>
          <w:trHeight w:val="8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EE549"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EEBA0" w14:textId="77777777" w:rsidR="00D13A46" w:rsidRPr="00DD50D3" w:rsidRDefault="00D13A46" w:rsidP="00726864">
            <w:pPr>
              <w:pStyle w:val="Body"/>
              <w:jc w:val="both"/>
              <w:rPr>
                <w:rFonts w:ascii="Times New Roman" w:hAnsi="Times New Roman" w:cs="Times New Roman"/>
                <w:sz w:val="24"/>
                <w:szCs w:val="24"/>
                <w:lang w:val="lt-LT"/>
              </w:rPr>
            </w:pPr>
            <w:r>
              <w:rPr>
                <w:rFonts w:ascii="Times New Roman" w:hAnsi="Times New Roman" w:cs="Times New Roman"/>
                <w:sz w:val="24"/>
                <w:szCs w:val="24"/>
                <w:lang w:val="lt-LT"/>
              </w:rPr>
              <w:t>Aparatas suderinamas su 4 dydžių talpomis</w:t>
            </w:r>
            <w:r w:rsidRPr="00DD50D3">
              <w:rPr>
                <w:rFonts w:ascii="Times New Roman" w:hAnsi="Times New Roman" w:cs="Times New Roman"/>
                <w:sz w:val="24"/>
                <w:szCs w:val="24"/>
                <w:lang w:val="lt-LT"/>
              </w:rPr>
              <w:t xml:space="preserve">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22540"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1. 400ml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p w14:paraId="492BF712"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2. 600ml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p w14:paraId="36B239E4"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3. 800ml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p w14:paraId="6E63BD30"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4. 1100ml</w:t>
            </w:r>
            <w:r>
              <w:rPr>
                <w:rFonts w:ascii="Times New Roman" w:hAnsi="Times New Roman" w:cs="Times New Roman"/>
                <w:sz w:val="24"/>
                <w:szCs w:val="24"/>
                <w:lang w:val="lt-LT"/>
              </w:rPr>
              <w:t xml:space="preserve"> ± 50ml</w:t>
            </w:r>
            <w:r w:rsidRPr="00DD50D3">
              <w:rPr>
                <w:rFonts w:ascii="Times New Roman" w:hAnsi="Times New Roman" w:cs="Times New Roman"/>
                <w:sz w:val="24"/>
                <w:szCs w:val="24"/>
                <w:lang w:val="lt-LT"/>
              </w:rPr>
              <w:t>.</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C0B8"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77312FB9"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40D58"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Pr="00DD50D3">
              <w:rPr>
                <w:rFonts w:ascii="Times New Roman" w:hAnsi="Times New Roman" w:cs="Times New Roman"/>
                <w:sz w:val="24"/>
                <w:szCs w:val="24"/>
                <w:lang w:val="lt-LT"/>
              </w:rPr>
              <w:t>.</w:t>
            </w:r>
            <w:r>
              <w:rPr>
                <w:rFonts w:ascii="Times New Roman" w:hAnsi="Times New Roman" w:cs="Times New Roman"/>
                <w:sz w:val="24"/>
                <w:szCs w:val="24"/>
                <w:lang w:val="lt-LT"/>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0A48A" w14:textId="77777777" w:rsidR="00D13A46" w:rsidRPr="00DD50D3" w:rsidRDefault="00D13A46" w:rsidP="00726864">
            <w:pPr>
              <w:pStyle w:val="Body"/>
              <w:jc w:val="both"/>
              <w:rPr>
                <w:rFonts w:ascii="Times New Roman" w:hAnsi="Times New Roman" w:cs="Times New Roman"/>
                <w:sz w:val="24"/>
                <w:szCs w:val="24"/>
                <w:lang w:val="lt-LT"/>
              </w:rPr>
            </w:pPr>
            <w:r>
              <w:rPr>
                <w:rFonts w:ascii="Times New Roman" w:hAnsi="Times New Roman" w:cs="Times New Roman"/>
                <w:sz w:val="24"/>
                <w:szCs w:val="24"/>
                <w:lang w:val="lt-LT"/>
              </w:rPr>
              <w:t>Darbinių parametrų atvaizdavimo ekranas ir valdymas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5051F" w14:textId="77777777" w:rsidR="00D13A46" w:rsidRPr="00DD50D3" w:rsidRDefault="00D13A46" w:rsidP="00726864">
            <w:pPr>
              <w:pStyle w:val="Body"/>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Spalvotas ekranas, aparatas valdomas mygtukais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23893" w14:textId="77777777" w:rsidR="00D13A46" w:rsidRPr="00204805" w:rsidRDefault="00D13A46" w:rsidP="00726864"/>
        </w:tc>
      </w:tr>
      <w:tr w:rsidR="00D13A46" w:rsidRPr="00204805" w14:paraId="1AB25A3B" w14:textId="77777777" w:rsidTr="00726864">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0C19F"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0BC83"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Kartu komplektuojamas nešiojimo krepšys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CDFEF"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78E7D" w14:textId="77777777" w:rsidR="00D13A46" w:rsidRPr="00204805" w:rsidRDefault="00D13A46" w:rsidP="00726864"/>
        </w:tc>
      </w:tr>
      <w:tr w:rsidR="00D13A46" w:rsidRPr="00204805" w14:paraId="7582D20A" w14:textId="77777777" w:rsidTr="00726864">
        <w:trPr>
          <w:trHeight w:val="31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C56FC"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1DB4F"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Galimi slėgio ciklai</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756C5"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1. Nuolatinis,</w:t>
            </w:r>
          </w:p>
          <w:p w14:paraId="65B87AC9"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2. Kintamas</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B6C33"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1A4B440A"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D107"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FDC13"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Išsekusios baterijos įspėjamasis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A9945"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6DA24" w14:textId="77777777" w:rsidR="00D13A46" w:rsidRPr="00204805" w:rsidRDefault="00D13A46" w:rsidP="00726864"/>
        </w:tc>
      </w:tr>
      <w:tr w:rsidR="00D13A46" w:rsidRPr="00204805" w14:paraId="1F96657A"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DE682"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0EFE0"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Slėgio nutekėjimo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F5EBC"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21D9A" w14:textId="77777777" w:rsidR="00D13A46" w:rsidRPr="00204805" w:rsidRDefault="00D13A46" w:rsidP="00726864"/>
        </w:tc>
      </w:tr>
      <w:tr w:rsidR="00D13A46" w:rsidRPr="00204805" w14:paraId="0C3B29B4"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FCC90"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7A8F2"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Pilnos talpos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936B0"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3D190" w14:textId="77777777" w:rsidR="00D13A46" w:rsidRPr="00204805" w:rsidRDefault="00D13A46" w:rsidP="00726864"/>
        </w:tc>
      </w:tr>
      <w:tr w:rsidR="00D13A46" w:rsidRPr="00204805" w14:paraId="7B1D7DDB"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B8E32"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AE9A8"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Žarnelės (linijos) blokavimo vaizdinis ir garsinis signalas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2B589"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B2B01" w14:textId="77777777" w:rsidR="00D13A46" w:rsidRPr="00204805" w:rsidRDefault="00D13A46" w:rsidP="00726864"/>
        </w:tc>
      </w:tr>
      <w:tr w:rsidR="00D13A46" w:rsidRPr="00204805" w14:paraId="2B948AFC"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2391D"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5DF6E"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Užrakto funkcija neleidžianti pacientui keisti slėgio parametrų</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96D41"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13ED6" w14:textId="77777777" w:rsidR="00D13A46" w:rsidRPr="00204805" w:rsidRDefault="00D13A46" w:rsidP="00726864"/>
        </w:tc>
      </w:tr>
      <w:tr w:rsidR="00D13A46" w:rsidRPr="00204805" w14:paraId="20E3213B" w14:textId="77777777" w:rsidTr="00726864">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4A6F5"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5F4CC"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 xml:space="preserve">Komplektuojamas su el. laidu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D1040"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52E6F"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00CD2D09" w14:textId="77777777" w:rsidTr="00726864">
        <w:trPr>
          <w:trHeight w:val="4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EA428"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C768F"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 xml:space="preserve">Vidinis akumuliatorius </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D3898"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Būtina</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10798"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1E2171F3" w14:textId="77777777" w:rsidTr="00726864">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56B70"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7983B" w14:textId="77777777" w:rsidR="00D13A46" w:rsidRPr="00DD50D3" w:rsidRDefault="00D13A46" w:rsidP="00726864">
            <w:pPr>
              <w:pStyle w:val="Body"/>
              <w:jc w:val="both"/>
              <w:rPr>
                <w:rFonts w:ascii="Times New Roman" w:hAnsi="Times New Roman" w:cs="Times New Roman"/>
                <w:b/>
                <w:bCs/>
                <w:sz w:val="24"/>
                <w:szCs w:val="24"/>
                <w:lang w:val="lt-LT"/>
              </w:rPr>
            </w:pPr>
            <w:r w:rsidRPr="00DD50D3">
              <w:rPr>
                <w:rFonts w:ascii="Times New Roman" w:hAnsi="Times New Roman" w:cs="Times New Roman"/>
                <w:sz w:val="24"/>
                <w:szCs w:val="24"/>
                <w:lang w:val="lt-LT"/>
              </w:rPr>
              <w:t>Vartotojo sąsajos kalba</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7EDFE"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t>Anglų k.</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20BF5" w14:textId="77777777" w:rsidR="00D13A46" w:rsidRPr="00204805" w:rsidRDefault="00D13A46" w:rsidP="00726864">
            <w:pPr>
              <w:pStyle w:val="Body"/>
              <w:rPr>
                <w:rFonts w:ascii="Times New Roman" w:hAnsi="Times New Roman" w:cs="Times New Roman"/>
                <w:sz w:val="24"/>
                <w:szCs w:val="24"/>
                <w:lang w:val="lt-LT"/>
              </w:rPr>
            </w:pPr>
          </w:p>
        </w:tc>
      </w:tr>
      <w:tr w:rsidR="00D13A46" w:rsidRPr="00204805" w14:paraId="2D81582D" w14:textId="77777777" w:rsidTr="00726864">
        <w:trPr>
          <w:trHeight w:val="21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D36BF" w14:textId="77777777" w:rsidR="00D13A46" w:rsidRPr="00DD50D3" w:rsidRDefault="00D13A46" w:rsidP="00726864">
            <w:pPr>
              <w:pStyle w:val="Body"/>
              <w:jc w:val="center"/>
              <w:rPr>
                <w:rFonts w:ascii="Times New Roman" w:hAnsi="Times New Roman" w:cs="Times New Roman"/>
                <w:sz w:val="24"/>
                <w:szCs w:val="24"/>
                <w:lang w:val="lt-LT"/>
              </w:rPr>
            </w:pPr>
            <w:r>
              <w:rPr>
                <w:rFonts w:ascii="Times New Roman" w:hAnsi="Times New Roman" w:cs="Times New Roman"/>
                <w:sz w:val="24"/>
                <w:szCs w:val="24"/>
                <w:lang w:val="lt-LT"/>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9EB17" w14:textId="77777777" w:rsidR="00D13A46" w:rsidRPr="00DD50D3" w:rsidRDefault="00D13A46" w:rsidP="00726864">
            <w:pPr>
              <w:pStyle w:val="Body"/>
              <w:jc w:val="both"/>
              <w:rPr>
                <w:rFonts w:ascii="Times New Roman" w:hAnsi="Times New Roman" w:cs="Times New Roman"/>
                <w:b/>
                <w:bCs/>
                <w:sz w:val="24"/>
                <w:szCs w:val="24"/>
                <w:lang w:val="lt-LT"/>
              </w:rPr>
            </w:pPr>
            <w:r w:rsidRPr="00DD50D3">
              <w:rPr>
                <w:rFonts w:ascii="Times New Roman" w:hAnsi="Times New Roman" w:cs="Times New Roman"/>
                <w:sz w:val="24"/>
                <w:szCs w:val="24"/>
                <w:lang w:val="lt-LT"/>
              </w:rPr>
              <w:t>Garantinis laikotarpis</w:t>
            </w:r>
          </w:p>
        </w:tc>
        <w:tc>
          <w:tcPr>
            <w:tcW w:w="27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CC9EB" w14:textId="77777777" w:rsidR="00D13A46" w:rsidRPr="00DD50D3" w:rsidRDefault="00D13A46" w:rsidP="00726864">
            <w:pPr>
              <w:pStyle w:val="Body"/>
              <w:jc w:val="both"/>
              <w:rPr>
                <w:rFonts w:ascii="Times New Roman" w:hAnsi="Times New Roman" w:cs="Times New Roman"/>
                <w:sz w:val="24"/>
                <w:szCs w:val="24"/>
                <w:lang w:val="lt-LT"/>
              </w:rPr>
            </w:pPr>
            <w:r w:rsidRPr="00DD50D3">
              <w:rPr>
                <w:rFonts w:ascii="Times New Roman" w:hAnsi="Times New Roman" w:cs="Times New Roman"/>
                <w:sz w:val="24"/>
                <w:szCs w:val="24"/>
                <w:lang w:val="lt-LT"/>
              </w:rPr>
              <w:sym w:font="Symbol" w:char="F0B3"/>
            </w:r>
            <w:r w:rsidRPr="00DD50D3">
              <w:rPr>
                <w:rFonts w:ascii="Times New Roman" w:hAnsi="Times New Roman" w:cs="Times New Roman"/>
                <w:sz w:val="24"/>
                <w:szCs w:val="24"/>
                <w:lang w:val="lt-LT"/>
              </w:rPr>
              <w:t xml:space="preserve"> 24 mėn.</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AF9E4" w14:textId="77777777" w:rsidR="00D13A46" w:rsidRPr="00204805" w:rsidRDefault="00D13A46" w:rsidP="00726864">
            <w:pPr>
              <w:pStyle w:val="Body"/>
              <w:rPr>
                <w:rFonts w:ascii="Times New Roman" w:hAnsi="Times New Roman" w:cs="Times New Roman"/>
                <w:sz w:val="24"/>
                <w:szCs w:val="24"/>
                <w:lang w:val="lt-LT"/>
              </w:rPr>
            </w:pPr>
          </w:p>
        </w:tc>
      </w:tr>
    </w:tbl>
    <w:p w14:paraId="5620809A" w14:textId="77777777" w:rsidR="00D13A46" w:rsidRDefault="00D13A46" w:rsidP="00D13A46"/>
    <w:p w14:paraId="52D57C64" w14:textId="77777777" w:rsidR="009902CC" w:rsidRDefault="009902CC" w:rsidP="00D13A46"/>
    <w:p w14:paraId="1479CB05" w14:textId="174B178B" w:rsidR="009902CC" w:rsidRDefault="009902CC" w:rsidP="00D13A46">
      <w:r>
        <w:t xml:space="preserve">KAINA: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65"/>
        <w:gridCol w:w="2352"/>
        <w:gridCol w:w="972"/>
        <w:gridCol w:w="741"/>
        <w:gridCol w:w="1134"/>
        <w:gridCol w:w="1275"/>
      </w:tblGrid>
      <w:tr w:rsidR="009902CC" w:rsidRPr="000014D6" w14:paraId="45FA78A2" w14:textId="77777777" w:rsidTr="008F7F07">
        <w:trPr>
          <w:trHeight w:val="525"/>
          <w:jc w:val="center"/>
        </w:trPr>
        <w:tc>
          <w:tcPr>
            <w:tcW w:w="562" w:type="dxa"/>
            <w:vAlign w:val="center"/>
          </w:tcPr>
          <w:p w14:paraId="415F3202" w14:textId="77777777" w:rsidR="009902CC" w:rsidRPr="000014D6" w:rsidRDefault="009902CC" w:rsidP="00726864">
            <w:pPr>
              <w:jc w:val="center"/>
              <w:rPr>
                <w:bCs/>
                <w:szCs w:val="24"/>
              </w:rPr>
            </w:pPr>
            <w:bookmarkStart w:id="0" w:name="_Hlk193435131"/>
            <w:r w:rsidRPr="000014D6">
              <w:rPr>
                <w:bCs/>
                <w:szCs w:val="24"/>
              </w:rPr>
              <w:t>Eil. Nr.</w:t>
            </w:r>
          </w:p>
        </w:tc>
        <w:tc>
          <w:tcPr>
            <w:tcW w:w="3165" w:type="dxa"/>
            <w:vAlign w:val="center"/>
          </w:tcPr>
          <w:p w14:paraId="7C0E4D44" w14:textId="77777777" w:rsidR="009902CC" w:rsidRPr="000014D6" w:rsidRDefault="009902CC" w:rsidP="00726864">
            <w:pPr>
              <w:ind w:right="-108"/>
              <w:jc w:val="center"/>
              <w:rPr>
                <w:bCs/>
                <w:szCs w:val="24"/>
                <w:lang w:eastAsia="lt-LT"/>
              </w:rPr>
            </w:pPr>
            <w:r w:rsidRPr="000014D6">
              <w:rPr>
                <w:bCs/>
                <w:szCs w:val="24"/>
                <w:lang w:eastAsia="lt-LT"/>
              </w:rPr>
              <w:t>Pirkimo objekto pavadinimas</w:t>
            </w:r>
          </w:p>
        </w:tc>
        <w:tc>
          <w:tcPr>
            <w:tcW w:w="2352" w:type="dxa"/>
            <w:vAlign w:val="center"/>
          </w:tcPr>
          <w:p w14:paraId="4BA1A8AF" w14:textId="558DA2C8" w:rsidR="009902CC" w:rsidRPr="000014D6" w:rsidRDefault="009902CC" w:rsidP="009902CC">
            <w:pPr>
              <w:ind w:left="-114" w:right="-108"/>
              <w:jc w:val="center"/>
              <w:rPr>
                <w:rFonts w:eastAsia="Arial Unicode MS"/>
                <w:szCs w:val="24"/>
                <w:bdr w:val="nil"/>
              </w:rPr>
            </w:pPr>
            <w:r w:rsidRPr="000014D6">
              <w:rPr>
                <w:rFonts w:eastAsia="Arial Unicode MS"/>
                <w:szCs w:val="24"/>
                <w:bdr w:val="nil"/>
              </w:rPr>
              <w:t>Siūlomos prekės pavadinimas, gamintojas, prekės kodas (jeigu yra)</w:t>
            </w:r>
          </w:p>
        </w:tc>
        <w:tc>
          <w:tcPr>
            <w:tcW w:w="972" w:type="dxa"/>
            <w:vAlign w:val="center"/>
          </w:tcPr>
          <w:p w14:paraId="13D10D41" w14:textId="77777777" w:rsidR="009902CC" w:rsidRPr="000014D6" w:rsidRDefault="009902CC" w:rsidP="00726864">
            <w:pPr>
              <w:ind w:left="-114" w:right="-108"/>
              <w:jc w:val="center"/>
              <w:rPr>
                <w:bCs/>
                <w:spacing w:val="-4"/>
                <w:szCs w:val="24"/>
                <w:lang w:eastAsia="lt-LT"/>
              </w:rPr>
            </w:pPr>
            <w:r w:rsidRPr="000014D6">
              <w:rPr>
                <w:rFonts w:eastAsia="Arial Unicode MS"/>
                <w:szCs w:val="24"/>
                <w:bdr w:val="nil"/>
              </w:rPr>
              <w:t>Kiekis</w:t>
            </w:r>
          </w:p>
        </w:tc>
        <w:tc>
          <w:tcPr>
            <w:tcW w:w="741" w:type="dxa"/>
            <w:vAlign w:val="center"/>
          </w:tcPr>
          <w:p w14:paraId="55F63B9F" w14:textId="77777777" w:rsidR="009902CC" w:rsidRPr="000014D6" w:rsidRDefault="009902CC" w:rsidP="00726864">
            <w:pPr>
              <w:pBdr>
                <w:top w:val="nil"/>
                <w:left w:val="nil"/>
                <w:bottom w:val="nil"/>
                <w:right w:val="nil"/>
                <w:between w:val="nil"/>
                <w:bar w:val="nil"/>
              </w:pBdr>
              <w:tabs>
                <w:tab w:val="left" w:pos="709"/>
              </w:tabs>
              <w:ind w:left="-108" w:right="-113"/>
              <w:jc w:val="center"/>
              <w:rPr>
                <w:rFonts w:eastAsia="Arial Unicode MS"/>
                <w:szCs w:val="24"/>
                <w:bdr w:val="nil"/>
              </w:rPr>
            </w:pPr>
            <w:r w:rsidRPr="000014D6">
              <w:rPr>
                <w:rFonts w:eastAsia="Arial Unicode MS"/>
                <w:szCs w:val="24"/>
                <w:bdr w:val="nil"/>
              </w:rPr>
              <w:t>Mato</w:t>
            </w:r>
          </w:p>
          <w:p w14:paraId="625A27C3" w14:textId="77777777" w:rsidR="009902CC" w:rsidRPr="000014D6" w:rsidRDefault="009902CC" w:rsidP="00726864">
            <w:pPr>
              <w:ind w:left="-108" w:right="-113"/>
              <w:jc w:val="center"/>
              <w:rPr>
                <w:rFonts w:eastAsia="Arial Unicode MS"/>
                <w:szCs w:val="24"/>
                <w:bdr w:val="nil"/>
              </w:rPr>
            </w:pPr>
            <w:r w:rsidRPr="000014D6">
              <w:rPr>
                <w:rFonts w:eastAsia="Arial Unicode MS"/>
                <w:szCs w:val="24"/>
                <w:bdr w:val="nil"/>
              </w:rPr>
              <w:t>vnt.</w:t>
            </w:r>
          </w:p>
        </w:tc>
        <w:tc>
          <w:tcPr>
            <w:tcW w:w="1134" w:type="dxa"/>
            <w:vAlign w:val="center"/>
          </w:tcPr>
          <w:p w14:paraId="37B45E59" w14:textId="77777777" w:rsidR="009902CC" w:rsidRPr="000014D6" w:rsidRDefault="009902CC" w:rsidP="00726864">
            <w:pPr>
              <w:ind w:left="-107" w:right="-108"/>
              <w:jc w:val="center"/>
              <w:rPr>
                <w:rFonts w:eastAsia="Arial Unicode MS"/>
                <w:szCs w:val="24"/>
                <w:bdr w:val="nil"/>
              </w:rPr>
            </w:pPr>
            <w:r w:rsidRPr="000014D6">
              <w:rPr>
                <w:rFonts w:eastAsia="Arial Unicode MS"/>
                <w:szCs w:val="24"/>
                <w:bdr w:val="nil"/>
              </w:rPr>
              <w:t xml:space="preserve">Mato vnt. kaina </w:t>
            </w:r>
          </w:p>
          <w:p w14:paraId="1D945580" w14:textId="77777777" w:rsidR="009902CC" w:rsidRPr="000014D6" w:rsidRDefault="009902CC" w:rsidP="00726864">
            <w:pPr>
              <w:ind w:left="-107" w:right="-108"/>
              <w:jc w:val="center"/>
              <w:rPr>
                <w:rFonts w:eastAsia="Arial Unicode MS"/>
                <w:szCs w:val="24"/>
                <w:bdr w:val="nil"/>
              </w:rPr>
            </w:pPr>
            <w:r w:rsidRPr="000014D6">
              <w:rPr>
                <w:rFonts w:eastAsia="Arial Unicode MS"/>
                <w:szCs w:val="24"/>
                <w:bdr w:val="nil"/>
              </w:rPr>
              <w:t xml:space="preserve">EUR be </w:t>
            </w:r>
          </w:p>
          <w:p w14:paraId="5EA0C8D2" w14:textId="77777777" w:rsidR="009902CC" w:rsidRPr="000014D6" w:rsidRDefault="009902CC" w:rsidP="00726864">
            <w:pPr>
              <w:ind w:left="-107" w:right="-108"/>
              <w:jc w:val="center"/>
              <w:rPr>
                <w:bCs/>
                <w:spacing w:val="-4"/>
                <w:szCs w:val="24"/>
                <w:lang w:eastAsia="lt-LT"/>
              </w:rPr>
            </w:pPr>
            <w:r w:rsidRPr="000014D6">
              <w:rPr>
                <w:rFonts w:eastAsia="Arial Unicode MS"/>
                <w:szCs w:val="24"/>
                <w:bdr w:val="nil"/>
              </w:rPr>
              <w:t>PVM</w:t>
            </w:r>
          </w:p>
        </w:tc>
        <w:tc>
          <w:tcPr>
            <w:tcW w:w="1275" w:type="dxa"/>
            <w:vAlign w:val="center"/>
          </w:tcPr>
          <w:p w14:paraId="5944F867" w14:textId="77777777" w:rsidR="009902CC" w:rsidRPr="000014D6" w:rsidRDefault="009902CC" w:rsidP="00726864">
            <w:pPr>
              <w:ind w:right="-108"/>
              <w:jc w:val="center"/>
              <w:rPr>
                <w:rFonts w:eastAsia="Arial Unicode MS"/>
                <w:szCs w:val="24"/>
                <w:bdr w:val="nil"/>
              </w:rPr>
            </w:pPr>
            <w:r w:rsidRPr="000014D6">
              <w:rPr>
                <w:rFonts w:eastAsia="Arial Unicode MS"/>
                <w:szCs w:val="24"/>
                <w:bdr w:val="nil"/>
              </w:rPr>
              <w:t>Suma EUR be PVM</w:t>
            </w:r>
          </w:p>
        </w:tc>
      </w:tr>
      <w:tr w:rsidR="009902CC" w:rsidRPr="000014D6" w14:paraId="31BBAFDB" w14:textId="77777777" w:rsidTr="008F7F07">
        <w:trPr>
          <w:trHeight w:val="741"/>
          <w:jc w:val="center"/>
        </w:trPr>
        <w:tc>
          <w:tcPr>
            <w:tcW w:w="562" w:type="dxa"/>
            <w:tcBorders>
              <w:top w:val="single" w:sz="4" w:space="0" w:color="auto"/>
              <w:left w:val="single" w:sz="4" w:space="0" w:color="auto"/>
              <w:bottom w:val="single" w:sz="4" w:space="0" w:color="auto"/>
              <w:right w:val="single" w:sz="4" w:space="0" w:color="auto"/>
            </w:tcBorders>
          </w:tcPr>
          <w:p w14:paraId="34F2CA4D" w14:textId="77777777" w:rsidR="009902CC" w:rsidRPr="000014D6" w:rsidRDefault="009902CC" w:rsidP="00726864">
            <w:pPr>
              <w:jc w:val="center"/>
              <w:rPr>
                <w:szCs w:val="24"/>
                <w:lang w:eastAsia="lt-LT"/>
              </w:rPr>
            </w:pPr>
            <w:r w:rsidRPr="000014D6">
              <w:rPr>
                <w:szCs w:val="24"/>
                <w:lang w:eastAsia="lt-LT"/>
              </w:rPr>
              <w:t>1.</w:t>
            </w:r>
          </w:p>
        </w:tc>
        <w:tc>
          <w:tcPr>
            <w:tcW w:w="3165" w:type="dxa"/>
          </w:tcPr>
          <w:p w14:paraId="6147B194" w14:textId="77777777" w:rsidR="009902CC" w:rsidRPr="000014D6" w:rsidRDefault="009902CC" w:rsidP="00726864">
            <w:pPr>
              <w:pBdr>
                <w:top w:val="nil"/>
                <w:left w:val="nil"/>
                <w:bottom w:val="nil"/>
                <w:right w:val="nil"/>
                <w:between w:val="nil"/>
                <w:bar w:val="nil"/>
              </w:pBdr>
              <w:suppressAutoHyphens/>
              <w:jc w:val="both"/>
              <w:rPr>
                <w:rFonts w:eastAsia="Arial Unicode MS"/>
                <w:bCs/>
                <w:szCs w:val="24"/>
                <w:bdr w:val="nil"/>
              </w:rPr>
            </w:pPr>
            <w:r w:rsidRPr="000014D6">
              <w:rPr>
                <w:rFonts w:eastAsia="Arial Unicode MS"/>
                <w:bCs/>
                <w:szCs w:val="24"/>
                <w:bdr w:val="nil"/>
              </w:rPr>
              <w:t>Neigiamo slėgio žaizdų gydymo aparatai</w:t>
            </w:r>
          </w:p>
        </w:tc>
        <w:tc>
          <w:tcPr>
            <w:tcW w:w="2352" w:type="dxa"/>
          </w:tcPr>
          <w:p w14:paraId="16747128" w14:textId="77777777" w:rsidR="009902CC" w:rsidRPr="000014D6" w:rsidRDefault="009902CC" w:rsidP="00726864">
            <w:pPr>
              <w:pBdr>
                <w:top w:val="nil"/>
                <w:left w:val="nil"/>
                <w:bottom w:val="nil"/>
                <w:right w:val="nil"/>
                <w:between w:val="nil"/>
                <w:bar w:val="nil"/>
              </w:pBdr>
              <w:suppressAutoHyphens/>
              <w:jc w:val="center"/>
              <w:rPr>
                <w:rFonts w:eastAsia="Arial Unicode MS"/>
                <w:szCs w:val="24"/>
                <w:bdr w:val="nil"/>
              </w:rPr>
            </w:pPr>
          </w:p>
        </w:tc>
        <w:tc>
          <w:tcPr>
            <w:tcW w:w="972" w:type="dxa"/>
            <w:vAlign w:val="center"/>
          </w:tcPr>
          <w:p w14:paraId="0C25BEB6" w14:textId="77777777" w:rsidR="009902CC" w:rsidRPr="000014D6" w:rsidRDefault="009902CC" w:rsidP="00726864">
            <w:pPr>
              <w:pBdr>
                <w:top w:val="nil"/>
                <w:left w:val="nil"/>
                <w:bottom w:val="nil"/>
                <w:right w:val="nil"/>
                <w:between w:val="nil"/>
                <w:bar w:val="nil"/>
              </w:pBdr>
              <w:suppressAutoHyphens/>
              <w:jc w:val="center"/>
              <w:rPr>
                <w:rFonts w:eastAsia="Arial Unicode MS"/>
                <w:szCs w:val="24"/>
                <w:bdr w:val="nil"/>
              </w:rPr>
            </w:pPr>
            <w:r w:rsidRPr="000014D6">
              <w:rPr>
                <w:rFonts w:eastAsia="Arial Unicode MS"/>
                <w:szCs w:val="24"/>
                <w:bdr w:val="nil"/>
              </w:rPr>
              <w:t>2</w:t>
            </w:r>
          </w:p>
        </w:tc>
        <w:tc>
          <w:tcPr>
            <w:tcW w:w="741" w:type="dxa"/>
            <w:vAlign w:val="center"/>
          </w:tcPr>
          <w:p w14:paraId="1F1201EB" w14:textId="77777777" w:rsidR="009902CC" w:rsidRPr="000014D6" w:rsidRDefault="009902CC" w:rsidP="00726864">
            <w:pPr>
              <w:pBdr>
                <w:top w:val="nil"/>
                <w:left w:val="nil"/>
                <w:bottom w:val="nil"/>
                <w:right w:val="nil"/>
                <w:between w:val="nil"/>
                <w:bar w:val="nil"/>
              </w:pBdr>
              <w:suppressAutoHyphens/>
              <w:ind w:left="-101" w:right="-112"/>
              <w:jc w:val="center"/>
              <w:rPr>
                <w:rFonts w:eastAsia="Arial Unicode MS"/>
                <w:szCs w:val="24"/>
                <w:bdr w:val="nil"/>
              </w:rPr>
            </w:pPr>
            <w:r w:rsidRPr="000014D6">
              <w:rPr>
                <w:rFonts w:eastAsia="Arial Unicode MS"/>
                <w:szCs w:val="24"/>
                <w:bdr w:val="nil"/>
              </w:rPr>
              <w:t>vnt.</w:t>
            </w:r>
          </w:p>
        </w:tc>
        <w:tc>
          <w:tcPr>
            <w:tcW w:w="1134" w:type="dxa"/>
            <w:vAlign w:val="center"/>
          </w:tcPr>
          <w:p w14:paraId="10E057E2" w14:textId="77777777" w:rsidR="009902CC" w:rsidRPr="000014D6" w:rsidRDefault="009902CC" w:rsidP="00726864">
            <w:pPr>
              <w:pBdr>
                <w:top w:val="nil"/>
                <w:left w:val="nil"/>
                <w:bottom w:val="nil"/>
                <w:right w:val="nil"/>
                <w:between w:val="nil"/>
                <w:bar w:val="nil"/>
              </w:pBdr>
              <w:suppressAutoHyphens/>
              <w:jc w:val="both"/>
              <w:rPr>
                <w:rFonts w:eastAsia="Arial Unicode MS"/>
                <w:szCs w:val="24"/>
                <w:bdr w:val="nil"/>
              </w:rPr>
            </w:pPr>
          </w:p>
        </w:tc>
        <w:tc>
          <w:tcPr>
            <w:tcW w:w="1275" w:type="dxa"/>
            <w:vAlign w:val="center"/>
          </w:tcPr>
          <w:p w14:paraId="099845D5" w14:textId="77777777" w:rsidR="009902CC" w:rsidRPr="000014D6" w:rsidRDefault="009902CC" w:rsidP="00726864">
            <w:pPr>
              <w:pBdr>
                <w:top w:val="nil"/>
                <w:left w:val="nil"/>
                <w:bottom w:val="nil"/>
                <w:right w:val="nil"/>
                <w:between w:val="nil"/>
                <w:bar w:val="nil"/>
              </w:pBdr>
              <w:suppressAutoHyphens/>
              <w:jc w:val="both"/>
              <w:rPr>
                <w:rFonts w:eastAsia="Arial Unicode MS"/>
                <w:szCs w:val="24"/>
                <w:bdr w:val="nil"/>
              </w:rPr>
            </w:pPr>
          </w:p>
        </w:tc>
      </w:tr>
      <w:tr w:rsidR="009902CC" w:rsidRPr="000014D6" w14:paraId="2F2FFD7E" w14:textId="77777777" w:rsidTr="008F7F07">
        <w:trPr>
          <w:trHeight w:val="263"/>
          <w:jc w:val="center"/>
        </w:trPr>
        <w:tc>
          <w:tcPr>
            <w:tcW w:w="562" w:type="dxa"/>
            <w:tcBorders>
              <w:top w:val="single" w:sz="4" w:space="0" w:color="auto"/>
              <w:left w:val="single" w:sz="4" w:space="0" w:color="auto"/>
              <w:bottom w:val="single" w:sz="4" w:space="0" w:color="auto"/>
              <w:right w:val="single" w:sz="4" w:space="0" w:color="auto"/>
            </w:tcBorders>
          </w:tcPr>
          <w:p w14:paraId="0856363C" w14:textId="77777777" w:rsidR="009902CC" w:rsidRPr="000014D6" w:rsidRDefault="009902CC" w:rsidP="00726864">
            <w:pPr>
              <w:pBdr>
                <w:top w:val="nil"/>
                <w:left w:val="nil"/>
                <w:bottom w:val="nil"/>
                <w:right w:val="nil"/>
                <w:between w:val="nil"/>
                <w:bar w:val="nil"/>
              </w:pBdr>
              <w:suppressAutoHyphens/>
              <w:jc w:val="right"/>
              <w:rPr>
                <w:rFonts w:eastAsia="Arial Unicode MS"/>
                <w:szCs w:val="24"/>
                <w:bdr w:val="nil"/>
              </w:rPr>
            </w:pPr>
          </w:p>
        </w:tc>
        <w:tc>
          <w:tcPr>
            <w:tcW w:w="8364" w:type="dxa"/>
            <w:gridSpan w:val="5"/>
            <w:tcBorders>
              <w:top w:val="single" w:sz="4" w:space="0" w:color="auto"/>
              <w:left w:val="single" w:sz="4" w:space="0" w:color="auto"/>
              <w:bottom w:val="single" w:sz="4" w:space="0" w:color="auto"/>
              <w:right w:val="single" w:sz="4" w:space="0" w:color="auto"/>
            </w:tcBorders>
            <w:vAlign w:val="center"/>
          </w:tcPr>
          <w:p w14:paraId="6E6B4ED2" w14:textId="6C34B04A" w:rsidR="009902CC" w:rsidRPr="000014D6" w:rsidRDefault="009902CC" w:rsidP="00726864">
            <w:pPr>
              <w:pBdr>
                <w:top w:val="nil"/>
                <w:left w:val="nil"/>
                <w:bottom w:val="nil"/>
                <w:right w:val="nil"/>
                <w:between w:val="nil"/>
                <w:bar w:val="nil"/>
              </w:pBdr>
              <w:suppressAutoHyphens/>
              <w:jc w:val="right"/>
              <w:rPr>
                <w:rFonts w:eastAsia="Arial Unicode MS"/>
                <w:szCs w:val="24"/>
                <w:bdr w:val="nil"/>
              </w:rPr>
            </w:pPr>
            <w:r w:rsidRPr="000014D6">
              <w:rPr>
                <w:rFonts w:eastAsia="Arial Unicode MS"/>
                <w:szCs w:val="24"/>
                <w:bdr w:val="nil"/>
              </w:rPr>
              <w:t>Pradinės sutarties vertė EUR be PVM</w:t>
            </w:r>
          </w:p>
        </w:tc>
        <w:tc>
          <w:tcPr>
            <w:tcW w:w="1275" w:type="dxa"/>
          </w:tcPr>
          <w:p w14:paraId="25BBC2E1" w14:textId="77777777" w:rsidR="009902CC" w:rsidRPr="000014D6" w:rsidRDefault="009902CC" w:rsidP="00726864">
            <w:pPr>
              <w:pBdr>
                <w:top w:val="nil"/>
                <w:left w:val="nil"/>
                <w:bottom w:val="nil"/>
                <w:right w:val="nil"/>
                <w:between w:val="nil"/>
                <w:bar w:val="nil"/>
              </w:pBdr>
              <w:suppressAutoHyphens/>
              <w:jc w:val="both"/>
              <w:rPr>
                <w:rFonts w:eastAsia="Arial Unicode MS"/>
                <w:szCs w:val="24"/>
                <w:bdr w:val="nil"/>
              </w:rPr>
            </w:pPr>
          </w:p>
        </w:tc>
      </w:tr>
      <w:tr w:rsidR="009902CC" w:rsidRPr="000014D6" w14:paraId="39982528" w14:textId="77777777" w:rsidTr="008F7F07">
        <w:trPr>
          <w:trHeight w:val="279"/>
          <w:jc w:val="center"/>
        </w:trPr>
        <w:tc>
          <w:tcPr>
            <w:tcW w:w="562" w:type="dxa"/>
            <w:tcBorders>
              <w:top w:val="single" w:sz="4" w:space="0" w:color="auto"/>
              <w:left w:val="single" w:sz="4" w:space="0" w:color="auto"/>
              <w:bottom w:val="single" w:sz="4" w:space="0" w:color="auto"/>
              <w:right w:val="single" w:sz="4" w:space="0" w:color="auto"/>
            </w:tcBorders>
          </w:tcPr>
          <w:p w14:paraId="5F1C96C0" w14:textId="77777777" w:rsidR="009902CC" w:rsidRPr="000014D6" w:rsidRDefault="009902CC" w:rsidP="00726864">
            <w:pPr>
              <w:pBdr>
                <w:top w:val="nil"/>
                <w:left w:val="nil"/>
                <w:bottom w:val="nil"/>
                <w:right w:val="nil"/>
                <w:between w:val="nil"/>
                <w:bar w:val="nil"/>
              </w:pBdr>
              <w:suppressAutoHyphens/>
              <w:jc w:val="right"/>
              <w:rPr>
                <w:rFonts w:eastAsia="Arial Unicode MS"/>
                <w:szCs w:val="24"/>
                <w:bdr w:val="nil"/>
              </w:rPr>
            </w:pPr>
          </w:p>
        </w:tc>
        <w:tc>
          <w:tcPr>
            <w:tcW w:w="8364" w:type="dxa"/>
            <w:gridSpan w:val="5"/>
            <w:tcBorders>
              <w:top w:val="single" w:sz="4" w:space="0" w:color="auto"/>
              <w:left w:val="single" w:sz="4" w:space="0" w:color="auto"/>
              <w:bottom w:val="single" w:sz="4" w:space="0" w:color="auto"/>
              <w:right w:val="single" w:sz="4" w:space="0" w:color="auto"/>
            </w:tcBorders>
            <w:vAlign w:val="center"/>
          </w:tcPr>
          <w:p w14:paraId="66D024A1" w14:textId="77777777" w:rsidR="009902CC" w:rsidRPr="000014D6" w:rsidRDefault="009902CC" w:rsidP="00726864">
            <w:pPr>
              <w:pBdr>
                <w:top w:val="nil"/>
                <w:left w:val="nil"/>
                <w:bottom w:val="nil"/>
                <w:right w:val="nil"/>
                <w:between w:val="nil"/>
                <w:bar w:val="nil"/>
              </w:pBdr>
              <w:suppressAutoHyphens/>
              <w:jc w:val="right"/>
              <w:rPr>
                <w:rFonts w:eastAsia="Arial Unicode MS"/>
                <w:szCs w:val="24"/>
                <w:bdr w:val="nil"/>
              </w:rPr>
            </w:pPr>
            <w:r w:rsidRPr="000014D6">
              <w:rPr>
                <w:rFonts w:eastAsia="Arial Unicode MS"/>
                <w:szCs w:val="24"/>
                <w:bdr w:val="nil"/>
              </w:rPr>
              <w:t>PVM (.......%) suma</w:t>
            </w:r>
          </w:p>
        </w:tc>
        <w:tc>
          <w:tcPr>
            <w:tcW w:w="1275" w:type="dxa"/>
          </w:tcPr>
          <w:p w14:paraId="5A1A2F5F" w14:textId="77777777" w:rsidR="009902CC" w:rsidRPr="000014D6" w:rsidRDefault="009902CC" w:rsidP="00726864">
            <w:pPr>
              <w:pBdr>
                <w:top w:val="nil"/>
                <w:left w:val="nil"/>
                <w:bottom w:val="nil"/>
                <w:right w:val="nil"/>
                <w:between w:val="nil"/>
                <w:bar w:val="nil"/>
              </w:pBdr>
              <w:suppressAutoHyphens/>
              <w:jc w:val="both"/>
              <w:rPr>
                <w:rFonts w:eastAsia="Arial Unicode MS"/>
                <w:szCs w:val="24"/>
                <w:bdr w:val="nil"/>
              </w:rPr>
            </w:pPr>
          </w:p>
        </w:tc>
      </w:tr>
      <w:tr w:rsidR="009902CC" w:rsidRPr="000014D6" w14:paraId="33422A83" w14:textId="77777777" w:rsidTr="008F7F07">
        <w:trPr>
          <w:trHeight w:val="263"/>
          <w:jc w:val="center"/>
        </w:trPr>
        <w:tc>
          <w:tcPr>
            <w:tcW w:w="562" w:type="dxa"/>
            <w:tcBorders>
              <w:top w:val="single" w:sz="4" w:space="0" w:color="auto"/>
              <w:left w:val="single" w:sz="4" w:space="0" w:color="auto"/>
              <w:bottom w:val="single" w:sz="4" w:space="0" w:color="auto"/>
              <w:right w:val="single" w:sz="4" w:space="0" w:color="auto"/>
            </w:tcBorders>
          </w:tcPr>
          <w:p w14:paraId="1CD63A9D" w14:textId="77777777" w:rsidR="009902CC" w:rsidRPr="000014D6" w:rsidRDefault="009902CC" w:rsidP="00726864">
            <w:pPr>
              <w:pBdr>
                <w:top w:val="nil"/>
                <w:left w:val="nil"/>
                <w:bottom w:val="nil"/>
                <w:right w:val="nil"/>
                <w:between w:val="nil"/>
                <w:bar w:val="nil"/>
              </w:pBdr>
              <w:suppressAutoHyphens/>
              <w:jc w:val="right"/>
              <w:rPr>
                <w:rFonts w:eastAsia="Arial Unicode MS"/>
                <w:szCs w:val="24"/>
                <w:bdr w:val="nil"/>
              </w:rPr>
            </w:pPr>
          </w:p>
        </w:tc>
        <w:tc>
          <w:tcPr>
            <w:tcW w:w="8364" w:type="dxa"/>
            <w:gridSpan w:val="5"/>
            <w:tcBorders>
              <w:top w:val="single" w:sz="4" w:space="0" w:color="auto"/>
              <w:left w:val="single" w:sz="4" w:space="0" w:color="auto"/>
              <w:bottom w:val="single" w:sz="4" w:space="0" w:color="auto"/>
              <w:right w:val="single" w:sz="4" w:space="0" w:color="auto"/>
            </w:tcBorders>
            <w:vAlign w:val="center"/>
          </w:tcPr>
          <w:p w14:paraId="61934CA9" w14:textId="5E16EEDF" w:rsidR="009902CC" w:rsidRPr="000014D6" w:rsidRDefault="009902CC" w:rsidP="00726864">
            <w:pPr>
              <w:pBdr>
                <w:top w:val="nil"/>
                <w:left w:val="nil"/>
                <w:bottom w:val="nil"/>
                <w:right w:val="nil"/>
                <w:between w:val="nil"/>
                <w:bar w:val="nil"/>
              </w:pBdr>
              <w:suppressAutoHyphens/>
              <w:jc w:val="right"/>
              <w:rPr>
                <w:rFonts w:eastAsia="Arial Unicode MS"/>
                <w:szCs w:val="24"/>
                <w:bdr w:val="nil"/>
              </w:rPr>
            </w:pPr>
            <w:r w:rsidRPr="000014D6">
              <w:rPr>
                <w:rFonts w:eastAsia="Arial Unicode MS"/>
                <w:szCs w:val="24"/>
                <w:bdr w:val="nil"/>
              </w:rPr>
              <w:t>Sutarties kaina EUR su PVM</w:t>
            </w:r>
          </w:p>
        </w:tc>
        <w:tc>
          <w:tcPr>
            <w:tcW w:w="1275" w:type="dxa"/>
          </w:tcPr>
          <w:p w14:paraId="6AF0CF00" w14:textId="77777777" w:rsidR="009902CC" w:rsidRPr="000014D6" w:rsidRDefault="009902CC" w:rsidP="00726864">
            <w:pPr>
              <w:pBdr>
                <w:top w:val="nil"/>
                <w:left w:val="nil"/>
                <w:bottom w:val="nil"/>
                <w:right w:val="nil"/>
                <w:between w:val="nil"/>
                <w:bar w:val="nil"/>
              </w:pBdr>
              <w:suppressAutoHyphens/>
              <w:jc w:val="both"/>
              <w:rPr>
                <w:rFonts w:eastAsia="Arial Unicode MS"/>
                <w:szCs w:val="24"/>
                <w:bdr w:val="nil"/>
              </w:rPr>
            </w:pPr>
          </w:p>
        </w:tc>
      </w:tr>
      <w:bookmarkEnd w:id="0"/>
    </w:tbl>
    <w:p w14:paraId="433DF954" w14:textId="77777777" w:rsidR="00CF4783" w:rsidRPr="004C6076" w:rsidRDefault="00CF4783" w:rsidP="00CF4783">
      <w:pPr>
        <w:jc w:val="both"/>
        <w:rPr>
          <w:rFonts w:eastAsiaTheme="minorHAnsi" w:cstheme="minorBidi"/>
          <w:kern w:val="2"/>
          <w:sz w:val="22"/>
          <w:szCs w:val="22"/>
          <w14:ligatures w14:val="standardContextual"/>
        </w:rPr>
      </w:pPr>
    </w:p>
    <w:p w14:paraId="4B86F46E" w14:textId="77777777" w:rsidR="00CF4783" w:rsidRPr="004C6076" w:rsidRDefault="00CF4783" w:rsidP="00CF4783">
      <w:pPr>
        <w:jc w:val="both"/>
        <w:rPr>
          <w:rFonts w:eastAsiaTheme="minorHAnsi" w:cstheme="minorBidi"/>
          <w:kern w:val="2"/>
          <w:sz w:val="22"/>
          <w:szCs w:val="22"/>
          <w14:ligatures w14:val="standardContextual"/>
        </w:rPr>
      </w:pPr>
    </w:p>
    <w:p w14:paraId="135C07D1" w14:textId="77777777" w:rsidR="00CF4783" w:rsidRPr="004C6076" w:rsidRDefault="00CF4783" w:rsidP="00CF4783">
      <w:pPr>
        <w:jc w:val="both"/>
        <w:rPr>
          <w:rFonts w:eastAsiaTheme="minorHAnsi" w:cstheme="minorBidi"/>
          <w:kern w:val="2"/>
          <w:sz w:val="22"/>
          <w:szCs w:val="22"/>
          <w14:ligatures w14:val="standardContextual"/>
        </w:rPr>
      </w:pPr>
    </w:p>
    <w:p w14:paraId="4CA486F6" w14:textId="77777777" w:rsidR="00CF4783" w:rsidRPr="004C6076" w:rsidRDefault="00CF4783" w:rsidP="00CF4783">
      <w:pPr>
        <w:jc w:val="both"/>
        <w:rPr>
          <w:rFonts w:eastAsiaTheme="minorHAnsi" w:cstheme="minorBidi"/>
          <w:kern w:val="2"/>
          <w:sz w:val="22"/>
          <w:szCs w:val="22"/>
          <w14:ligatures w14:val="standardContextual"/>
        </w:rPr>
      </w:pPr>
    </w:p>
    <w:p w14:paraId="5EDA6162" w14:textId="77777777" w:rsidR="00CF4783" w:rsidRPr="004C6076" w:rsidRDefault="00CF4783" w:rsidP="00CF4783">
      <w:pPr>
        <w:jc w:val="both"/>
        <w:rPr>
          <w:rFonts w:eastAsiaTheme="minorHAnsi" w:cstheme="minorBidi"/>
          <w:kern w:val="2"/>
          <w:sz w:val="22"/>
          <w:szCs w:val="22"/>
          <w14:ligatures w14:val="standardContextual"/>
        </w:rPr>
      </w:pPr>
    </w:p>
    <w:p w14:paraId="7AD6DA85" w14:textId="77777777" w:rsidR="00CF4783" w:rsidRPr="004C6076" w:rsidRDefault="00CF4783" w:rsidP="00CF4783">
      <w:pPr>
        <w:jc w:val="both"/>
        <w:rPr>
          <w:rFonts w:eastAsiaTheme="minorHAnsi" w:cstheme="minorBidi"/>
          <w:kern w:val="2"/>
          <w:sz w:val="22"/>
          <w:szCs w:val="22"/>
          <w14:ligatures w14:val="standardContextual"/>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F1F1" w14:textId="77777777" w:rsidR="00942FAD" w:rsidRDefault="00942FAD">
      <w:r>
        <w:separator/>
      </w:r>
    </w:p>
  </w:endnote>
  <w:endnote w:type="continuationSeparator" w:id="0">
    <w:p w14:paraId="0CC1764F" w14:textId="77777777" w:rsidR="00942FAD" w:rsidRDefault="0094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0B4F" w14:textId="77777777" w:rsidR="00942FAD" w:rsidRDefault="00942FAD">
      <w:r>
        <w:separator/>
      </w:r>
    </w:p>
  </w:footnote>
  <w:footnote w:type="continuationSeparator" w:id="0">
    <w:p w14:paraId="7B75561B" w14:textId="77777777" w:rsidR="00942FAD" w:rsidRDefault="0094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86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4D6"/>
    <w:rsid w:val="000068D4"/>
    <w:rsid w:val="00006BDB"/>
    <w:rsid w:val="0001025E"/>
    <w:rsid w:val="00012098"/>
    <w:rsid w:val="00026859"/>
    <w:rsid w:val="00030890"/>
    <w:rsid w:val="000448A8"/>
    <w:rsid w:val="00067448"/>
    <w:rsid w:val="000740DD"/>
    <w:rsid w:val="0008570E"/>
    <w:rsid w:val="000916A4"/>
    <w:rsid w:val="000A3AEE"/>
    <w:rsid w:val="000C5B19"/>
    <w:rsid w:val="000D502D"/>
    <w:rsid w:val="000E3AF8"/>
    <w:rsid w:val="000E5F82"/>
    <w:rsid w:val="000E6483"/>
    <w:rsid w:val="000E7958"/>
    <w:rsid w:val="000F176F"/>
    <w:rsid w:val="000F4D31"/>
    <w:rsid w:val="001021F9"/>
    <w:rsid w:val="00110A1B"/>
    <w:rsid w:val="00112416"/>
    <w:rsid w:val="0013110F"/>
    <w:rsid w:val="001369E4"/>
    <w:rsid w:val="00150821"/>
    <w:rsid w:val="00163256"/>
    <w:rsid w:val="0016691F"/>
    <w:rsid w:val="001B2FC1"/>
    <w:rsid w:val="001B616F"/>
    <w:rsid w:val="001C6C51"/>
    <w:rsid w:val="001F2F16"/>
    <w:rsid w:val="001F63D7"/>
    <w:rsid w:val="00234723"/>
    <w:rsid w:val="00236D39"/>
    <w:rsid w:val="00251DAE"/>
    <w:rsid w:val="00270F85"/>
    <w:rsid w:val="00285BB5"/>
    <w:rsid w:val="00287DC0"/>
    <w:rsid w:val="00293CC2"/>
    <w:rsid w:val="00297A80"/>
    <w:rsid w:val="002A7511"/>
    <w:rsid w:val="002B5AEE"/>
    <w:rsid w:val="002C06CD"/>
    <w:rsid w:val="002C0CDF"/>
    <w:rsid w:val="002C4751"/>
    <w:rsid w:val="002C70F8"/>
    <w:rsid w:val="002D5DE2"/>
    <w:rsid w:val="002F0B5F"/>
    <w:rsid w:val="00305C2D"/>
    <w:rsid w:val="0030703F"/>
    <w:rsid w:val="00307192"/>
    <w:rsid w:val="00327348"/>
    <w:rsid w:val="00333E2A"/>
    <w:rsid w:val="0033481E"/>
    <w:rsid w:val="0034453E"/>
    <w:rsid w:val="00346A65"/>
    <w:rsid w:val="003873C2"/>
    <w:rsid w:val="003900BC"/>
    <w:rsid w:val="003A5338"/>
    <w:rsid w:val="003C2ED5"/>
    <w:rsid w:val="003C7BA9"/>
    <w:rsid w:val="003F44E1"/>
    <w:rsid w:val="003F6DD0"/>
    <w:rsid w:val="00405C3D"/>
    <w:rsid w:val="00427594"/>
    <w:rsid w:val="00436D09"/>
    <w:rsid w:val="004373F3"/>
    <w:rsid w:val="0044589B"/>
    <w:rsid w:val="0048448F"/>
    <w:rsid w:val="004A24B7"/>
    <w:rsid w:val="004A325F"/>
    <w:rsid w:val="004A4FBA"/>
    <w:rsid w:val="004B2763"/>
    <w:rsid w:val="004B62EA"/>
    <w:rsid w:val="004C2EED"/>
    <w:rsid w:val="004C39E7"/>
    <w:rsid w:val="004F1930"/>
    <w:rsid w:val="0051711F"/>
    <w:rsid w:val="005348B8"/>
    <w:rsid w:val="0054348C"/>
    <w:rsid w:val="005777BC"/>
    <w:rsid w:val="005806A0"/>
    <w:rsid w:val="0059604D"/>
    <w:rsid w:val="005A1203"/>
    <w:rsid w:val="005A72AE"/>
    <w:rsid w:val="005B5486"/>
    <w:rsid w:val="005B7E53"/>
    <w:rsid w:val="005D52AC"/>
    <w:rsid w:val="005D6EBE"/>
    <w:rsid w:val="005F2361"/>
    <w:rsid w:val="005F2EA8"/>
    <w:rsid w:val="0061416F"/>
    <w:rsid w:val="00641D2B"/>
    <w:rsid w:val="006526B4"/>
    <w:rsid w:val="00653077"/>
    <w:rsid w:val="00656F37"/>
    <w:rsid w:val="00661F81"/>
    <w:rsid w:val="00670076"/>
    <w:rsid w:val="0068231C"/>
    <w:rsid w:val="00686855"/>
    <w:rsid w:val="006869CC"/>
    <w:rsid w:val="006B2956"/>
    <w:rsid w:val="006B4C9B"/>
    <w:rsid w:val="006B7A32"/>
    <w:rsid w:val="006C6B32"/>
    <w:rsid w:val="006E36CD"/>
    <w:rsid w:val="006F7C62"/>
    <w:rsid w:val="007078C9"/>
    <w:rsid w:val="0072100A"/>
    <w:rsid w:val="0072381E"/>
    <w:rsid w:val="00743FC2"/>
    <w:rsid w:val="007775E2"/>
    <w:rsid w:val="00791277"/>
    <w:rsid w:val="0079698C"/>
    <w:rsid w:val="007A6FF6"/>
    <w:rsid w:val="007A7607"/>
    <w:rsid w:val="007B2BDF"/>
    <w:rsid w:val="007C0899"/>
    <w:rsid w:val="007C2A13"/>
    <w:rsid w:val="007E65D2"/>
    <w:rsid w:val="007E7A0D"/>
    <w:rsid w:val="007F27DC"/>
    <w:rsid w:val="008018B2"/>
    <w:rsid w:val="00802B24"/>
    <w:rsid w:val="00811AEB"/>
    <w:rsid w:val="00814EBA"/>
    <w:rsid w:val="00830E4C"/>
    <w:rsid w:val="008433E8"/>
    <w:rsid w:val="00854B20"/>
    <w:rsid w:val="00860019"/>
    <w:rsid w:val="00862EC6"/>
    <w:rsid w:val="00863A85"/>
    <w:rsid w:val="00894850"/>
    <w:rsid w:val="008B53BA"/>
    <w:rsid w:val="008E05F2"/>
    <w:rsid w:val="008F7F07"/>
    <w:rsid w:val="009026D4"/>
    <w:rsid w:val="00914E03"/>
    <w:rsid w:val="00917C09"/>
    <w:rsid w:val="00942FAD"/>
    <w:rsid w:val="009502C9"/>
    <w:rsid w:val="009902CC"/>
    <w:rsid w:val="00995C47"/>
    <w:rsid w:val="00995DBA"/>
    <w:rsid w:val="009C251F"/>
    <w:rsid w:val="009E630A"/>
    <w:rsid w:val="009E7618"/>
    <w:rsid w:val="009F435E"/>
    <w:rsid w:val="00A142B0"/>
    <w:rsid w:val="00A30BBD"/>
    <w:rsid w:val="00A51215"/>
    <w:rsid w:val="00A5275D"/>
    <w:rsid w:val="00A62E3B"/>
    <w:rsid w:val="00AA6242"/>
    <w:rsid w:val="00AB336B"/>
    <w:rsid w:val="00AC148C"/>
    <w:rsid w:val="00AC299B"/>
    <w:rsid w:val="00AD6743"/>
    <w:rsid w:val="00AD769B"/>
    <w:rsid w:val="00B02A74"/>
    <w:rsid w:val="00B050D8"/>
    <w:rsid w:val="00B15840"/>
    <w:rsid w:val="00B246EF"/>
    <w:rsid w:val="00B33821"/>
    <w:rsid w:val="00B50598"/>
    <w:rsid w:val="00B6078C"/>
    <w:rsid w:val="00BC0FDE"/>
    <w:rsid w:val="00BD18CC"/>
    <w:rsid w:val="00BE03EB"/>
    <w:rsid w:val="00BE6E5C"/>
    <w:rsid w:val="00C06FD6"/>
    <w:rsid w:val="00C11983"/>
    <w:rsid w:val="00C157A6"/>
    <w:rsid w:val="00C4039B"/>
    <w:rsid w:val="00C51D4A"/>
    <w:rsid w:val="00C57778"/>
    <w:rsid w:val="00C6056B"/>
    <w:rsid w:val="00C9266C"/>
    <w:rsid w:val="00CA18DA"/>
    <w:rsid w:val="00CA461D"/>
    <w:rsid w:val="00CA5563"/>
    <w:rsid w:val="00CC2EC0"/>
    <w:rsid w:val="00CC361F"/>
    <w:rsid w:val="00CD7D26"/>
    <w:rsid w:val="00CF0B97"/>
    <w:rsid w:val="00CF4783"/>
    <w:rsid w:val="00D00C25"/>
    <w:rsid w:val="00D03A55"/>
    <w:rsid w:val="00D13A46"/>
    <w:rsid w:val="00D13DC8"/>
    <w:rsid w:val="00D16091"/>
    <w:rsid w:val="00D1728F"/>
    <w:rsid w:val="00D3141D"/>
    <w:rsid w:val="00D411D3"/>
    <w:rsid w:val="00D427AD"/>
    <w:rsid w:val="00D60E18"/>
    <w:rsid w:val="00D7398B"/>
    <w:rsid w:val="00D76007"/>
    <w:rsid w:val="00D9400C"/>
    <w:rsid w:val="00DF145B"/>
    <w:rsid w:val="00E00AA6"/>
    <w:rsid w:val="00E20061"/>
    <w:rsid w:val="00E25594"/>
    <w:rsid w:val="00E25FE0"/>
    <w:rsid w:val="00E32A9A"/>
    <w:rsid w:val="00E37D76"/>
    <w:rsid w:val="00E41B0E"/>
    <w:rsid w:val="00E5166C"/>
    <w:rsid w:val="00E64AEC"/>
    <w:rsid w:val="00E81FED"/>
    <w:rsid w:val="00E823C5"/>
    <w:rsid w:val="00E9715F"/>
    <w:rsid w:val="00EA029E"/>
    <w:rsid w:val="00EA03D5"/>
    <w:rsid w:val="00EC0AE1"/>
    <w:rsid w:val="00EC4F7B"/>
    <w:rsid w:val="00ED6956"/>
    <w:rsid w:val="00EE3FC8"/>
    <w:rsid w:val="00EE55EE"/>
    <w:rsid w:val="00EE65BC"/>
    <w:rsid w:val="00EF3DE0"/>
    <w:rsid w:val="00F1574B"/>
    <w:rsid w:val="00F22B56"/>
    <w:rsid w:val="00F6256B"/>
    <w:rsid w:val="00F628FE"/>
    <w:rsid w:val="00F96F21"/>
    <w:rsid w:val="00FB060D"/>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paragraph" w:customStyle="1" w:styleId="Default">
    <w:name w:val="Default"/>
    <w:rsid w:val="00163256"/>
    <w:pPr>
      <w:autoSpaceDE w:val="0"/>
      <w:autoSpaceDN w:val="0"/>
      <w:adjustRightInd w:val="0"/>
    </w:pPr>
    <w:rPr>
      <w:rFonts w:eastAsiaTheme="minorHAnsi"/>
      <w:color w:val="000000"/>
      <w:szCs w:val="24"/>
      <w:lang w:val="en-US"/>
    </w:rPr>
  </w:style>
  <w:style w:type="table" w:customStyle="1" w:styleId="TableNormal1">
    <w:name w:val="Table Normal1"/>
    <w:rsid w:val="00D13A46"/>
    <w:pPr>
      <w:pBdr>
        <w:top w:val="nil"/>
        <w:left w:val="nil"/>
        <w:bottom w:val="nil"/>
        <w:right w:val="nil"/>
        <w:between w:val="nil"/>
        <w:bar w:val="nil"/>
      </w:pBdr>
    </w:pPr>
    <w:rPr>
      <w:rFonts w:eastAsia="Arial Unicode MS"/>
      <w:sz w:val="20"/>
      <w:bdr w:val="nil"/>
      <w:lang w:eastAsia="lt-LT"/>
    </w:rPr>
    <w:tblPr>
      <w:tblInd w:w="0" w:type="dxa"/>
      <w:tblCellMar>
        <w:top w:w="0" w:type="dxa"/>
        <w:left w:w="0" w:type="dxa"/>
        <w:bottom w:w="0" w:type="dxa"/>
        <w:right w:w="0" w:type="dxa"/>
      </w:tblCellMar>
    </w:tblPr>
  </w:style>
  <w:style w:type="paragraph" w:customStyle="1" w:styleId="Body">
    <w:name w:val="Body"/>
    <w:rsid w:val="00D13A46"/>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it-IT"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14874</Words>
  <Characters>8479</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52</cp:revision>
  <dcterms:created xsi:type="dcterms:W3CDTF">2025-05-22T06:27:00Z</dcterms:created>
  <dcterms:modified xsi:type="dcterms:W3CDTF">2025-06-23T05:52:00Z</dcterms:modified>
</cp:coreProperties>
</file>