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5B6A" w14:textId="77777777" w:rsidR="00545993" w:rsidRDefault="00545993" w:rsidP="007334EA">
      <w:pPr>
        <w:spacing w:after="120"/>
        <w:ind w:left="567" w:firstLine="0"/>
        <w:contextualSpacing/>
        <w:jc w:val="center"/>
        <w:rPr>
          <w:rFonts w:ascii="Arial" w:hAnsi="Arial" w:cs="Arial"/>
          <w:b/>
          <w:bCs/>
        </w:rPr>
      </w:pPr>
      <w:r w:rsidRPr="00EE1753">
        <w:rPr>
          <w:rFonts w:cstheme="minorHAnsi"/>
          <w:b/>
          <w:bCs/>
          <w:noProof/>
          <w:sz w:val="24"/>
          <w:szCs w:val="24"/>
        </w:rPr>
        <w:drawing>
          <wp:inline distT="0" distB="0" distL="0" distR="0" wp14:anchorId="5041A852" wp14:editId="7BACFA66">
            <wp:extent cx="1853565" cy="960755"/>
            <wp:effectExtent l="0" t="0" r="0" b="0"/>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sdt>
      <w:sdtPr>
        <w:rPr>
          <w:rFonts w:ascii="Arial" w:hAnsi="Arial" w:cs="Arial"/>
          <w:b/>
          <w:bCs/>
        </w:rPr>
        <w:id w:val="-808551268"/>
        <w:docPartObj>
          <w:docPartGallery w:val="Cover Pages"/>
          <w:docPartUnique/>
        </w:docPartObj>
      </w:sdtPr>
      <w:sdtEndPr>
        <w:rPr>
          <w:b w:val="0"/>
          <w:bCs w:val="0"/>
        </w:rPr>
      </w:sdtEndPr>
      <w:sdtContent>
        <w:p w14:paraId="1E041B37" w14:textId="48DD88AE" w:rsidR="00360A21" w:rsidRDefault="00360A21" w:rsidP="007334EA">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0E7C76E"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E25462">
            <w:rPr>
              <w:rFonts w:cstheme="minorHAnsi"/>
              <w:b/>
              <w:bCs/>
              <w:sz w:val="28"/>
              <w:szCs w:val="28"/>
            </w:rPr>
            <w:t xml:space="preserve">EKSPERTINĖS </w:t>
          </w:r>
          <w:r w:rsidR="00BE108F">
            <w:rPr>
              <w:rFonts w:cstheme="minorHAnsi"/>
              <w:b/>
              <w:bCs/>
              <w:sz w:val="28"/>
              <w:szCs w:val="28"/>
            </w:rPr>
            <w:t>TAIKOMOSIOS VEIKLOS PASLAUGOS</w:t>
          </w:r>
          <w:r w:rsidR="00D526C8" w:rsidRPr="001A2892">
            <w:rPr>
              <w:rFonts w:cstheme="minorHAnsi"/>
              <w:b/>
              <w:bCs/>
              <w:sz w:val="28"/>
              <w:szCs w:val="28"/>
            </w:rPr>
            <w:t>“</w:t>
          </w:r>
        </w:p>
        <w:p w14:paraId="18ACC6AD" w14:textId="7E970EB8" w:rsidR="00D526C8"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8170DF9" w14:textId="77777777" w:rsidR="00A47EE3" w:rsidRPr="001A2892" w:rsidRDefault="00A47EE3" w:rsidP="001A2892">
          <w:pPr>
            <w:spacing w:after="120" w:line="240" w:lineRule="auto"/>
            <w:ind w:left="567" w:firstLine="0"/>
            <w:contextualSpacing/>
            <w:jc w:val="center"/>
            <w:rPr>
              <w:rFonts w:cstheme="minorHAnsi"/>
              <w:b/>
              <w:bCs/>
              <w:sz w:val="28"/>
              <w:szCs w:val="28"/>
            </w:rPr>
          </w:pPr>
        </w:p>
        <w:p w14:paraId="517C01D9" w14:textId="4E2E6BF8" w:rsidR="001C24BC" w:rsidRPr="009845FF" w:rsidRDefault="00D53BF4" w:rsidP="001A2892">
          <w:pPr>
            <w:spacing w:after="120" w:line="240" w:lineRule="auto"/>
            <w:ind w:left="567" w:firstLine="0"/>
            <w:contextualSpacing/>
            <w:jc w:val="center"/>
            <w:rPr>
              <w:rFonts w:ascii="Arial" w:hAnsi="Arial" w:cs="Arial"/>
            </w:rPr>
          </w:pPr>
          <w:r w:rsidRPr="009845FF">
            <w:rPr>
              <w:rFonts w:cstheme="minorHAnsi"/>
              <w:color w:val="1F3864" w:themeColor="accent1" w:themeShade="80"/>
              <w:sz w:val="28"/>
              <w:szCs w:val="28"/>
            </w:rPr>
            <w:t>V</w:t>
          </w:r>
          <w:r w:rsidR="00755F3B" w:rsidRPr="009845FF">
            <w:rPr>
              <w:rFonts w:cstheme="minorHAnsi"/>
              <w:color w:val="1F3864" w:themeColor="accent1" w:themeShade="80"/>
              <w:sz w:val="28"/>
              <w:szCs w:val="28"/>
            </w:rPr>
            <w:t>ersija</w:t>
          </w:r>
          <w:r w:rsidRPr="009845FF">
            <w:rPr>
              <w:rFonts w:cstheme="minorHAnsi"/>
              <w:color w:val="1F3864" w:themeColor="accent1" w:themeShade="80"/>
              <w:sz w:val="28"/>
              <w:szCs w:val="28"/>
            </w:rPr>
            <w:t xml:space="preserve"> Nr. </w:t>
          </w:r>
          <w:r w:rsidR="00254C61">
            <w:rPr>
              <w:rFonts w:cstheme="minorHAnsi"/>
              <w:color w:val="1F3864" w:themeColor="accent1" w:themeShade="80"/>
              <w:sz w:val="28"/>
              <w:szCs w:val="28"/>
            </w:rPr>
            <w:t>2</w:t>
          </w:r>
          <w:r w:rsidRPr="009845FF">
            <w:rPr>
              <w:rFonts w:cstheme="minorHAnsi"/>
              <w:i/>
              <w:iCs/>
              <w:color w:val="1F3864" w:themeColor="accent1" w:themeShade="80"/>
              <w:sz w:val="28"/>
              <w:szCs w:val="28"/>
            </w:rPr>
            <w:t xml:space="preserve"> </w:t>
          </w:r>
          <w:r w:rsidR="005F13F0" w:rsidRPr="009845FF">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F35590" w:rsidRDefault="00173FBA" w:rsidP="00581B14">
              <w:pPr>
                <w:pStyle w:val="TOCHeading"/>
                <w:tabs>
                  <w:tab w:val="left" w:pos="6555"/>
                </w:tabs>
                <w:rPr>
                  <w:rFonts w:asciiTheme="minorHAnsi" w:hAnsiTheme="minorHAnsi" w:cstheme="minorHAnsi"/>
                </w:rPr>
              </w:pPr>
              <w:r w:rsidRPr="00F35590">
                <w:rPr>
                  <w:rFonts w:asciiTheme="minorHAnsi" w:hAnsiTheme="minorHAnsi" w:cstheme="minorHAnsi"/>
                  <w:sz w:val="28"/>
                  <w:szCs w:val="28"/>
                </w:rPr>
                <w:t>T</w:t>
              </w:r>
              <w:r w:rsidR="00F42EC8" w:rsidRPr="00F35590">
                <w:rPr>
                  <w:rFonts w:asciiTheme="minorHAnsi" w:hAnsiTheme="minorHAnsi" w:cstheme="minorHAnsi"/>
                  <w:sz w:val="28"/>
                  <w:szCs w:val="28"/>
                </w:rPr>
                <w:t>URINYS</w:t>
              </w:r>
              <w:r w:rsidR="00581B14" w:rsidRPr="00F35590">
                <w:rPr>
                  <w:rFonts w:asciiTheme="minorHAnsi" w:hAnsiTheme="minorHAnsi" w:cstheme="minorHAnsi"/>
                </w:rPr>
                <w:tab/>
              </w:r>
            </w:p>
            <w:p w14:paraId="64303EC1" w14:textId="2AF73123" w:rsidR="00E76E1F" w:rsidRPr="00F35590" w:rsidRDefault="00173FBA" w:rsidP="002909FF">
              <w:pPr>
                <w:pStyle w:val="TOC1"/>
                <w:ind w:left="0" w:firstLine="0"/>
                <w:rPr>
                  <w:sz w:val="22"/>
                  <w:szCs w:val="22"/>
                  <w:lang w:val="en-US" w:eastAsia="en-US"/>
                </w:rPr>
              </w:pPr>
              <w:r w:rsidRPr="00F35590">
                <w:rPr>
                  <w:noProof w:val="0"/>
                </w:rPr>
                <w:fldChar w:fldCharType="begin"/>
              </w:r>
              <w:r w:rsidRPr="00F35590">
                <w:instrText xml:space="preserve"> TOC \o "1-3" \h \z \u </w:instrText>
              </w:r>
              <w:r w:rsidRPr="00F35590">
                <w:rPr>
                  <w:noProof w:val="0"/>
                </w:rPr>
                <w:fldChar w:fldCharType="separate"/>
              </w:r>
              <w:hyperlink w:anchor="_Toc137194947" w:history="1">
                <w:r w:rsidR="00E76E1F" w:rsidRPr="00F35590">
                  <w:rPr>
                    <w:rStyle w:val="Hyperlink"/>
                  </w:rPr>
                  <w:t>1.</w:t>
                </w:r>
                <w:r w:rsidR="00E76E1F" w:rsidRPr="00F35590">
                  <w:rPr>
                    <w:sz w:val="22"/>
                    <w:szCs w:val="22"/>
                    <w:lang w:val="en-US" w:eastAsia="en-US"/>
                  </w:rPr>
                  <w:tab/>
                </w:r>
                <w:r w:rsidR="00E76E1F" w:rsidRPr="00F35590">
                  <w:rPr>
                    <w:rStyle w:val="Hyperlink"/>
                  </w:rPr>
                  <w:t>Bendra informacija</w:t>
                </w:r>
              </w:hyperlink>
            </w:p>
            <w:p w14:paraId="29E46CFF" w14:textId="16B140DE" w:rsidR="00E76E1F" w:rsidRPr="00F35590" w:rsidRDefault="00E76E1F" w:rsidP="002909FF">
              <w:pPr>
                <w:pStyle w:val="TOC1"/>
                <w:ind w:left="0" w:firstLine="0"/>
                <w:rPr>
                  <w:sz w:val="22"/>
                  <w:szCs w:val="22"/>
                  <w:lang w:val="en-US" w:eastAsia="en-US"/>
                </w:rPr>
              </w:pPr>
              <w:hyperlink w:anchor="_Toc137194948" w:history="1">
                <w:r w:rsidRPr="00F35590">
                  <w:rPr>
                    <w:rStyle w:val="Hyperlink"/>
                    <w:rFonts w:eastAsia="Calibri"/>
                  </w:rPr>
                  <w:t>2.</w:t>
                </w:r>
                <w:r w:rsidRPr="00F35590">
                  <w:rPr>
                    <w:sz w:val="22"/>
                    <w:szCs w:val="22"/>
                    <w:lang w:val="en-US" w:eastAsia="en-US"/>
                  </w:rPr>
                  <w:tab/>
                </w:r>
                <w:r w:rsidRPr="00F35590">
                  <w:rPr>
                    <w:rStyle w:val="Hyperlink"/>
                  </w:rPr>
                  <w:t>Pirkimo objektas</w:t>
                </w:r>
              </w:hyperlink>
            </w:p>
            <w:p w14:paraId="3B364848" w14:textId="29123188" w:rsidR="00E76E1F" w:rsidRPr="00F35590" w:rsidRDefault="00E76E1F" w:rsidP="002909FF">
              <w:pPr>
                <w:pStyle w:val="TOC1"/>
                <w:ind w:left="0" w:firstLine="0"/>
                <w:rPr>
                  <w:sz w:val="22"/>
                  <w:szCs w:val="22"/>
                  <w:lang w:val="en-US" w:eastAsia="en-US"/>
                </w:rPr>
              </w:pPr>
              <w:hyperlink w:anchor="_Toc137194949" w:history="1">
                <w:r w:rsidRPr="00F35590">
                  <w:rPr>
                    <w:rStyle w:val="Hyperlink"/>
                    <w:rFonts w:eastAsia="Calibri"/>
                  </w:rPr>
                  <w:t>3.</w:t>
                </w:r>
                <w:r w:rsidRPr="00F35590">
                  <w:rPr>
                    <w:sz w:val="22"/>
                    <w:szCs w:val="22"/>
                    <w:lang w:val="en-US" w:eastAsia="en-US"/>
                  </w:rPr>
                  <w:tab/>
                </w:r>
                <w:r w:rsidRPr="00F35590">
                  <w:rPr>
                    <w:rStyle w:val="Hyperlink"/>
                  </w:rPr>
                  <w:t>Tiekėjų pašalinimo pagrindai, kvalifikacijos reikalavimai ir reikalaujami kokybės vadybos sistemos ir (arba) aplinkos apsaugos vadybos sistemos standartai</w:t>
                </w:r>
              </w:hyperlink>
            </w:p>
            <w:p w14:paraId="2C7FBD3C" w14:textId="3A0300AE" w:rsidR="00E76E1F" w:rsidRPr="00F35590" w:rsidRDefault="00E76E1F" w:rsidP="002909FF">
              <w:pPr>
                <w:pStyle w:val="TOC1"/>
                <w:ind w:left="0" w:firstLine="0"/>
                <w:rPr>
                  <w:sz w:val="22"/>
                  <w:szCs w:val="22"/>
                  <w:lang w:val="en-US" w:eastAsia="en-US"/>
                </w:rPr>
              </w:pPr>
              <w:hyperlink w:anchor="_Toc137194950" w:history="1">
                <w:r w:rsidRPr="00F35590">
                  <w:rPr>
                    <w:rStyle w:val="Hyperlink"/>
                    <w:rFonts w:eastAsia="Calibri"/>
                  </w:rPr>
                  <w:t>4.</w:t>
                </w:r>
                <w:r w:rsidRPr="00F35590">
                  <w:rPr>
                    <w:sz w:val="22"/>
                    <w:szCs w:val="22"/>
                    <w:lang w:val="en-US" w:eastAsia="en-US"/>
                  </w:rPr>
                  <w:tab/>
                </w:r>
                <w:r w:rsidRPr="00F35590">
                  <w:rPr>
                    <w:rStyle w:val="Hyperlink"/>
                  </w:rPr>
                  <w:t>Reikalavimai, susiję su nacionaliniu saugumu</w:t>
                </w:r>
              </w:hyperlink>
            </w:p>
            <w:p w14:paraId="3B8B80C9" w14:textId="35769BDA" w:rsidR="00E76E1F" w:rsidRPr="00F35590" w:rsidRDefault="00E76E1F" w:rsidP="002909FF">
              <w:pPr>
                <w:pStyle w:val="TOC1"/>
                <w:ind w:left="0" w:firstLine="0"/>
                <w:rPr>
                  <w:sz w:val="22"/>
                  <w:szCs w:val="22"/>
                  <w:lang w:val="en-US" w:eastAsia="en-US"/>
                </w:rPr>
              </w:pPr>
              <w:hyperlink w:anchor="_Toc137194951" w:history="1">
                <w:r w:rsidRPr="00F35590">
                  <w:rPr>
                    <w:rStyle w:val="Hyperlink"/>
                    <w:rFonts w:eastAsia="Calibri"/>
                  </w:rPr>
                  <w:t>5.</w:t>
                </w:r>
                <w:r w:rsidRPr="00F35590">
                  <w:rPr>
                    <w:sz w:val="22"/>
                    <w:szCs w:val="22"/>
                    <w:lang w:val="en-US" w:eastAsia="en-US"/>
                  </w:rPr>
                  <w:tab/>
                </w:r>
                <w:r w:rsidRPr="00F35590">
                  <w:rPr>
                    <w:rStyle w:val="Hyperlink"/>
                  </w:rPr>
                  <w:t>Specialieji reikalavimai pasiūlymų rengimui ir pateikimui</w:t>
                </w:r>
              </w:hyperlink>
            </w:p>
            <w:p w14:paraId="71D87EA0" w14:textId="2245DB74" w:rsidR="00E76E1F" w:rsidRPr="00F35590" w:rsidRDefault="00E76E1F" w:rsidP="002909FF">
              <w:pPr>
                <w:pStyle w:val="TOC1"/>
                <w:ind w:left="0" w:firstLine="0"/>
                <w:rPr>
                  <w:sz w:val="22"/>
                  <w:szCs w:val="22"/>
                  <w:lang w:val="en-US" w:eastAsia="en-US"/>
                </w:rPr>
              </w:pPr>
              <w:hyperlink w:anchor="_Toc137194952" w:history="1">
                <w:r w:rsidRPr="00F35590">
                  <w:rPr>
                    <w:rStyle w:val="Hyperlink"/>
                  </w:rPr>
                  <w:t>6.     Pasiūlymo galiojimo užtikrinimas</w:t>
                </w:r>
              </w:hyperlink>
            </w:p>
            <w:p w14:paraId="197EB7A3" w14:textId="6D00C223" w:rsidR="00E76E1F" w:rsidRPr="00F35590" w:rsidRDefault="00E76E1F" w:rsidP="002909FF">
              <w:pPr>
                <w:pStyle w:val="TOC1"/>
                <w:ind w:left="0" w:firstLine="0"/>
                <w:rPr>
                  <w:sz w:val="22"/>
                  <w:szCs w:val="22"/>
                  <w:lang w:val="en-US" w:eastAsia="en-US"/>
                </w:rPr>
              </w:pPr>
              <w:hyperlink w:anchor="_Toc137194953" w:history="1">
                <w:r w:rsidRPr="00F35590">
                  <w:rPr>
                    <w:rStyle w:val="Hyperlink"/>
                    <w:rFonts w:ascii="Arial" w:hAnsi="Arial" w:cs="Arial"/>
                  </w:rPr>
                  <w:t>7.</w:t>
                </w:r>
                <w:r w:rsidRPr="00F35590">
                  <w:rPr>
                    <w:sz w:val="22"/>
                    <w:szCs w:val="22"/>
                    <w:lang w:val="en-US" w:eastAsia="en-US"/>
                  </w:rPr>
                  <w:tab/>
                </w:r>
                <w:r w:rsidRPr="00F35590">
                  <w:rPr>
                    <w:rStyle w:val="Hyperlink"/>
                  </w:rPr>
                  <w:t>Pasiūlymų vertinimas</w:t>
                </w:r>
              </w:hyperlink>
            </w:p>
            <w:p w14:paraId="2D57B744" w14:textId="5124A01D" w:rsidR="00E76E1F" w:rsidRPr="00F35590" w:rsidRDefault="00E76E1F" w:rsidP="002909FF">
              <w:pPr>
                <w:pStyle w:val="TOC1"/>
                <w:ind w:left="0" w:firstLine="0"/>
              </w:pPr>
              <w:hyperlink w:anchor="_Toc137194954" w:history="1">
                <w:r w:rsidRPr="00F35590">
                  <w:rPr>
                    <w:rStyle w:val="Hyperlink"/>
                  </w:rPr>
                  <w:t xml:space="preserve">8. </w:t>
                </w:r>
                <w:r w:rsidR="00581B14" w:rsidRPr="00F35590">
                  <w:rPr>
                    <w:rStyle w:val="Hyperlink"/>
                  </w:rPr>
                  <w:t xml:space="preserve">    </w:t>
                </w:r>
                <w:r w:rsidRPr="00F35590">
                  <w:rPr>
                    <w:rStyle w:val="Hyperlink"/>
                  </w:rPr>
                  <w:t>Sutarties sudarymas</w:t>
                </w:r>
              </w:hyperlink>
            </w:p>
            <w:p w14:paraId="146C4EFE" w14:textId="6359D138" w:rsidR="005714BB" w:rsidRPr="00F35590" w:rsidRDefault="005714BB" w:rsidP="009C58E2">
              <w:pPr>
                <w:ind w:firstLine="0"/>
                <w:rPr>
                  <w:b/>
                  <w:bCs/>
                </w:rPr>
              </w:pPr>
              <w:r w:rsidRPr="00F35590">
                <w:rPr>
                  <w:b/>
                  <w:bCs/>
                </w:rPr>
                <w:t xml:space="preserve">9. </w:t>
              </w:r>
              <w:r w:rsidR="00F35590" w:rsidRPr="00F35590">
                <w:rPr>
                  <w:b/>
                  <w:bCs/>
                </w:rPr>
                <w:t xml:space="preserve">    </w:t>
              </w:r>
              <w:r w:rsidR="009C58E2" w:rsidRPr="00F35590">
                <w:rPr>
                  <w:b/>
                  <w:bCs/>
                </w:rPr>
                <w:t>Kitos sąlygos</w:t>
              </w:r>
            </w:p>
            <w:p w14:paraId="7ACF4EEF" w14:textId="40D6AF9C" w:rsidR="00173FBA" w:rsidRDefault="00173FBA" w:rsidP="002909FF">
              <w:pPr>
                <w:ind w:firstLine="0"/>
              </w:pPr>
              <w:r w:rsidRPr="00F35590">
                <w:rPr>
                  <w:noProof/>
                </w:rPr>
                <w:fldChar w:fldCharType="end"/>
              </w:r>
            </w:p>
          </w:sdtContent>
        </w:sdt>
        <w:p w14:paraId="7E8074B3" w14:textId="4C816312" w:rsidR="00173FBA" w:rsidRDefault="00173FBA" w:rsidP="002909FF">
          <w:pPr>
            <w:spacing w:after="120"/>
            <w:ind w:firstLine="0"/>
            <w:contextualSpacing/>
            <w:rPr>
              <w:rFonts w:ascii="Arial" w:hAnsi="Arial" w:cs="Arial"/>
            </w:rPr>
          </w:pPr>
        </w:p>
        <w:p w14:paraId="1AC291EB" w14:textId="356498D2" w:rsidR="00173FBA" w:rsidRPr="00CA57E7" w:rsidRDefault="00173FBA" w:rsidP="002909FF">
          <w:pPr>
            <w:spacing w:after="120"/>
            <w:ind w:firstLine="0"/>
            <w:contextualSpacing/>
            <w:rPr>
              <w:rFonts w:eastAsiaTheme="majorEastAsia" w:cstheme="minorHAnsi"/>
              <w:color w:val="262626" w:themeColor="text1" w:themeTint="D9"/>
              <w:sz w:val="28"/>
              <w:szCs w:val="28"/>
            </w:rPr>
          </w:pPr>
        </w:p>
        <w:p w14:paraId="5EBD8C97" w14:textId="77777777" w:rsidR="0040521D" w:rsidRPr="00CA57E7" w:rsidRDefault="0040521D" w:rsidP="002909FF">
          <w:pPr>
            <w:ind w:firstLine="0"/>
            <w:rPr>
              <w:rFonts w:eastAsiaTheme="majorEastAsia" w:cstheme="minorHAnsi"/>
              <w:color w:val="262626" w:themeColor="text1" w:themeTint="D9"/>
              <w:sz w:val="28"/>
              <w:szCs w:val="28"/>
            </w:rPr>
          </w:pPr>
          <w:r w:rsidRPr="00CA57E7">
            <w:rPr>
              <w:rFonts w:eastAsiaTheme="majorEastAsia" w:cstheme="minorHAnsi"/>
              <w:color w:val="262626" w:themeColor="text1" w:themeTint="D9"/>
              <w:sz w:val="28"/>
              <w:szCs w:val="28"/>
            </w:rPr>
            <w:t>Pirkimo sąlygų priedai:</w:t>
          </w:r>
        </w:p>
        <w:p w14:paraId="7B584242" w14:textId="77777777" w:rsidR="002909FF" w:rsidRPr="00BB28BD" w:rsidRDefault="002909FF" w:rsidP="002909FF">
          <w:pPr>
            <w:ind w:firstLine="0"/>
            <w:rPr>
              <w:b/>
              <w:bCs/>
              <w:u w:val="single"/>
            </w:rPr>
          </w:pPr>
        </w:p>
        <w:p w14:paraId="28C758B8" w14:textId="0E24E38A" w:rsidR="0040521D" w:rsidRPr="00FD421C" w:rsidRDefault="0040521D" w:rsidP="002909FF">
          <w:pPr>
            <w:pStyle w:val="TOC1"/>
            <w:ind w:left="0" w:firstLine="0"/>
            <w:rPr>
              <w:sz w:val="22"/>
              <w:szCs w:val="22"/>
              <w:lang w:eastAsia="en-US"/>
            </w:rPr>
          </w:pPr>
          <w:hyperlink w:anchor="_Toc124404956" w:history="1">
            <w:r w:rsidRPr="00C65EE4">
              <w:rPr>
                <w:rStyle w:val="Hyperlink"/>
              </w:rPr>
              <w:t>Pirkimo sąlygų 1 priedas</w:t>
            </w:r>
            <w:r w:rsidRPr="00FD421C">
              <w:rPr>
                <w:rStyle w:val="Hyperlink"/>
                <w:b w:val="0"/>
                <w:bCs w:val="0"/>
              </w:rPr>
              <w:t xml:space="preserve"> „</w:t>
            </w:r>
            <w:r w:rsidR="0045573D" w:rsidRPr="00FD421C">
              <w:rPr>
                <w:rStyle w:val="Hyperlink"/>
                <w:b w:val="0"/>
                <w:bCs w:val="0"/>
              </w:rPr>
              <w:t>Tiekėjų pašalinimo pagrindai</w:t>
            </w:r>
            <w:r w:rsidRPr="00FD421C">
              <w:rPr>
                <w:rStyle w:val="Hyperlink"/>
                <w:b w:val="0"/>
                <w:bCs w:val="0"/>
              </w:rPr>
              <w:t>“</w:t>
            </w:r>
          </w:hyperlink>
          <w:r w:rsidRPr="00FD421C">
            <w:rPr>
              <w:sz w:val="22"/>
              <w:szCs w:val="22"/>
              <w:lang w:eastAsia="en-US"/>
            </w:rPr>
            <w:t xml:space="preserve"> </w:t>
          </w:r>
        </w:p>
        <w:p w14:paraId="02A358D9" w14:textId="1F2896B2" w:rsidR="0040521D" w:rsidRPr="00C65EE4" w:rsidRDefault="0040521D" w:rsidP="002909FF">
          <w:pPr>
            <w:pStyle w:val="TOC2"/>
            <w:rPr>
              <w:rStyle w:val="Hyperlink"/>
              <w:rFonts w:cstheme="minorHAnsi"/>
              <w:noProof/>
            </w:rPr>
          </w:pPr>
          <w:hyperlink w:anchor="_Toc124404957" w:history="1">
            <w:r w:rsidRPr="00C65EE4">
              <w:rPr>
                <w:rStyle w:val="Hyperlink"/>
                <w:rFonts w:cstheme="minorHAnsi"/>
                <w:b/>
                <w:bCs/>
                <w:noProof/>
              </w:rPr>
              <w:t>Pirkimo sąlygų 2 priedas</w:t>
            </w:r>
            <w:r w:rsidRPr="00C65EE4">
              <w:rPr>
                <w:rStyle w:val="Hyperlink"/>
                <w:rFonts w:cstheme="minorHAnsi"/>
                <w:noProof/>
              </w:rPr>
              <w:t xml:space="preserve"> „</w:t>
            </w:r>
            <w:r w:rsidR="00C65EE4" w:rsidRPr="00C65EE4">
              <w:rPr>
                <w:rStyle w:val="Hyperlink"/>
                <w:noProof/>
              </w:rPr>
              <w:t>Tiekėjų kvalifikacijos reikalavimai ir reikalaujami kokybės bei aplinkos apsaugos vadybos sistemų standartai</w:t>
            </w:r>
            <w:r w:rsidRPr="00C65EE4">
              <w:rPr>
                <w:rStyle w:val="Hyperlink"/>
                <w:rFonts w:cstheme="minorHAnsi"/>
                <w:noProof/>
              </w:rPr>
              <w:t>“</w:t>
            </w:r>
          </w:hyperlink>
          <w:r w:rsidRPr="00C65EE4">
            <w:rPr>
              <w:rStyle w:val="Hyperlink"/>
              <w:rFonts w:cstheme="minorHAnsi"/>
              <w:noProof/>
            </w:rPr>
            <w:t xml:space="preserve"> </w:t>
          </w:r>
          <w:r w:rsidR="00C65EE4" w:rsidRPr="00C65EE4">
            <w:rPr>
              <w:rStyle w:val="Hyperlink"/>
              <w:rFonts w:cstheme="minorHAnsi"/>
              <w:noProof/>
            </w:rPr>
            <w:t xml:space="preserve"> </w:t>
          </w:r>
          <w:r w:rsidR="00C65EE4" w:rsidRPr="00405C76">
            <w:rPr>
              <w:rStyle w:val="Hyperlink"/>
              <w:rFonts w:cstheme="minorHAnsi"/>
              <w:noProof/>
              <w:color w:val="FF0000"/>
            </w:rPr>
            <w:t>netaikoma</w:t>
          </w:r>
        </w:p>
        <w:p w14:paraId="4F9433AE" w14:textId="737D4B90" w:rsidR="0040521D" w:rsidRPr="00405C76" w:rsidRDefault="0040521D" w:rsidP="002909FF">
          <w:pPr>
            <w:pStyle w:val="TOC2"/>
            <w:rPr>
              <w:rStyle w:val="Hyperlink"/>
              <w:noProof/>
            </w:rPr>
          </w:pPr>
          <w:hyperlink w:anchor="_Toc124404958" w:history="1">
            <w:r w:rsidRPr="002909FF">
              <w:rPr>
                <w:rStyle w:val="Hyperlink"/>
                <w:b/>
                <w:bCs/>
                <w:noProof/>
              </w:rPr>
              <w:t>Pirkimo sąlygų 3 priedas</w:t>
            </w:r>
            <w:r w:rsidRPr="005575AF">
              <w:rPr>
                <w:rStyle w:val="Hyperlink"/>
                <w:noProof/>
              </w:rPr>
              <w:t xml:space="preserve"> </w:t>
            </w:r>
            <w:r w:rsidR="00405C76">
              <w:rPr>
                <w:rStyle w:val="Hyperlink"/>
                <w:noProof/>
              </w:rPr>
              <w:t>„</w:t>
            </w:r>
            <w:r w:rsidRPr="005575AF">
              <w:rPr>
                <w:rStyle w:val="Hyperlink"/>
                <w:noProof/>
              </w:rPr>
              <w:t>„</w:t>
            </w:r>
            <w:r w:rsidR="00C65EE4">
              <w:rPr>
                <w:rStyle w:val="Hyperlink"/>
                <w:noProof/>
              </w:rPr>
              <w:t>EBVPD“</w:t>
            </w:r>
            <w:r w:rsidR="00405C76">
              <w:rPr>
                <w:rStyle w:val="Hyperlink"/>
                <w:noProof/>
              </w:rPr>
              <w:t xml:space="preserve"> (XML formatu)</w:t>
            </w:r>
            <w:r w:rsidRPr="005575AF">
              <w:rPr>
                <w:rStyle w:val="Hyperlink"/>
                <w:noProof/>
              </w:rPr>
              <w:t>“</w:t>
            </w:r>
          </w:hyperlink>
          <w:r w:rsidRPr="00405C76">
            <w:rPr>
              <w:rStyle w:val="Hyperlink"/>
              <w:noProof/>
            </w:rPr>
            <w:t xml:space="preserve"> </w:t>
          </w:r>
          <w:r w:rsidR="00405C76" w:rsidRPr="00405C76">
            <w:rPr>
              <w:rStyle w:val="Hyperlink"/>
              <w:noProof/>
            </w:rPr>
            <w:t xml:space="preserve"> </w:t>
          </w:r>
          <w:r w:rsidR="00405C76" w:rsidRPr="00405C76">
            <w:rPr>
              <w:rStyle w:val="Hyperlink"/>
              <w:noProof/>
              <w:color w:val="FF0000"/>
            </w:rPr>
            <w:t>netaikoma</w:t>
          </w:r>
        </w:p>
        <w:p w14:paraId="038F728F" w14:textId="3FAF814B" w:rsidR="0040521D" w:rsidRPr="002909FF" w:rsidRDefault="0040521D" w:rsidP="002909FF">
          <w:pPr>
            <w:pStyle w:val="TOC2"/>
            <w:rPr>
              <w:b/>
              <w:bCs/>
            </w:rPr>
          </w:pPr>
          <w:hyperlink w:anchor="_Toc124404959" w:history="1">
            <w:r w:rsidRPr="002909FF">
              <w:rPr>
                <w:rStyle w:val="Hyperlink"/>
                <w:b/>
                <w:bCs/>
              </w:rPr>
              <w:t xml:space="preserve">Pirkimo sąlygų 4 priedas </w:t>
            </w:r>
            <w:r w:rsidRPr="002909FF">
              <w:rPr>
                <w:rStyle w:val="Hyperlink"/>
              </w:rPr>
              <w:t>„T</w:t>
            </w:r>
            <w:r w:rsidR="004A71E1" w:rsidRPr="002909FF">
              <w:rPr>
                <w:rStyle w:val="Hyperlink"/>
              </w:rPr>
              <w:t>echninė specifikacija</w:t>
            </w:r>
            <w:r w:rsidRPr="002909FF">
              <w:rPr>
                <w:rStyle w:val="Hyperlink"/>
              </w:rPr>
              <w:t>“</w:t>
            </w:r>
          </w:hyperlink>
          <w:r w:rsidRPr="002909FF">
            <w:rPr>
              <w:rStyle w:val="Hyperlink"/>
              <w:b/>
              <w:bCs/>
            </w:rPr>
            <w:t xml:space="preserve"> </w:t>
          </w:r>
        </w:p>
        <w:p w14:paraId="312A81FC" w14:textId="21A1FBA4" w:rsidR="0040521D" w:rsidRPr="005575AF" w:rsidRDefault="0040521D" w:rsidP="002909FF">
          <w:pPr>
            <w:pStyle w:val="TOC2"/>
          </w:pPr>
          <w:hyperlink w:anchor="_Toc124404960" w:history="1">
            <w:r w:rsidRPr="002909FF">
              <w:rPr>
                <w:rStyle w:val="Hyperlink"/>
                <w:b/>
                <w:bCs/>
              </w:rPr>
              <w:t>Pirkimo sąlygų 5 priedas</w:t>
            </w:r>
            <w:r w:rsidRPr="005575AF">
              <w:rPr>
                <w:rStyle w:val="Hyperlink"/>
              </w:rPr>
              <w:t xml:space="preserve"> „</w:t>
            </w:r>
            <w:r w:rsidR="0071427B">
              <w:rPr>
                <w:rStyle w:val="Hyperlink"/>
              </w:rPr>
              <w:t xml:space="preserve">Pasiūlymo forma“ </w:t>
            </w:r>
          </w:hyperlink>
          <w:r w:rsidRPr="005575AF">
            <w:t xml:space="preserve"> </w:t>
          </w:r>
        </w:p>
        <w:p w14:paraId="39D6603C" w14:textId="2F085444" w:rsidR="0040521D" w:rsidRPr="005575AF" w:rsidRDefault="0040521D" w:rsidP="002909FF">
          <w:pPr>
            <w:pStyle w:val="TOC2"/>
          </w:pPr>
          <w:hyperlink w:anchor="_Toc124404962" w:history="1">
            <w:r w:rsidRPr="002909FF">
              <w:rPr>
                <w:rStyle w:val="Hyperlink"/>
                <w:b/>
                <w:bCs/>
              </w:rPr>
              <w:t xml:space="preserve">Pirkimo sąlygų </w:t>
            </w:r>
            <w:r w:rsidR="00891BF1" w:rsidRPr="002909FF">
              <w:rPr>
                <w:rStyle w:val="Hyperlink"/>
                <w:b/>
                <w:bCs/>
              </w:rPr>
              <w:t>6</w:t>
            </w:r>
            <w:r w:rsidRPr="002909FF">
              <w:rPr>
                <w:rStyle w:val="Hyperlink"/>
                <w:b/>
                <w:bCs/>
              </w:rPr>
              <w:t xml:space="preserve"> priedas</w:t>
            </w:r>
            <w:r w:rsidRPr="005575AF">
              <w:rPr>
                <w:rStyle w:val="Hyperlink"/>
              </w:rPr>
              <w:t xml:space="preserve"> „Pasiūlymų vertinimo kriterijai ir sąlygos“</w:t>
            </w:r>
          </w:hyperlink>
          <w:r w:rsidRPr="005575AF">
            <w:t xml:space="preserve"> </w:t>
          </w:r>
        </w:p>
        <w:p w14:paraId="6EE426C7" w14:textId="2D8606DA" w:rsidR="0040521D" w:rsidRDefault="0040521D" w:rsidP="002909FF">
          <w:pPr>
            <w:ind w:firstLine="0"/>
          </w:pPr>
          <w:r w:rsidRPr="002909FF">
            <w:rPr>
              <w:b/>
              <w:bCs/>
              <w:iCs/>
            </w:rPr>
            <w:t xml:space="preserve">Pirkimo sąlygų </w:t>
          </w:r>
          <w:r w:rsidR="00E72602" w:rsidRPr="002909FF">
            <w:rPr>
              <w:b/>
              <w:bCs/>
              <w:iCs/>
            </w:rPr>
            <w:t>7</w:t>
          </w:r>
          <w:r w:rsidR="00452E33">
            <w:rPr>
              <w:b/>
              <w:bCs/>
              <w:iCs/>
            </w:rPr>
            <w:t>.1</w:t>
          </w:r>
          <w:r w:rsidR="00E72602" w:rsidRPr="002909FF">
            <w:rPr>
              <w:b/>
              <w:bCs/>
              <w:iCs/>
            </w:rPr>
            <w:t xml:space="preserve"> </w:t>
          </w:r>
          <w:r w:rsidRPr="002909FF">
            <w:rPr>
              <w:b/>
              <w:bCs/>
              <w:iCs/>
            </w:rPr>
            <w:t>priedas</w:t>
          </w:r>
          <w:r w:rsidRPr="002909FF">
            <w:rPr>
              <w:iCs/>
            </w:rPr>
            <w:t xml:space="preserve"> „</w:t>
          </w:r>
          <w:hyperlink w:anchor="_Toc124404964" w:history="1">
            <w:r w:rsidR="00E72602" w:rsidRPr="002909FF">
              <w:rPr>
                <w:rFonts w:eastAsia="Times New Roman"/>
                <w:iCs/>
                <w:lang w:eastAsia="en-US"/>
              </w:rPr>
              <w:t>Sutarties projekt</w:t>
            </w:r>
            <w:r w:rsidR="00452E33">
              <w:rPr>
                <w:rFonts w:eastAsia="Times New Roman"/>
                <w:iCs/>
                <w:lang w:eastAsia="en-US"/>
              </w:rPr>
              <w:t>o bendrosios sąlygos</w:t>
            </w:r>
            <w:r w:rsidRPr="002909FF">
              <w:rPr>
                <w:rStyle w:val="Hyperlink"/>
                <w:iCs/>
                <w:noProof/>
              </w:rPr>
              <w:t>“</w:t>
            </w:r>
          </w:hyperlink>
        </w:p>
        <w:p w14:paraId="40F501EE" w14:textId="4B8481A7" w:rsidR="00452E33" w:rsidRDefault="00452E33" w:rsidP="00452E33">
          <w:pPr>
            <w:ind w:firstLine="0"/>
          </w:pPr>
          <w:r w:rsidRPr="002909FF">
            <w:rPr>
              <w:b/>
              <w:bCs/>
              <w:iCs/>
            </w:rPr>
            <w:t>Pirkimo sąlygų 7</w:t>
          </w:r>
          <w:r>
            <w:rPr>
              <w:b/>
              <w:bCs/>
              <w:iCs/>
            </w:rPr>
            <w:t>.2</w:t>
          </w:r>
          <w:r w:rsidRPr="002909FF">
            <w:rPr>
              <w:b/>
              <w:bCs/>
              <w:iCs/>
            </w:rPr>
            <w:t xml:space="preserve"> priedas</w:t>
          </w:r>
          <w:r w:rsidRPr="002909FF">
            <w:rPr>
              <w:iCs/>
            </w:rPr>
            <w:t xml:space="preserve"> „</w:t>
          </w:r>
          <w:hyperlink w:anchor="_Toc124404964" w:history="1">
            <w:r w:rsidRPr="002909FF">
              <w:rPr>
                <w:rFonts w:eastAsia="Times New Roman"/>
                <w:iCs/>
                <w:lang w:eastAsia="en-US"/>
              </w:rPr>
              <w:t>Sutarties projekt</w:t>
            </w:r>
            <w:r>
              <w:rPr>
                <w:rFonts w:eastAsia="Times New Roman"/>
                <w:iCs/>
                <w:lang w:eastAsia="en-US"/>
              </w:rPr>
              <w:t>o specialiosios sąlygos</w:t>
            </w:r>
            <w:r w:rsidRPr="002909FF">
              <w:rPr>
                <w:rStyle w:val="Hyperlink"/>
                <w:iCs/>
                <w:noProof/>
              </w:rPr>
              <w:t>“</w:t>
            </w:r>
          </w:hyperlink>
        </w:p>
        <w:p w14:paraId="41B08260" w14:textId="0A1FEBD4" w:rsidR="0040521D" w:rsidRDefault="0040521D" w:rsidP="002909FF">
          <w:pPr>
            <w:ind w:firstLine="0"/>
          </w:pPr>
          <w:hyperlink w:anchor="_Toc124404965" w:history="1">
            <w:r w:rsidRPr="00072F49">
              <w:rPr>
                <w:rStyle w:val="Hyperlink"/>
                <w:b/>
                <w:noProof/>
              </w:rPr>
              <w:t xml:space="preserve">Pirkimo sąlygų </w:t>
            </w:r>
            <w:r w:rsidR="00E72602">
              <w:rPr>
                <w:rStyle w:val="Hyperlink"/>
                <w:b/>
                <w:noProof/>
              </w:rPr>
              <w:t>8</w:t>
            </w:r>
            <w:r w:rsidRPr="00072F49">
              <w:rPr>
                <w:rStyle w:val="Hyperlink"/>
                <w:b/>
                <w:noProof/>
              </w:rPr>
              <w:t xml:space="preserve"> priedas</w:t>
            </w:r>
            <w:r w:rsidRPr="002909FF">
              <w:rPr>
                <w:rStyle w:val="Hyperlink"/>
                <w:bCs/>
                <w:noProof/>
              </w:rPr>
              <w:t xml:space="preserve"> </w:t>
            </w:r>
            <w:r w:rsidR="00FB5576" w:rsidRPr="002909FF">
              <w:rPr>
                <w:rStyle w:val="Hyperlink"/>
                <w:bCs/>
                <w:noProof/>
              </w:rPr>
              <w:t>„Terminai“</w:t>
            </w:r>
          </w:hyperlink>
        </w:p>
        <w:p w14:paraId="5C64323C" w14:textId="1192F232" w:rsidR="00933F32" w:rsidRDefault="00933F32" w:rsidP="00933F32">
          <w:pPr>
            <w:ind w:firstLine="0"/>
          </w:pPr>
          <w:hyperlink w:anchor="_Toc124404965" w:history="1">
            <w:r w:rsidRPr="00072F49">
              <w:rPr>
                <w:rStyle w:val="Hyperlink"/>
                <w:b/>
                <w:noProof/>
              </w:rPr>
              <w:t xml:space="preserve">Pirkimo sąlygų </w:t>
            </w:r>
            <w:r>
              <w:rPr>
                <w:rStyle w:val="Hyperlink"/>
                <w:b/>
                <w:noProof/>
              </w:rPr>
              <w:t>9</w:t>
            </w:r>
            <w:r w:rsidRPr="00072F49">
              <w:rPr>
                <w:rStyle w:val="Hyperlink"/>
                <w:b/>
                <w:noProof/>
              </w:rPr>
              <w:t xml:space="preserve"> priedas</w:t>
            </w:r>
            <w:r w:rsidRPr="002909FF">
              <w:rPr>
                <w:rStyle w:val="Hyperlink"/>
                <w:bCs/>
                <w:noProof/>
              </w:rPr>
              <w:t xml:space="preserve"> „</w:t>
            </w:r>
            <w:r w:rsidR="00CC2255">
              <w:rPr>
                <w:rStyle w:val="Hyperlink"/>
                <w:bCs/>
                <w:noProof/>
              </w:rPr>
              <w:t>Deklaracija dėl pašalinimo pagrindo nebuvimo</w:t>
            </w:r>
            <w:r w:rsidRPr="002909FF">
              <w:rPr>
                <w:rStyle w:val="Hyperlink"/>
                <w:bCs/>
                <w:noProof/>
              </w:rPr>
              <w:t>“</w:t>
            </w:r>
          </w:hyperlink>
        </w:p>
        <w:p w14:paraId="57AD38DF" w14:textId="77777777" w:rsidR="00933F32" w:rsidRDefault="00933F32" w:rsidP="002909FF">
          <w:pPr>
            <w:ind w:firstLine="0"/>
            <w:rPr>
              <w:rStyle w:val="Hyperlink"/>
              <w:b/>
              <w:noProof/>
            </w:rPr>
          </w:pPr>
        </w:p>
        <w:p w14:paraId="2B866DE0" w14:textId="05A6E5E2" w:rsidR="0040521D" w:rsidRDefault="0040521D" w:rsidP="002909FF">
          <w:pPr>
            <w:ind w:firstLine="0"/>
            <w:rPr>
              <w:rStyle w:val="Hyperlink"/>
              <w:b/>
              <w:noProof/>
            </w:rPr>
          </w:pPr>
        </w:p>
        <w:p w14:paraId="64BD2FCF" w14:textId="77777777" w:rsidR="00FB5576" w:rsidRDefault="00FB5576" w:rsidP="0040521D">
          <w:pPr>
            <w:ind w:left="142" w:hanging="220"/>
            <w:rPr>
              <w:rStyle w:val="Hyperlink"/>
              <w:b/>
              <w:noProof/>
            </w:rPr>
          </w:pPr>
        </w:p>
        <w:p w14:paraId="55A25548" w14:textId="77777777" w:rsidR="00FB5576" w:rsidRDefault="00FB5576" w:rsidP="0040521D">
          <w:pPr>
            <w:ind w:left="142" w:hanging="220"/>
            <w:rPr>
              <w:rStyle w:val="Hyperlink"/>
              <w:b/>
              <w:noProof/>
            </w:rPr>
          </w:pPr>
        </w:p>
        <w:p w14:paraId="7786E168" w14:textId="77777777" w:rsidR="00FB5576" w:rsidRDefault="00FB5576" w:rsidP="0040521D">
          <w:pPr>
            <w:ind w:left="142" w:hanging="220"/>
            <w:rPr>
              <w:rStyle w:val="Hyperlink"/>
              <w:b/>
              <w:noProof/>
            </w:rPr>
          </w:pPr>
        </w:p>
        <w:p w14:paraId="5F31EB69" w14:textId="77777777" w:rsidR="0040521D" w:rsidRPr="00072F49" w:rsidRDefault="0040521D" w:rsidP="0040521D">
          <w:pPr>
            <w:ind w:hanging="220"/>
            <w:rPr>
              <w:rStyle w:val="Hyperlink"/>
              <w:b/>
              <w:noProof/>
            </w:rPr>
          </w:pPr>
        </w:p>
        <w:p w14:paraId="5B72D0B5" w14:textId="77777777" w:rsidR="0040521D" w:rsidRDefault="0040521D" w:rsidP="0040521D">
          <w:pPr>
            <w:spacing w:after="120"/>
            <w:ind w:left="567" w:hanging="22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73CCB438" w14:textId="0AD264FE" w:rsidR="005F13F0" w:rsidRPr="00C17D3C" w:rsidRDefault="00000000" w:rsidP="00DC123E">
          <w:pPr>
            <w:spacing w:after="120"/>
            <w:ind w:firstLine="0"/>
            <w:contextualSpacing/>
            <w:rPr>
              <w:rFonts w:ascii="Arial" w:hAnsi="Arial" w:cs="Arial"/>
            </w:rPr>
          </w:pPr>
        </w:p>
      </w:sdtContent>
    </w:sdt>
    <w:p w14:paraId="12085CDF" w14:textId="16073931" w:rsidR="00746BAF" w:rsidRPr="004B24B4" w:rsidRDefault="00C31EC9" w:rsidP="009B4090">
      <w:pPr>
        <w:pStyle w:val="Heading1"/>
        <w:numPr>
          <w:ilvl w:val="0"/>
          <w:numId w:val="14"/>
        </w:numPr>
        <w:spacing w:before="720" w:after="0" w:line="300" w:lineRule="auto"/>
        <w:ind w:left="357" w:hanging="357"/>
        <w:rPr>
          <w:rFonts w:asciiTheme="minorHAnsi" w:hAnsiTheme="minorHAnsi" w:cstheme="minorHAnsi"/>
          <w:b/>
          <w:bCs/>
          <w:color w:val="auto"/>
          <w:sz w:val="28"/>
          <w:szCs w:val="28"/>
        </w:rPr>
      </w:pPr>
      <w:bookmarkStart w:id="0" w:name="_Toc147739116"/>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End w:id="1"/>
      <w:bookmarkEnd w:id="2"/>
      <w:bookmarkEnd w:id="3"/>
      <w:bookmarkEnd w:id="4"/>
      <w:bookmarkEnd w:id="5"/>
      <w:r w:rsidRPr="004B24B4">
        <w:rPr>
          <w:rFonts w:asciiTheme="minorHAnsi" w:hAnsiTheme="minorHAnsi" w:cstheme="minorHAnsi"/>
          <w:b/>
          <w:bCs/>
          <w:color w:val="auto"/>
          <w:sz w:val="28"/>
          <w:szCs w:val="28"/>
        </w:rPr>
        <w:t>Bendra informacij</w:t>
      </w:r>
      <w:r w:rsidR="00B076FD" w:rsidRPr="004B24B4">
        <w:rPr>
          <w:rFonts w:asciiTheme="minorHAnsi" w:hAnsiTheme="minorHAnsi" w:cstheme="minorHAnsi"/>
          <w:b/>
          <w:bCs/>
          <w:color w:val="auto"/>
          <w:sz w:val="28"/>
          <w:szCs w:val="28"/>
        </w:rPr>
        <w:t>a</w:t>
      </w:r>
      <w:bookmarkEnd w:id="6"/>
      <w:r w:rsidR="6B81CCAC" w:rsidRPr="004B24B4">
        <w:rPr>
          <w:rFonts w:asciiTheme="minorHAnsi" w:hAnsiTheme="minorHAnsi" w:cstheme="minorHAnsi"/>
          <w:b/>
          <w:bCs/>
          <w:color w:val="auto"/>
          <w:sz w:val="28"/>
          <w:szCs w:val="28"/>
        </w:rPr>
        <w:t xml:space="preserve"> </w:t>
      </w:r>
    </w:p>
    <w:p w14:paraId="3C2B83DD" w14:textId="76EAA926"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DE7829" w:rsidRPr="00AA3F24">
        <w:rPr>
          <w:rFonts w:eastAsia="Times New Roman" w:cstheme="minorHAnsi"/>
        </w:rPr>
        <w:t>viešoji įstaiga Kauno technologijos universitetas, juridinio asmens kodas 111950581, adresas K. Donelaičio g. 73, LT-44249 Kaunas. Perkančioji organizacija yra PVM mokėtoja.</w:t>
      </w:r>
    </w:p>
    <w:p w14:paraId="6669709E" w14:textId="4F0D5DA4" w:rsidR="00316D64" w:rsidRPr="00244994" w:rsidRDefault="00CA0CC5" w:rsidP="00F77A5D">
      <w:pPr>
        <w:pStyle w:val="ListParagraph"/>
        <w:numPr>
          <w:ilvl w:val="1"/>
          <w:numId w:val="39"/>
        </w:numPr>
        <w:spacing w:line="240" w:lineRule="auto"/>
        <w:ind w:left="0" w:firstLine="710"/>
        <w:rPr>
          <w:rFonts w:cstheme="minorHAnsi"/>
        </w:rPr>
      </w:pPr>
      <w:r w:rsidRPr="00244994">
        <w:rPr>
          <w:rFonts w:cstheme="minorHAnsi"/>
          <w:color w:val="000000" w:themeColor="text1"/>
        </w:rPr>
        <w:t xml:space="preserve">Pirkimas neatliekamas naudojantis centralizuotų pirkimų katalogu, nes </w:t>
      </w:r>
      <w:r w:rsidR="00245848">
        <w:rPr>
          <w:rFonts w:cstheme="minorHAnsi"/>
        </w:rPr>
        <w:t xml:space="preserve">CPO kataloge nėra siūlomų </w:t>
      </w:r>
      <w:r w:rsidR="00C210CE">
        <w:rPr>
          <w:rFonts w:cstheme="minorHAnsi"/>
        </w:rPr>
        <w:t>paslaugų</w:t>
      </w:r>
      <w:r w:rsidR="00245848">
        <w:rPr>
          <w:rFonts w:cstheme="minorHAnsi"/>
        </w:rPr>
        <w:t xml:space="preserve">, kurių techninė specifikacija atitiktų pirkimo objektą. </w:t>
      </w:r>
    </w:p>
    <w:p w14:paraId="52EA068B" w14:textId="38448E1B" w:rsidR="00C71C6F" w:rsidRPr="00244994" w:rsidRDefault="00503A5B" w:rsidP="00F77A5D">
      <w:pPr>
        <w:spacing w:line="240" w:lineRule="auto"/>
        <w:ind w:left="697" w:firstLine="0"/>
        <w:rPr>
          <w:rFonts w:cstheme="minorHAnsi"/>
        </w:rPr>
      </w:pPr>
      <w:r w:rsidRPr="00244994">
        <w:rPr>
          <w:rFonts w:cstheme="minorHAnsi"/>
        </w:rPr>
        <w:t>1.</w:t>
      </w:r>
      <w:r w:rsidR="00362DF0" w:rsidRPr="00244994">
        <w:rPr>
          <w:rFonts w:cstheme="minorHAnsi"/>
        </w:rPr>
        <w:t>4</w:t>
      </w:r>
      <w:r w:rsidRPr="00244994">
        <w:rPr>
          <w:rFonts w:cstheme="minorHAnsi"/>
        </w:rPr>
        <w:t xml:space="preserve">. </w:t>
      </w:r>
      <w:r w:rsidR="00091F01" w:rsidRPr="00244994">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E5182">
            <w:t>nėra</w:t>
          </w:r>
        </w:sdtContent>
      </w:sdt>
      <w:r w:rsidR="00A100C8" w:rsidRPr="00244994" w:rsidDel="00A100C8">
        <w:rPr>
          <w:rFonts w:cstheme="minorHAnsi"/>
        </w:rPr>
        <w:t xml:space="preserve"> </w:t>
      </w:r>
      <w:r w:rsidR="00091F01" w:rsidRPr="00244994">
        <w:rPr>
          <w:rFonts w:cstheme="minorHAnsi"/>
        </w:rPr>
        <w:t xml:space="preserve">sudaroma. </w:t>
      </w:r>
    </w:p>
    <w:p w14:paraId="16DB9CE8" w14:textId="175C952C" w:rsidR="001045C0" w:rsidRDefault="004F6423" w:rsidP="007A6EAB">
      <w:pPr>
        <w:pStyle w:val="ListParagraph"/>
        <w:spacing w:line="240" w:lineRule="auto"/>
        <w:ind w:left="0" w:firstLine="709"/>
        <w:rPr>
          <w:color w:val="00B050"/>
        </w:rPr>
      </w:pPr>
      <w:r w:rsidRPr="004F6423">
        <w:t>1.5.</w:t>
      </w:r>
      <w:r w:rsidRPr="004F6423">
        <w:rPr>
          <w:i/>
          <w:iCs/>
        </w:rPr>
        <w:t xml:space="preserve"> </w:t>
      </w:r>
      <w:r w:rsidR="00D459E3">
        <w:t xml:space="preserve">Atliekamas žaliasis pirkimas. Pirkimas vykdomas vadovaujantis </w:t>
      </w:r>
      <w:hyperlink r:id="rId12" w:history="1">
        <w:r w:rsidR="009B66AB" w:rsidRPr="000D1A95">
          <w:rPr>
            <w:rStyle w:val="Hyperlink"/>
            <w:rFonts w:cstheme="minorHAnsi"/>
            <w:sz w:val="20"/>
            <w:szCs w:val="20"/>
          </w:rPr>
          <w:t>Lietuvos Respublikos aplinkos ministro 2011 m. birželio 28 d. įsakymu Nr. D1-508 „Dėl aplinkos apsaugos kriterijų taikymo, vykdant žaliuosius pirkimus, tvarkos aprašo patvirtinimo“</w:t>
        </w:r>
      </w:hyperlink>
      <w:r w:rsidR="009B66AB">
        <w:rPr>
          <w:color w:val="00B050"/>
        </w:rPr>
        <w:t xml:space="preserve"> </w:t>
      </w:r>
      <w:r w:rsidR="002E4679" w:rsidRPr="000D1A95">
        <w:rPr>
          <w:rFonts w:cstheme="minorHAnsi"/>
          <w:sz w:val="20"/>
          <w:szCs w:val="20"/>
        </w:rPr>
        <w:t xml:space="preserve">4 punkto </w:t>
      </w:r>
      <w:r w:rsidR="000E5182" w:rsidRPr="003E32F8">
        <w:t>4.4</w:t>
      </w:r>
      <w:r w:rsidR="00A52658" w:rsidRPr="003E32F8">
        <w:t>.4.</w:t>
      </w:r>
      <w:r w:rsidR="00DF59E5">
        <w:t>1, 4.4.4.3</w:t>
      </w:r>
      <w:r w:rsidR="00D459E3" w:rsidRPr="003E32F8">
        <w:rPr>
          <w:i/>
        </w:rPr>
        <w:t xml:space="preserve"> </w:t>
      </w:r>
      <w:r w:rsidR="00D459E3" w:rsidRPr="003E32F8">
        <w:t xml:space="preserve"> </w:t>
      </w:r>
      <w:r w:rsidR="00D8621D">
        <w:t>papunkči</w:t>
      </w:r>
      <w:r w:rsidR="00DF59E5">
        <w:t xml:space="preserve">ais. </w:t>
      </w:r>
      <w:r w:rsidR="00D459E3">
        <w:t xml:space="preserve"> </w:t>
      </w:r>
      <w:r w:rsidR="00D459E3" w:rsidRPr="00957B06">
        <w:t>Aplinkos apaugos kriterijai nustatyti</w:t>
      </w:r>
      <w:r w:rsidR="003647F9" w:rsidRPr="00957B06">
        <w:t xml:space="preserve"> </w:t>
      </w:r>
      <w:r w:rsidR="00957B06" w:rsidRPr="00957B06">
        <w:t>Pirkimo sąlygų 4</w:t>
      </w:r>
      <w:r w:rsidR="003647F9" w:rsidRPr="00957B06">
        <w:t xml:space="preserve"> priede </w:t>
      </w:r>
      <w:r w:rsidR="006A7920" w:rsidRPr="00957B06">
        <w:t xml:space="preserve">„Techninė specifikacija“ ir </w:t>
      </w:r>
      <w:r w:rsidR="00957B06" w:rsidRPr="00957B06">
        <w:t>7</w:t>
      </w:r>
      <w:r w:rsidR="00305F0E">
        <w:t>.2</w:t>
      </w:r>
      <w:r w:rsidR="006A7920" w:rsidRPr="00957B06">
        <w:t xml:space="preserve"> priede „Sutarties </w:t>
      </w:r>
      <w:r w:rsidR="00305F0E">
        <w:t>projekto specialiosios sąlygos</w:t>
      </w:r>
      <w:r w:rsidR="006A7920" w:rsidRPr="00957B06">
        <w:t>“.</w:t>
      </w:r>
      <w:r w:rsidR="006A7920">
        <w:t xml:space="preserve"> </w:t>
      </w:r>
    </w:p>
    <w:p w14:paraId="15179C0E" w14:textId="793B0CB4" w:rsidR="00257685" w:rsidRPr="007A6EAB" w:rsidRDefault="003D3DF5" w:rsidP="007A6EAB">
      <w:pPr>
        <w:spacing w:line="240" w:lineRule="auto"/>
        <w:ind w:firstLine="567"/>
        <w:rPr>
          <w:rFonts w:cstheme="minorHAnsi"/>
        </w:rPr>
      </w:pPr>
      <w:r>
        <w:rPr>
          <w:rFonts w:eastAsia="Arial" w:cstheme="minorHAnsi"/>
        </w:rPr>
        <w:t>1.</w:t>
      </w:r>
      <w:r w:rsidR="00FF1C38">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740EC8" w:rsidRDefault="00244994" w:rsidP="002C41AA">
      <w:pPr>
        <w:pStyle w:val="Heading1"/>
        <w:numPr>
          <w:ilvl w:val="0"/>
          <w:numId w:val="21"/>
        </w:numPr>
        <w:spacing w:before="720" w:after="0" w:line="300" w:lineRule="auto"/>
        <w:rPr>
          <w:rFonts w:asciiTheme="minorHAnsi" w:hAnsiTheme="minorHAnsi" w:cstheme="minorHAnsi"/>
          <w:b/>
          <w:bCs/>
          <w:color w:val="auto"/>
          <w:sz w:val="28"/>
          <w:szCs w:val="28"/>
        </w:rPr>
      </w:pPr>
      <w:bookmarkStart w:id="10" w:name="_Toc137194948"/>
      <w:r w:rsidRPr="00740EC8">
        <w:rPr>
          <w:rFonts w:asciiTheme="minorHAnsi" w:hAnsiTheme="minorHAnsi" w:cstheme="minorHAnsi"/>
          <w:b/>
          <w:bCs/>
          <w:color w:val="auto"/>
          <w:sz w:val="28"/>
          <w:szCs w:val="28"/>
        </w:rPr>
        <w:t>Pirkimo objektas</w:t>
      </w:r>
      <w:bookmarkEnd w:id="10"/>
    </w:p>
    <w:p w14:paraId="7D847502" w14:textId="77777777" w:rsidR="00FB3C75" w:rsidRDefault="00FB3C75" w:rsidP="00E62E95">
      <w:pPr>
        <w:spacing w:line="240" w:lineRule="auto"/>
        <w:ind w:firstLine="0"/>
      </w:pPr>
    </w:p>
    <w:p w14:paraId="25A86974" w14:textId="6B1C8E58" w:rsidR="00C0212E" w:rsidRPr="00147A18" w:rsidRDefault="00651664" w:rsidP="00147A18">
      <w:pPr>
        <w:pStyle w:val="ListParagraph"/>
        <w:numPr>
          <w:ilvl w:val="1"/>
          <w:numId w:val="21"/>
        </w:numPr>
        <w:tabs>
          <w:tab w:val="left" w:pos="426"/>
        </w:tabs>
        <w:spacing w:line="240" w:lineRule="auto"/>
        <w:ind w:left="0" w:firstLine="709"/>
        <w:rPr>
          <w:rFonts w:cstheme="minorHAnsi"/>
        </w:rPr>
      </w:pPr>
      <w:r w:rsidRPr="00147A18">
        <w:rPr>
          <w:rFonts w:cstheme="minorHAnsi"/>
        </w:rPr>
        <w:t xml:space="preserve">Perkančioji organizacija </w:t>
      </w:r>
      <w:r w:rsidR="00FB3C75" w:rsidRPr="00147A18">
        <w:rPr>
          <w:rFonts w:cstheme="minorHAnsi"/>
        </w:rPr>
        <w:t>numato įsigyti</w:t>
      </w:r>
      <w:r w:rsidR="00DB5063" w:rsidRPr="00147A18">
        <w:rPr>
          <w:rFonts w:cstheme="minorHAnsi"/>
        </w:rPr>
        <w:t xml:space="preserve"> </w:t>
      </w:r>
      <w:r w:rsidR="00C0212E" w:rsidRPr="00147A18">
        <w:rPr>
          <w:rFonts w:cstheme="minorHAnsi"/>
        </w:rPr>
        <w:t>eksperimentinės taikomosios veiklos paslaug</w:t>
      </w:r>
      <w:r w:rsidR="003E77E9" w:rsidRPr="00147A18">
        <w:rPr>
          <w:rFonts w:cstheme="minorHAnsi"/>
        </w:rPr>
        <w:t>a</w:t>
      </w:r>
      <w:r w:rsidR="00C0212E" w:rsidRPr="00147A18">
        <w:rPr>
          <w:rFonts w:cstheme="minorHAnsi"/>
        </w:rPr>
        <w:t>s, apimanči</w:t>
      </w:r>
      <w:r w:rsidR="003E77E9" w:rsidRPr="00147A18">
        <w:rPr>
          <w:rFonts w:cstheme="minorHAnsi"/>
        </w:rPr>
        <w:t>a</w:t>
      </w:r>
      <w:r w:rsidR="00C0212E" w:rsidRPr="00147A18">
        <w:rPr>
          <w:rFonts w:cstheme="minorHAnsi"/>
        </w:rPr>
        <w:t xml:space="preserve">s polimerinių ir </w:t>
      </w:r>
      <w:proofErr w:type="spellStart"/>
      <w:r w:rsidR="00C0212E" w:rsidRPr="00147A18">
        <w:rPr>
          <w:rFonts w:cstheme="minorHAnsi"/>
        </w:rPr>
        <w:t>mikroplastiko</w:t>
      </w:r>
      <w:proofErr w:type="spellEnd"/>
      <w:r w:rsidR="00C0212E" w:rsidRPr="00147A18">
        <w:rPr>
          <w:rFonts w:cstheme="minorHAnsi"/>
        </w:rPr>
        <w:t xml:space="preserve"> mėginių tyrimus, atliekamus FT-IR mikroskopijos, </w:t>
      </w:r>
      <w:proofErr w:type="spellStart"/>
      <w:r w:rsidR="00C0212E" w:rsidRPr="00147A18">
        <w:rPr>
          <w:rFonts w:cstheme="minorHAnsi"/>
        </w:rPr>
        <w:t>Ramano</w:t>
      </w:r>
      <w:proofErr w:type="spellEnd"/>
      <w:r w:rsidR="00C0212E" w:rsidRPr="00147A18">
        <w:rPr>
          <w:rFonts w:cstheme="minorHAnsi"/>
        </w:rPr>
        <w:t xml:space="preserve"> spektroskopijos ir elektroninės skenuojančiosios mikroskopijos (SEM) metodais, įskaitant mėginių paruošimą, tyrimų atlikimą, rezultatų analizę ir pateikimą.</w:t>
      </w:r>
    </w:p>
    <w:p w14:paraId="0AEFEE07" w14:textId="39F823C5" w:rsidR="00FB3C75" w:rsidRPr="00244994" w:rsidRDefault="00FB3C75" w:rsidP="00F77A5D">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Reikalavimai </w:t>
      </w:r>
      <w:r w:rsidR="00966703">
        <w:rPr>
          <w:rFonts w:cstheme="minorHAnsi"/>
        </w:rPr>
        <w:t>p</w:t>
      </w:r>
      <w:r w:rsidRPr="00244994">
        <w:rPr>
          <w:rFonts w:cstheme="minorHAnsi"/>
        </w:rPr>
        <w:t>irkimo objektui nustatyti</w:t>
      </w:r>
      <w:r w:rsidR="00AE2AEF" w:rsidRPr="00244994">
        <w:rPr>
          <w:rFonts w:cstheme="minorHAnsi"/>
        </w:rPr>
        <w:t xml:space="preserve"> </w:t>
      </w:r>
      <w:r w:rsidR="00576683">
        <w:rPr>
          <w:rFonts w:cstheme="minorHAnsi"/>
        </w:rPr>
        <w:t>P</w:t>
      </w:r>
      <w:r w:rsidR="00AE2AEF" w:rsidRPr="00244994">
        <w:rPr>
          <w:rFonts w:cstheme="minorHAnsi"/>
        </w:rPr>
        <w:t xml:space="preserve">irkimo </w:t>
      </w:r>
      <w:r w:rsidR="00AE2AEF" w:rsidRPr="00576683">
        <w:rPr>
          <w:rFonts w:cstheme="minorHAnsi"/>
        </w:rPr>
        <w:t xml:space="preserve">sąlygų </w:t>
      </w:r>
      <w:r w:rsidR="00576683" w:rsidRPr="00576683">
        <w:rPr>
          <w:rFonts w:cstheme="minorHAnsi"/>
        </w:rPr>
        <w:t>4</w:t>
      </w:r>
      <w:r w:rsidR="00FB66BC" w:rsidRPr="00576683">
        <w:rPr>
          <w:rFonts w:cstheme="minorHAnsi"/>
        </w:rPr>
        <w:t xml:space="preserve"> </w:t>
      </w:r>
      <w:r w:rsidR="00AE2AEF" w:rsidRPr="00576683">
        <w:rPr>
          <w:rFonts w:cstheme="minorHAnsi"/>
        </w:rPr>
        <w:t>priede</w:t>
      </w:r>
      <w:r w:rsidR="00FB66BC" w:rsidRPr="00576683">
        <w:rPr>
          <w:rFonts w:cstheme="minorHAnsi"/>
        </w:rPr>
        <w:t xml:space="preserve"> „Techninė specifikacija“</w:t>
      </w:r>
      <w:r w:rsidR="00AE2AEF" w:rsidRPr="00576683">
        <w:rPr>
          <w:rFonts w:cstheme="minorHAnsi"/>
        </w:rPr>
        <w:t>.</w:t>
      </w:r>
      <w:r w:rsidR="00555B8A">
        <w:rPr>
          <w:rFonts w:cstheme="minorHAnsi"/>
        </w:rPr>
        <w:t xml:space="preserve"> Pirkimo objekto </w:t>
      </w:r>
      <w:r w:rsidR="000118B8">
        <w:rPr>
          <w:rFonts w:cstheme="minorHAnsi"/>
        </w:rPr>
        <w:t xml:space="preserve">pagrindinis kodas pagal Bendrąjį viešųjų pirkimų žodyną: </w:t>
      </w:r>
      <w:r w:rsidR="00AA04CE">
        <w:rPr>
          <w:rFonts w:cstheme="minorHAnsi"/>
        </w:rPr>
        <w:t>73120000-9</w:t>
      </w:r>
      <w:r w:rsidR="008A14CF">
        <w:rPr>
          <w:rFonts w:cstheme="minorHAnsi"/>
        </w:rPr>
        <w:t>, Eksperimentinės taikomosios veiklos paslaugos</w:t>
      </w:r>
      <w:r w:rsidR="00962EED">
        <w:rPr>
          <w:rFonts w:cstheme="minorHAnsi"/>
        </w:rPr>
        <w:t xml:space="preserve">. </w:t>
      </w:r>
    </w:p>
    <w:p w14:paraId="49117D58" w14:textId="31324409"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05226">
        <w:rPr>
          <w:rFonts w:cstheme="minorHAnsi"/>
        </w:rPr>
        <w:t>P</w:t>
      </w:r>
      <w:r w:rsidR="00702B7B" w:rsidRPr="00244994">
        <w:rPr>
          <w:rFonts w:cstheme="minorHAnsi"/>
        </w:rPr>
        <w:t xml:space="preserve">irkimo </w:t>
      </w:r>
      <w:r w:rsidR="00702B7B" w:rsidRPr="00763778">
        <w:rPr>
          <w:rFonts w:cstheme="minorHAnsi"/>
        </w:rPr>
        <w:t xml:space="preserve">sąlygų </w:t>
      </w:r>
      <w:r w:rsidR="00932B6B">
        <w:rPr>
          <w:rFonts w:cstheme="minorHAnsi"/>
        </w:rPr>
        <w:t>4</w:t>
      </w:r>
      <w:r w:rsidR="00702B7B" w:rsidRPr="00C05226">
        <w:rPr>
          <w:rFonts w:cstheme="minorHAnsi"/>
        </w:rPr>
        <w:t xml:space="preserve"> priede</w:t>
      </w:r>
      <w:r w:rsidR="00C05226">
        <w:rPr>
          <w:rFonts w:cstheme="minorHAnsi"/>
        </w:rPr>
        <w:t xml:space="preserve"> „Techninė specifikacija“</w:t>
      </w:r>
      <w:r w:rsidR="00702B7B" w:rsidRPr="00244994">
        <w:rPr>
          <w:rFonts w:cstheme="minorHAnsi"/>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49089A" w:rsidRDefault="00BF3638" w:rsidP="00E62E95">
      <w:pPr>
        <w:pStyle w:val="Heading1"/>
        <w:numPr>
          <w:ilvl w:val="0"/>
          <w:numId w:val="21"/>
        </w:numPr>
        <w:spacing w:before="720" w:after="0"/>
        <w:ind w:left="357" w:hanging="357"/>
        <w:rPr>
          <w:rFonts w:asciiTheme="minorHAnsi" w:hAnsiTheme="minorHAnsi" w:cstheme="minorHAnsi"/>
          <w:b/>
          <w:bCs/>
          <w:color w:val="auto"/>
          <w:sz w:val="28"/>
          <w:szCs w:val="28"/>
        </w:rPr>
      </w:pPr>
      <w:bookmarkStart w:id="11" w:name="_Toc137194949"/>
      <w:r w:rsidRPr="0049089A">
        <w:rPr>
          <w:rFonts w:asciiTheme="minorHAnsi" w:hAnsiTheme="minorHAnsi" w:cstheme="minorHAnsi"/>
          <w:b/>
          <w:bCs/>
          <w:color w:val="auto"/>
          <w:sz w:val="28"/>
          <w:szCs w:val="28"/>
        </w:rPr>
        <w:t>Tiekėjų pašalinimo pagrindai</w:t>
      </w:r>
      <w:r w:rsidR="00E201D8" w:rsidRPr="0049089A">
        <w:rPr>
          <w:rFonts w:asciiTheme="minorHAnsi" w:hAnsiTheme="minorHAnsi" w:cstheme="minorHAnsi"/>
          <w:b/>
          <w:bCs/>
          <w:color w:val="auto"/>
          <w:sz w:val="28"/>
          <w:szCs w:val="28"/>
        </w:rPr>
        <w:t>, kvalifikacijos reikalavimai ir reikalaujami kokybės vadybos sistemos ir (ar</w:t>
      </w:r>
      <w:r w:rsidR="00817AB9" w:rsidRPr="0049089A">
        <w:rPr>
          <w:rFonts w:asciiTheme="minorHAnsi" w:hAnsiTheme="minorHAnsi" w:cstheme="minorHAnsi"/>
          <w:b/>
          <w:bCs/>
          <w:color w:val="auto"/>
          <w:sz w:val="28"/>
          <w:szCs w:val="28"/>
        </w:rPr>
        <w:t>ba</w:t>
      </w:r>
      <w:r w:rsidR="00E201D8" w:rsidRPr="0049089A">
        <w:rPr>
          <w:rFonts w:asciiTheme="minorHAnsi" w:hAnsiTheme="minorHAnsi" w:cstheme="minorHAnsi"/>
          <w:b/>
          <w:bCs/>
          <w:color w:val="auto"/>
          <w:sz w:val="28"/>
          <w:szCs w:val="28"/>
        </w:rPr>
        <w:t xml:space="preserve">) </w:t>
      </w:r>
      <w:r w:rsidR="00817AB9" w:rsidRPr="0049089A">
        <w:rPr>
          <w:rFonts w:asciiTheme="minorHAnsi" w:hAnsiTheme="minorHAnsi" w:cstheme="minorHAnsi"/>
          <w:b/>
          <w:bCs/>
          <w:color w:val="auto"/>
          <w:sz w:val="28"/>
          <w:szCs w:val="28"/>
        </w:rPr>
        <w:t>aplinkos apsaugos vadybos sistemos standartai</w:t>
      </w:r>
      <w:bookmarkEnd w:id="11"/>
      <w:r w:rsidR="00817AB9" w:rsidRPr="0049089A">
        <w:rPr>
          <w:rFonts w:asciiTheme="minorHAnsi" w:hAnsiTheme="minorHAnsi" w:cstheme="minorHAnsi"/>
          <w:b/>
          <w:bCs/>
          <w:color w:val="auto"/>
          <w:sz w:val="28"/>
          <w:szCs w:val="28"/>
        </w:rPr>
        <w:t xml:space="preserve"> </w:t>
      </w:r>
    </w:p>
    <w:p w14:paraId="0ED6AD78" w14:textId="723DA34A" w:rsidR="00FB3C75" w:rsidRDefault="00FB3C75" w:rsidP="00E62E95">
      <w:pPr>
        <w:spacing w:line="240" w:lineRule="auto"/>
        <w:ind w:firstLine="0"/>
      </w:pPr>
    </w:p>
    <w:p w14:paraId="603A5358" w14:textId="75A0D1ED" w:rsidR="00AA5F07" w:rsidRPr="00364DE0" w:rsidRDefault="005D280D" w:rsidP="00913C71">
      <w:pPr>
        <w:pStyle w:val="ListParagraph"/>
        <w:numPr>
          <w:ilvl w:val="1"/>
          <w:numId w:val="21"/>
        </w:numPr>
        <w:spacing w:line="240" w:lineRule="auto"/>
        <w:ind w:left="0" w:firstLine="709"/>
        <w:rPr>
          <w:rFonts w:cstheme="minorHAnsi"/>
          <w:i/>
          <w:iCs/>
        </w:rPr>
      </w:pPr>
      <w:r w:rsidRPr="00D94CD0">
        <w:rPr>
          <w:rFonts w:cstheme="minorHAnsi"/>
        </w:rPr>
        <w:t>Reikalavimai dėl tiekėjo ir</w:t>
      </w:r>
      <w:r w:rsidR="00F17EDA" w:rsidRPr="00D94CD0">
        <w:rPr>
          <w:rFonts w:cstheme="minorHAnsi"/>
        </w:rPr>
        <w:t xml:space="preserve"> </w:t>
      </w:r>
      <w:r w:rsidRPr="00D94CD0">
        <w:rPr>
          <w:rFonts w:cstheme="minorHAnsi"/>
        </w:rPr>
        <w:t>subtiekėjų</w:t>
      </w:r>
      <w:r w:rsidR="00DF6485" w:rsidRPr="00D94CD0">
        <w:rPr>
          <w:rFonts w:cstheme="minorHAnsi"/>
        </w:rPr>
        <w:t xml:space="preserve"> (jeigu taikoma)</w:t>
      </w:r>
      <w:r w:rsidR="00A857C4" w:rsidRPr="00D94CD0">
        <w:rPr>
          <w:rFonts w:cstheme="minorHAnsi"/>
        </w:rPr>
        <w:t xml:space="preserve">, ūkio subjektų, kurių pajėgumais </w:t>
      </w:r>
      <w:r w:rsidR="00CF1B69" w:rsidRPr="00D94CD0">
        <w:rPr>
          <w:rFonts w:cstheme="minorHAnsi"/>
        </w:rPr>
        <w:t>tiekėjas remiasi,</w:t>
      </w:r>
      <w:r w:rsidR="00FB4B5E" w:rsidRPr="00D94CD0">
        <w:rPr>
          <w:rFonts w:cstheme="minorHAnsi"/>
        </w:rPr>
        <w:t xml:space="preserve"> </w:t>
      </w:r>
      <w:r w:rsidRPr="00D94CD0">
        <w:rPr>
          <w:rFonts w:cstheme="minorHAnsi"/>
        </w:rPr>
        <w:t>pašalinimo pagrindų nebuvimo</w:t>
      </w:r>
      <w:r w:rsidR="004A415C" w:rsidRPr="00D94CD0">
        <w:rPr>
          <w:rFonts w:cstheme="minorHAnsi"/>
        </w:rPr>
        <w:t xml:space="preserve"> </w:t>
      </w:r>
      <w:r w:rsidRPr="00D94CD0">
        <w:rPr>
          <w:rFonts w:cstheme="minorHAnsi"/>
        </w:rPr>
        <w:t xml:space="preserve">bei jų nebuvimą patvirtinantys dokumentai nurodyti </w:t>
      </w:r>
      <w:r w:rsidR="00D94CD0" w:rsidRPr="00D94CD0">
        <w:rPr>
          <w:rFonts w:cstheme="minorHAnsi"/>
        </w:rPr>
        <w:t>P</w:t>
      </w:r>
      <w:r w:rsidRPr="00D94CD0">
        <w:rPr>
          <w:rFonts w:cstheme="minorHAnsi"/>
        </w:rPr>
        <w:t xml:space="preserve">irkimo sąlygų </w:t>
      </w:r>
      <w:r w:rsidR="00D94CD0" w:rsidRPr="00D94CD0">
        <w:rPr>
          <w:rFonts w:cstheme="minorHAnsi"/>
        </w:rPr>
        <w:t xml:space="preserve">1 </w:t>
      </w:r>
      <w:r w:rsidRPr="00D94CD0">
        <w:rPr>
          <w:rFonts w:cstheme="minorHAnsi"/>
        </w:rPr>
        <w:t xml:space="preserve">priede. </w:t>
      </w:r>
    </w:p>
    <w:p w14:paraId="6A17A4B3" w14:textId="2BB9DA6D" w:rsidR="00364DE0" w:rsidRPr="001B014D" w:rsidRDefault="001B014D" w:rsidP="00913C71">
      <w:pPr>
        <w:pStyle w:val="ListParagraph"/>
        <w:numPr>
          <w:ilvl w:val="1"/>
          <w:numId w:val="21"/>
        </w:numPr>
        <w:spacing w:line="240" w:lineRule="auto"/>
        <w:ind w:left="0" w:firstLine="709"/>
        <w:rPr>
          <w:rFonts w:cstheme="minorHAnsi"/>
        </w:rPr>
      </w:pPr>
      <w:r w:rsidRPr="009C00DC">
        <w:rPr>
          <w:rFonts w:cstheme="minorHAnsi"/>
        </w:rPr>
        <w:t xml:space="preserve">Tiekėjams </w:t>
      </w:r>
      <w:r>
        <w:rPr>
          <w:rFonts w:cstheme="minorHAnsi"/>
        </w:rPr>
        <w:t>ne</w:t>
      </w:r>
      <w:r w:rsidRPr="009C00DC">
        <w:rPr>
          <w:rFonts w:cstheme="minorHAnsi"/>
        </w:rPr>
        <w:t>nustatomi kvalifikacijos reikalavimai ir (arba) reikalavimai dėl kokybės vadybos sistemos ir (arba) aplinkos apsaugos vadybos sistemos standartų laikymosi</w:t>
      </w:r>
      <w:r w:rsidR="00DB5063">
        <w:rPr>
          <w:rFonts w:cstheme="minorHAnsi"/>
        </w:rPr>
        <w:t>.</w:t>
      </w:r>
    </w:p>
    <w:p w14:paraId="1CD2431E" w14:textId="49658434" w:rsidR="00A521FB" w:rsidRPr="00A521FB" w:rsidRDefault="0008617B" w:rsidP="00FF4CEF">
      <w:pPr>
        <w:pStyle w:val="ListParagraph"/>
        <w:numPr>
          <w:ilvl w:val="1"/>
          <w:numId w:val="21"/>
        </w:numPr>
        <w:spacing w:line="240" w:lineRule="auto"/>
        <w:ind w:firstLine="65"/>
        <w:rPr>
          <w:rFonts w:eastAsia="Arial" w:cstheme="minorHAnsi"/>
        </w:rPr>
      </w:pPr>
      <w:r w:rsidRPr="00A521FB">
        <w:rPr>
          <w:rFonts w:eastAsia="Arial" w:cstheme="minorHAnsi"/>
        </w:rPr>
        <w:t xml:space="preserve">Tiekėjas teikdamas pasiūlymą </w:t>
      </w:r>
      <w:r w:rsidR="002C50AE" w:rsidRPr="00A521FB">
        <w:rPr>
          <w:rFonts w:eastAsia="Arial" w:cstheme="minorHAnsi"/>
        </w:rPr>
        <w:t xml:space="preserve">neturi </w:t>
      </w:r>
      <w:r w:rsidRPr="00A521FB">
        <w:rPr>
          <w:rFonts w:eastAsia="Arial" w:cstheme="minorHAnsi"/>
        </w:rPr>
        <w:t xml:space="preserve">pateikti </w:t>
      </w:r>
      <w:r w:rsidR="002C50AE" w:rsidRPr="00A521FB">
        <w:rPr>
          <w:rFonts w:eastAsia="Arial" w:cstheme="minorHAnsi"/>
        </w:rPr>
        <w:t>EBVPD</w:t>
      </w:r>
      <w:r w:rsidR="00A521FB" w:rsidRPr="00A521FB">
        <w:rPr>
          <w:rFonts w:eastAsia="Arial" w:cstheme="minorHAnsi"/>
        </w:rPr>
        <w:t xml:space="preserve">. </w:t>
      </w:r>
    </w:p>
    <w:p w14:paraId="52D80500" w14:textId="1D828BD7" w:rsidR="00894FEF" w:rsidRPr="00A521FB" w:rsidRDefault="00A521FB" w:rsidP="008F5D1D">
      <w:pPr>
        <w:pStyle w:val="ListParagraph"/>
        <w:numPr>
          <w:ilvl w:val="1"/>
          <w:numId w:val="21"/>
        </w:numPr>
        <w:spacing w:line="240" w:lineRule="auto"/>
        <w:ind w:left="0" w:firstLine="709"/>
        <w:rPr>
          <w:rFonts w:ascii="Arial" w:eastAsia="Arial" w:hAnsi="Arial" w:cs="Arial"/>
        </w:rPr>
      </w:pPr>
      <w:r>
        <w:rPr>
          <w:rFonts w:eastAsia="Arial" w:cstheme="minorHAnsi"/>
        </w:rPr>
        <w:t>Tiekėjas</w:t>
      </w:r>
      <w:r w:rsidR="002C50AE" w:rsidRPr="00A521FB">
        <w:rPr>
          <w:rFonts w:eastAsia="Arial" w:cstheme="minorHAnsi"/>
        </w:rPr>
        <w:t xml:space="preserve"> </w:t>
      </w:r>
      <w:r w:rsidR="00883210">
        <w:rPr>
          <w:rFonts w:eastAsia="Arial" w:cstheme="minorHAnsi"/>
        </w:rPr>
        <w:t xml:space="preserve">teikdamas pasiūlymą turi pateikti </w:t>
      </w:r>
      <w:r w:rsidR="0008617B" w:rsidRPr="00A521FB">
        <w:rPr>
          <w:rFonts w:eastAsia="Arial" w:cstheme="minorHAnsi"/>
        </w:rPr>
        <w:t>laisvos formos deklaracij</w:t>
      </w:r>
      <w:r w:rsidR="002F4D24">
        <w:rPr>
          <w:rFonts w:eastAsia="Arial" w:cstheme="minorHAnsi"/>
        </w:rPr>
        <w:t>ą dėl atitikties reikalavimams</w:t>
      </w:r>
      <w:r w:rsidR="0040187B">
        <w:rPr>
          <w:rFonts w:eastAsia="Arial" w:cstheme="minorHAnsi"/>
        </w:rPr>
        <w:t xml:space="preserve"> (Pirkimo sąlygų 9 priedas „Deklaracija dėl pašalinimo pagrindo nebuvimo“)</w:t>
      </w:r>
      <w:r w:rsidR="002F4D24">
        <w:rPr>
          <w:rFonts w:eastAsia="Arial" w:cstheme="minorHAnsi"/>
        </w:rPr>
        <w:t>. Pažymų, patvirtinančių</w:t>
      </w:r>
      <w:r w:rsidR="00B0046C">
        <w:rPr>
          <w:rFonts w:eastAsia="Arial" w:cstheme="minorHAnsi"/>
        </w:rPr>
        <w:t xml:space="preserve"> tiekėjo pašalinimo pagrindų nebuvimą, nereikalaujama, išskyrus atvejus, kai kyla pagrįstų abejonių dėl tiekėjo patikimumo. </w:t>
      </w:r>
      <w:r w:rsidR="0008617B" w:rsidRPr="00A521FB">
        <w:rPr>
          <w:rFonts w:eastAsia="Arial" w:cstheme="minorHAnsi"/>
        </w:rPr>
        <w:t xml:space="preserve"> </w:t>
      </w:r>
    </w:p>
    <w:p w14:paraId="69360CD7" w14:textId="6915587E" w:rsidR="00894FEF" w:rsidRPr="0083215E" w:rsidRDefault="00817AB9" w:rsidP="00894FEF">
      <w:pPr>
        <w:pStyle w:val="Heading1"/>
        <w:numPr>
          <w:ilvl w:val="0"/>
          <w:numId w:val="21"/>
        </w:numPr>
        <w:spacing w:before="720" w:after="0" w:line="300" w:lineRule="auto"/>
        <w:ind w:left="357" w:hanging="357"/>
        <w:rPr>
          <w:rFonts w:asciiTheme="minorHAnsi" w:hAnsiTheme="minorHAnsi" w:cstheme="minorHAnsi"/>
          <w:b/>
          <w:bCs/>
          <w:color w:val="auto"/>
          <w:sz w:val="28"/>
          <w:szCs w:val="28"/>
        </w:rPr>
      </w:pPr>
      <w:bookmarkStart w:id="12" w:name="_Toc137194950"/>
      <w:r w:rsidRPr="0083215E">
        <w:rPr>
          <w:rFonts w:asciiTheme="minorHAnsi" w:hAnsiTheme="minorHAnsi" w:cstheme="minorHAnsi"/>
          <w:b/>
          <w:bCs/>
          <w:color w:val="auto"/>
          <w:sz w:val="28"/>
          <w:szCs w:val="28"/>
        </w:rPr>
        <w:lastRenderedPageBreak/>
        <w:t>Reikalavima</w:t>
      </w:r>
      <w:r w:rsidR="00202139" w:rsidRPr="0083215E">
        <w:rPr>
          <w:rFonts w:asciiTheme="minorHAnsi" w:hAnsiTheme="minorHAnsi" w:cstheme="minorHAnsi"/>
          <w:b/>
          <w:bCs/>
          <w:color w:val="auto"/>
          <w:sz w:val="28"/>
          <w:szCs w:val="28"/>
        </w:rPr>
        <w:t xml:space="preserve">i, </w:t>
      </w:r>
      <w:r w:rsidRPr="0083215E">
        <w:rPr>
          <w:rFonts w:asciiTheme="minorHAnsi" w:hAnsiTheme="minorHAnsi" w:cstheme="minorHAnsi"/>
          <w:b/>
          <w:bCs/>
          <w:color w:val="auto"/>
          <w:sz w:val="28"/>
          <w:szCs w:val="28"/>
        </w:rPr>
        <w:t>susiję su nacionaliniu saugumu</w:t>
      </w:r>
      <w:bookmarkEnd w:id="12"/>
      <w:r w:rsidRPr="0083215E">
        <w:rPr>
          <w:rFonts w:asciiTheme="minorHAnsi" w:hAnsiTheme="minorHAnsi" w:cstheme="minorHAnsi"/>
          <w:b/>
          <w:bCs/>
          <w:color w:val="auto"/>
          <w:sz w:val="28"/>
          <w:szCs w:val="28"/>
        </w:rPr>
        <w:t xml:space="preserve"> </w:t>
      </w:r>
    </w:p>
    <w:p w14:paraId="0A3E7F23" w14:textId="2800E67D" w:rsidR="00894FEF" w:rsidRDefault="00894FEF" w:rsidP="009F7690">
      <w:pPr>
        <w:pStyle w:val="ListParagraph"/>
        <w:spacing w:line="20" w:lineRule="atLeast"/>
        <w:ind w:left="697" w:firstLine="0"/>
      </w:pPr>
    </w:p>
    <w:p w14:paraId="4106EDBF" w14:textId="41DB9812" w:rsidR="00BF57BE" w:rsidRPr="00BF57BE" w:rsidRDefault="0008378B" w:rsidP="00BF57BE">
      <w:pPr>
        <w:pStyle w:val="ListParagraph"/>
        <w:numPr>
          <w:ilvl w:val="1"/>
          <w:numId w:val="21"/>
        </w:numPr>
        <w:spacing w:line="240" w:lineRule="auto"/>
        <w:rPr>
          <w:rFonts w:cstheme="minorHAnsi"/>
          <w:iCs/>
        </w:rPr>
      </w:pPr>
      <w:r w:rsidRPr="00BF57BE">
        <w:rPr>
          <w:rFonts w:cstheme="minorHAnsi"/>
          <w:iCs/>
        </w:rPr>
        <w:t>P</w:t>
      </w:r>
      <w:r w:rsidR="00BF57BE" w:rsidRPr="00BF57BE">
        <w:rPr>
          <w:rFonts w:cstheme="minorHAnsi"/>
          <w:iCs/>
        </w:rPr>
        <w:t xml:space="preserve">irkimui netaikomos reglamento nuostatos. </w:t>
      </w:r>
    </w:p>
    <w:p w14:paraId="7D2E887E" w14:textId="7AB0F493" w:rsidR="00071698" w:rsidRPr="00FF1F11" w:rsidRDefault="00071698" w:rsidP="00071698">
      <w:pPr>
        <w:pStyle w:val="ListParagraph"/>
        <w:numPr>
          <w:ilvl w:val="1"/>
          <w:numId w:val="21"/>
        </w:numPr>
        <w:spacing w:line="240" w:lineRule="auto"/>
        <w:rPr>
          <w:rFonts w:cstheme="minorHAnsi"/>
        </w:rPr>
      </w:pPr>
      <w:r>
        <w:rPr>
          <w:rFonts w:cstheme="minorHAnsi"/>
          <w:iCs/>
        </w:rPr>
        <w:t xml:space="preserve">Perkančioji organizacija netaiko kitokių nuostatų, susijusių su nacionaliniu saugumu. </w:t>
      </w:r>
    </w:p>
    <w:p w14:paraId="4D65303B" w14:textId="7E454AE5" w:rsidR="00FF1F11" w:rsidRPr="00F8218F" w:rsidRDefault="00FF1F11" w:rsidP="00FF1F11">
      <w:pPr>
        <w:pStyle w:val="ListParagraph"/>
        <w:numPr>
          <w:ilvl w:val="1"/>
          <w:numId w:val="21"/>
        </w:numPr>
        <w:spacing w:line="240" w:lineRule="auto"/>
        <w:ind w:left="0" w:firstLine="284"/>
        <w:rPr>
          <w:rFonts w:cstheme="minorHAnsi"/>
        </w:rPr>
      </w:pPr>
      <w:r w:rsidRPr="006006DD">
        <w:rPr>
          <w:color w:val="000000" w:themeColor="text1"/>
        </w:rPr>
        <w:t>Pirkimas vykdomas vadovaujantis LR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w:t>
      </w:r>
      <w:proofErr w:type="spellStart"/>
      <w:r w:rsidRPr="006006DD">
        <w:rPr>
          <w:color w:val="000000" w:themeColor="text1"/>
        </w:rPr>
        <w:t>us</w:t>
      </w:r>
      <w:proofErr w:type="spellEnd"/>
      <w:r w:rsidRPr="006006DD">
        <w:rPr>
          <w:color w:val="000000" w:themeColor="text1"/>
        </w:rPr>
        <w:t>), kai savininkas (-ai) yra užsienietis (fizinis asmuo) ar užsienyje registruotas juridinis asmuo, numato šį reikalavimą: jeigu pagal numatomą pasirašyti prekių, paslaugų ar darbų pirkimo sutartį lėšų gavėjo tikrasis (-</w:t>
      </w:r>
      <w:proofErr w:type="spellStart"/>
      <w:r w:rsidRPr="006006DD">
        <w:rPr>
          <w:color w:val="000000" w:themeColor="text1"/>
        </w:rPr>
        <w:t>ieji</w:t>
      </w:r>
      <w:proofErr w:type="spellEnd"/>
      <w:r w:rsidRPr="006006DD">
        <w:rPr>
          <w:color w:val="000000" w:themeColor="text1"/>
        </w:rPr>
        <w:t>) savininkas (-ai) yra užsienietis (fizinis asmuo) ar užsienyje registruotas juridinis asmuo arba paslaugų teikėjas, prekių tiekėjas, rangovas ir (ar) paslaugų subteikėjas, prekių subtiekėjas, subrangovas yra užsienietis (fizinis asmuo), tiekėjas perkančiajai organizacijai turi pateikti lėšų gavėjo tikrojo (-</w:t>
      </w:r>
      <w:proofErr w:type="spellStart"/>
      <w:r w:rsidRPr="006006DD">
        <w:rPr>
          <w:color w:val="000000" w:themeColor="text1"/>
        </w:rPr>
        <w:t>ųjų</w:t>
      </w:r>
      <w:proofErr w:type="spellEnd"/>
      <w:r w:rsidRPr="006006DD">
        <w:rPr>
          <w:color w:val="000000" w:themeColor="text1"/>
        </w:rPr>
        <w:t>) savininko (-ų) (turinčio (-</w:t>
      </w:r>
      <w:proofErr w:type="spellStart"/>
      <w:r w:rsidRPr="006006DD">
        <w:rPr>
          <w:color w:val="000000" w:themeColor="text1"/>
        </w:rPr>
        <w:t>ių</w:t>
      </w:r>
      <w:proofErr w:type="spellEnd"/>
      <w:r w:rsidRPr="006006DD">
        <w:rPr>
          <w:color w:val="000000" w:themeColor="text1"/>
        </w:rPr>
        <w:t xml:space="preserve">) daugiau nei 25 proc. akcijų arba 50 ar daugiau procentų visų įmonės dalyvių balsų) arba paslaugų teikėjo, prekių tiekėjo, rangovo ir (ar) paslaugų subteikėjo, prekių subtiekėjo, subrangovo vardą, pavardę ir gimimo datą, kaip nustatyta Reglamento (ES) 2021/241 22 straipsnio 2 dalies d punkto iii papunktyje. </w:t>
      </w:r>
      <w:r>
        <w:rPr>
          <w:color w:val="000000" w:themeColor="text1"/>
        </w:rPr>
        <w:t>Laimėjusiu nustatytas tiekėjas šiuos duomenis privalo pateikti iki pirkimo sutarties sudarymo. Tiekėjui nepateikus šių duomenų, Perkančioji organizacija laikys, kad tiekėjas atsisako sudaryti sutartį.</w:t>
      </w:r>
    </w:p>
    <w:p w14:paraId="490591E3" w14:textId="4440F86E" w:rsidR="006D3202" w:rsidRPr="0083215E" w:rsidRDefault="003630A0" w:rsidP="00961DB7">
      <w:pPr>
        <w:pStyle w:val="Heading1"/>
        <w:numPr>
          <w:ilvl w:val="0"/>
          <w:numId w:val="21"/>
        </w:numPr>
        <w:spacing w:before="720" w:after="0" w:line="300" w:lineRule="auto"/>
        <w:rPr>
          <w:rFonts w:asciiTheme="minorHAnsi" w:hAnsiTheme="minorHAnsi" w:cstheme="minorHAnsi"/>
          <w:b/>
          <w:bCs/>
          <w:color w:val="auto"/>
          <w:sz w:val="28"/>
          <w:szCs w:val="28"/>
        </w:rPr>
      </w:pPr>
      <w:bookmarkStart w:id="13" w:name="_Toc137194951"/>
      <w:r w:rsidRPr="0083215E">
        <w:rPr>
          <w:rFonts w:asciiTheme="minorHAnsi" w:hAnsiTheme="minorHAnsi" w:cstheme="minorHAnsi"/>
          <w:b/>
          <w:bCs/>
          <w:color w:val="auto"/>
          <w:sz w:val="28"/>
          <w:szCs w:val="28"/>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1BC5DC02" w14:textId="1095FB7E" w:rsidR="00EF3342" w:rsidRDefault="00D41416" w:rsidP="00EF3342">
      <w:pPr>
        <w:pStyle w:val="ListParagraph"/>
        <w:spacing w:line="240" w:lineRule="auto"/>
        <w:ind w:left="644" w:firstLine="0"/>
        <w:rPr>
          <w:rFonts w:cstheme="minorHAnsi"/>
          <w:b/>
          <w:bCs/>
        </w:rPr>
      </w:pPr>
      <w:r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w:t>
      </w:r>
      <w:r w:rsidR="00EF3342">
        <w:rPr>
          <w:rFonts w:cstheme="minorHAnsi"/>
          <w:b/>
          <w:bCs/>
        </w:rPr>
        <w:t>i šie dokumentai:</w:t>
      </w:r>
    </w:p>
    <w:p w14:paraId="42752441" w14:textId="5BF804FF" w:rsidR="008B12C0" w:rsidRDefault="0084692E" w:rsidP="00896760">
      <w:pPr>
        <w:pStyle w:val="ListParagraph"/>
        <w:spacing w:line="240" w:lineRule="auto"/>
        <w:ind w:left="644" w:firstLine="65"/>
        <w:rPr>
          <w:rFonts w:cstheme="minorHAnsi"/>
        </w:rPr>
      </w:pPr>
      <w:r>
        <w:rPr>
          <w:rFonts w:cstheme="minorHAnsi"/>
        </w:rPr>
        <w:t>5.1.</w:t>
      </w:r>
      <w:r w:rsidR="00896760">
        <w:rPr>
          <w:rFonts w:cstheme="minorHAnsi"/>
        </w:rPr>
        <w:t xml:space="preserve"> </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3163B9">
        <w:rPr>
          <w:rFonts w:cstheme="minorHAnsi"/>
        </w:rPr>
        <w:fldChar w:fldCharType="begin"/>
      </w:r>
      <w:r w:rsidR="005A5204" w:rsidRPr="003163B9">
        <w:rPr>
          <w:rFonts w:cstheme="minorHAnsi"/>
        </w:rPr>
        <w:instrText xml:space="preserve"> REF _Ref38540913 \h  \* MERGEFORMAT </w:instrText>
      </w:r>
      <w:r w:rsidR="005A5204" w:rsidRPr="003163B9">
        <w:rPr>
          <w:rFonts w:cstheme="minorHAnsi"/>
        </w:rPr>
      </w:r>
      <w:r w:rsidR="005A5204" w:rsidRPr="003163B9">
        <w:rPr>
          <w:rFonts w:cstheme="minorHAnsi"/>
        </w:rPr>
        <w:fldChar w:fldCharType="separate"/>
      </w:r>
      <w:r w:rsidR="00D85943" w:rsidRPr="003163B9">
        <w:rPr>
          <w:rFonts w:cstheme="minorHAnsi"/>
        </w:rPr>
        <w:t>p</w:t>
      </w:r>
      <w:r w:rsidR="005A5204" w:rsidRPr="003163B9">
        <w:rPr>
          <w:rFonts w:cstheme="minorHAnsi"/>
        </w:rPr>
        <w:t xml:space="preserve">irkimo sąlygų </w:t>
      </w:r>
      <w:r w:rsidR="003163B9" w:rsidRPr="003163B9">
        <w:rPr>
          <w:rFonts w:cstheme="minorHAnsi"/>
          <w:shd w:val="clear" w:color="auto" w:fill="FFFFFF"/>
        </w:rPr>
        <w:t>5</w:t>
      </w:r>
      <w:r w:rsidR="00D85943" w:rsidRPr="003163B9">
        <w:rPr>
          <w:rFonts w:cstheme="minorHAnsi"/>
          <w:shd w:val="clear" w:color="auto" w:fill="FFFFFF"/>
        </w:rPr>
        <w:t xml:space="preserve"> </w:t>
      </w:r>
      <w:r w:rsidR="005A5204" w:rsidRPr="003163B9">
        <w:rPr>
          <w:rFonts w:cstheme="minorHAnsi"/>
        </w:rPr>
        <w:fldChar w:fldCharType="end"/>
      </w:r>
      <w:r w:rsidR="008339CC" w:rsidRPr="003163B9">
        <w:rPr>
          <w:rFonts w:cstheme="minorHAnsi"/>
        </w:rPr>
        <w:t xml:space="preserve">priede </w:t>
      </w:r>
      <w:r w:rsidR="005A5204" w:rsidRPr="003163B9">
        <w:rPr>
          <w:rFonts w:cstheme="minorHAnsi"/>
        </w:rPr>
        <w:t>pateiktą pasiūlymo formą</w:t>
      </w:r>
      <w:r w:rsidR="00024B0F">
        <w:rPr>
          <w:rFonts w:cstheme="minorHAnsi"/>
        </w:rPr>
        <w:t>;</w:t>
      </w:r>
      <w:r w:rsidR="0099761D">
        <w:rPr>
          <w:rFonts w:cstheme="minorHAnsi"/>
        </w:rPr>
        <w:t xml:space="preserve"> </w:t>
      </w:r>
      <w:r w:rsidR="005A5204" w:rsidRPr="00F70558">
        <w:rPr>
          <w:rFonts w:cstheme="minorHAnsi"/>
        </w:rPr>
        <w:t xml:space="preserve"> </w:t>
      </w:r>
    </w:p>
    <w:p w14:paraId="24E1DED0" w14:textId="32FA1E84" w:rsidR="00095CA5" w:rsidRDefault="00095CA5" w:rsidP="009B4FB1">
      <w:pPr>
        <w:pStyle w:val="ListParagraph"/>
        <w:spacing w:line="240" w:lineRule="auto"/>
        <w:ind w:left="0" w:firstLine="709"/>
        <w:rPr>
          <w:rFonts w:cstheme="minorHAnsi"/>
        </w:rPr>
      </w:pPr>
      <w:r>
        <w:rPr>
          <w:rFonts w:cstheme="minorHAnsi"/>
        </w:rPr>
        <w:t xml:space="preserve">5.2. </w:t>
      </w:r>
      <w:r w:rsidR="00502713">
        <w:rPr>
          <w:rFonts w:cstheme="minorHAnsi"/>
        </w:rPr>
        <w:t xml:space="preserve"> </w:t>
      </w:r>
      <w:r w:rsidR="00203BA7">
        <w:rPr>
          <w:rFonts w:cstheme="minorHAnsi"/>
        </w:rPr>
        <w:t>jungtinės veiklos sutarties kopija (jeigu pirkime dalyvauja ūkio subjektų grupė jungtinės veiklos sutarties pagrindu)</w:t>
      </w:r>
      <w:r w:rsidR="00024B0F">
        <w:rPr>
          <w:rFonts w:cstheme="minorHAnsi"/>
        </w:rPr>
        <w:t>;</w:t>
      </w:r>
    </w:p>
    <w:p w14:paraId="61EB3DC0" w14:textId="735271A3" w:rsidR="00024B0F" w:rsidRDefault="00024B0F" w:rsidP="009B4FB1">
      <w:pPr>
        <w:pStyle w:val="ListParagraph"/>
        <w:spacing w:line="240" w:lineRule="auto"/>
        <w:ind w:left="0" w:firstLine="709"/>
        <w:rPr>
          <w:rFonts w:cstheme="minorHAnsi"/>
        </w:rPr>
      </w:pPr>
      <w:r>
        <w:rPr>
          <w:rFonts w:cstheme="minorHAnsi"/>
        </w:rPr>
        <w:t>5.3. dokumentas, patvirtinantis, kad asmuo, kuris pasirašė</w:t>
      </w:r>
      <w:r w:rsidR="00836E01">
        <w:rPr>
          <w:rFonts w:cstheme="minorHAnsi"/>
        </w:rPr>
        <w:t xml:space="preserve"> pasiūlymą (jei jis ne tiekėjo vadovas), turėjo teisę jį pasirašyti;</w:t>
      </w:r>
    </w:p>
    <w:p w14:paraId="3CFFD8B8" w14:textId="00B40AC0" w:rsidR="00836E01" w:rsidRDefault="00C27FDD" w:rsidP="009B4FB1">
      <w:pPr>
        <w:pStyle w:val="ListParagraph"/>
        <w:spacing w:line="240" w:lineRule="auto"/>
        <w:ind w:left="0" w:firstLine="709"/>
        <w:rPr>
          <w:rFonts w:cstheme="minorHAnsi"/>
        </w:rPr>
      </w:pPr>
      <w:r>
        <w:rPr>
          <w:rFonts w:cstheme="minorHAnsi"/>
        </w:rPr>
        <w:t>5.4. jei tiekėjas pasitelkia ūkio subjektus, kurių pajėgumais remiasi, įrodymai, kad šie ištekliai bus prieinami per visą sutarti</w:t>
      </w:r>
      <w:r w:rsidR="0011227F">
        <w:rPr>
          <w:rFonts w:cstheme="minorHAnsi"/>
        </w:rPr>
        <w:t>nių įsipareigojimų vykdymo laikotarpį;</w:t>
      </w:r>
    </w:p>
    <w:p w14:paraId="10AC284E" w14:textId="7A29AA87" w:rsidR="0011227F" w:rsidRDefault="0011227F" w:rsidP="009B4FB1">
      <w:pPr>
        <w:pStyle w:val="ListParagraph"/>
        <w:spacing w:line="240" w:lineRule="auto"/>
        <w:ind w:left="0" w:firstLine="709"/>
        <w:rPr>
          <w:rFonts w:cstheme="minorHAnsi"/>
        </w:rPr>
      </w:pPr>
      <w:r>
        <w:rPr>
          <w:rFonts w:cstheme="minorHAnsi"/>
        </w:rPr>
        <w:t xml:space="preserve">5.5. </w:t>
      </w:r>
      <w:r w:rsidR="003B24F7">
        <w:rPr>
          <w:rFonts w:cstheme="minorHAnsi"/>
        </w:rPr>
        <w:t xml:space="preserve">jei tiekėjas pasitelkia subtiekėjus, subtiekėjo deklaracija ar kitas dokumentas, patvirtinantis jo sutikimą būti </w:t>
      </w:r>
      <w:r w:rsidR="00F1753F">
        <w:rPr>
          <w:rFonts w:cstheme="minorHAnsi"/>
        </w:rPr>
        <w:t>subtiekėju pirkime;</w:t>
      </w:r>
    </w:p>
    <w:p w14:paraId="64FE4FD8" w14:textId="4B5A8944" w:rsidR="00F1753F" w:rsidRPr="00F70558" w:rsidRDefault="00F1753F" w:rsidP="009B4FB1">
      <w:pPr>
        <w:pStyle w:val="ListParagraph"/>
        <w:spacing w:line="240" w:lineRule="auto"/>
        <w:ind w:left="0" w:firstLine="709"/>
        <w:rPr>
          <w:rFonts w:cstheme="minorHAnsi"/>
        </w:rPr>
      </w:pPr>
      <w:r>
        <w:rPr>
          <w:rFonts w:cstheme="minorHAnsi"/>
        </w:rPr>
        <w:t xml:space="preserve">5.6. užpildyta </w:t>
      </w:r>
      <w:r w:rsidR="00054013">
        <w:rPr>
          <w:rFonts w:cstheme="minorHAnsi"/>
        </w:rPr>
        <w:t xml:space="preserve">tiekėjo deklaracija dėl pašalinimo pagrindo nebuvimo (pirkimo sąlygų 9 priedas). </w:t>
      </w:r>
    </w:p>
    <w:p w14:paraId="0A3C79F0" w14:textId="14FD8744" w:rsidR="001C1D32" w:rsidRPr="00F70558" w:rsidRDefault="005A52E6" w:rsidP="009B4FB1">
      <w:pPr>
        <w:pStyle w:val="ListParagraph"/>
        <w:spacing w:line="240" w:lineRule="auto"/>
        <w:ind w:left="0"/>
        <w:rPr>
          <w:rFonts w:cstheme="minorHAnsi"/>
          <w:u w:val="single"/>
        </w:rPr>
      </w:pPr>
      <w:r w:rsidRPr="00F70558">
        <w:rPr>
          <w:rFonts w:eastAsia="Calibri" w:cstheme="minorHAnsi"/>
        </w:rPr>
        <w:t>5.</w:t>
      </w:r>
      <w:r w:rsidR="00054013">
        <w:rPr>
          <w:rFonts w:eastAsia="Calibri" w:cstheme="minorHAnsi"/>
        </w:rPr>
        <w:t>7</w:t>
      </w:r>
      <w:r w:rsidRPr="00F70558">
        <w:rPr>
          <w:rFonts w:eastAsia="Calibri" w:cstheme="minorHAnsi"/>
        </w:rPr>
        <w:t xml:space="preserve">.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1E6508F"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380BEB6"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sidRPr="003133BB">
        <w:rPr>
          <w:rFonts w:eastAsia="Arial"/>
        </w:rPr>
        <w:t>Bendra</w:t>
      </w:r>
      <w:r w:rsidR="00BE45B1" w:rsidRPr="003133BB">
        <w:rPr>
          <w:rFonts w:eastAsia="Arial"/>
        </w:rPr>
        <w:t xml:space="preserve"> </w:t>
      </w:r>
      <w:r w:rsidR="006A6A5B" w:rsidRPr="003133BB">
        <w:rPr>
          <w:rFonts w:eastAsia="Arial"/>
        </w:rPr>
        <w:t>pasiūlymo kaina su PVM</w:t>
      </w:r>
      <w:r w:rsidR="006A6A5B">
        <w:rPr>
          <w:rFonts w:eastAsia="Arial"/>
        </w:rPr>
        <w:t xml:space="preserve">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 xml:space="preserve">Šią kainą sudarančios kainos sudedamosios dalys ar įkainiai </w:t>
      </w:r>
      <w:r w:rsidR="007F146B">
        <w:rPr>
          <w:rFonts w:eastAsia="Arial" w:cstheme="minorHAnsi"/>
        </w:rPr>
        <w:t>turi būti nurodomi dviejų skai</w:t>
      </w:r>
      <w:r w:rsidR="00DE369D">
        <w:rPr>
          <w:rFonts w:eastAsia="Arial" w:cstheme="minorHAnsi"/>
        </w:rPr>
        <w:t>tmenų po kablelio tikslumu</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ED4DE2">
      <w:pPr>
        <w:pStyle w:val="Heading1"/>
        <w:spacing w:before="0" w:after="0" w:line="300" w:lineRule="auto"/>
        <w:ind w:left="357" w:hanging="357"/>
        <w:rPr>
          <w:rFonts w:asciiTheme="minorHAnsi" w:hAnsiTheme="minorHAnsi" w:cstheme="minorHAnsi"/>
          <w:color w:val="auto"/>
        </w:rPr>
      </w:pPr>
      <w:bookmarkStart w:id="14" w:name="_Toc137194952"/>
      <w:r w:rsidRPr="00465198">
        <w:rPr>
          <w:rFonts w:asciiTheme="minorHAnsi" w:hAnsiTheme="minorHAnsi" w:cstheme="minorHAnsi"/>
          <w:color w:val="auto"/>
          <w:sz w:val="28"/>
          <w:szCs w:val="28"/>
        </w:rPr>
        <w:lastRenderedPageBreak/>
        <w:t>6</w:t>
      </w:r>
      <w:r w:rsidR="003F5D40" w:rsidRPr="00E62E95">
        <w:rPr>
          <w:rFonts w:asciiTheme="minorHAnsi" w:hAnsiTheme="minorHAnsi" w:cstheme="minorHAnsi"/>
          <w:color w:val="auto"/>
        </w:rPr>
        <w:t xml:space="preserve">. </w:t>
      </w:r>
      <w:r w:rsidR="00E62E95" w:rsidRPr="0083215E">
        <w:rPr>
          <w:rFonts w:asciiTheme="minorHAnsi" w:hAnsiTheme="minorHAnsi" w:cstheme="minorHAnsi"/>
          <w:b/>
          <w:bCs/>
          <w:color w:val="auto"/>
          <w:sz w:val="28"/>
          <w:szCs w:val="28"/>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83215E" w:rsidRDefault="00B52705" w:rsidP="00ED4DE2">
      <w:pPr>
        <w:pStyle w:val="Heading1"/>
        <w:numPr>
          <w:ilvl w:val="0"/>
          <w:numId w:val="18"/>
        </w:numPr>
        <w:spacing w:before="0" w:after="0" w:line="300" w:lineRule="auto"/>
        <w:ind w:left="425" w:hanging="425"/>
        <w:rPr>
          <w:rFonts w:ascii="Arial" w:hAnsi="Arial" w:cs="Arial"/>
          <w:b/>
          <w:bCs/>
          <w:sz w:val="28"/>
          <w:szCs w:val="28"/>
        </w:rPr>
      </w:pPr>
      <w:bookmarkStart w:id="15" w:name="_Toc15392775"/>
      <w:bookmarkStart w:id="16" w:name="_Toc137194953"/>
      <w:r w:rsidRPr="0083215E">
        <w:rPr>
          <w:rFonts w:asciiTheme="minorHAnsi" w:hAnsiTheme="minorHAnsi" w:cstheme="minorHAnsi"/>
          <w:b/>
          <w:bCs/>
          <w:color w:val="auto"/>
          <w:sz w:val="28"/>
          <w:szCs w:val="28"/>
        </w:rPr>
        <w:t>P</w:t>
      </w:r>
      <w:bookmarkEnd w:id="15"/>
      <w:r w:rsidR="00E62E95" w:rsidRPr="0083215E">
        <w:rPr>
          <w:rFonts w:asciiTheme="minorHAnsi" w:hAnsiTheme="minorHAnsi" w:cstheme="minorHAnsi"/>
          <w:b/>
          <w:bCs/>
          <w:color w:val="auto"/>
          <w:sz w:val="28"/>
          <w:szCs w:val="28"/>
        </w:rPr>
        <w:t xml:space="preserve">asiūlymų </w:t>
      </w:r>
      <w:r w:rsidR="00A84437" w:rsidRPr="0083215E">
        <w:rPr>
          <w:rFonts w:asciiTheme="minorHAnsi" w:hAnsiTheme="minorHAnsi" w:cstheme="minorHAnsi"/>
          <w:b/>
          <w:bCs/>
          <w:color w:val="auto"/>
          <w:sz w:val="28"/>
          <w:szCs w:val="28"/>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17ADDB61"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C52AAF" w:rsidRPr="00C52AAF">
        <w:rPr>
          <w:rFonts w:eastAsia="Calibri" w:cstheme="minorHAnsi"/>
        </w:rPr>
        <w:t>Pirkimo</w:t>
      </w:r>
      <w:r w:rsidR="00DE051B" w:rsidRPr="00C52AAF">
        <w:rPr>
          <w:rFonts w:eastAsia="Calibri" w:cstheme="minorHAnsi"/>
        </w:rPr>
        <w:t xml:space="preserve"> sąlygų</w:t>
      </w:r>
      <w:r w:rsidR="00CE62A7" w:rsidRPr="00C52AAF">
        <w:rPr>
          <w:rFonts w:eastAsia="Calibri" w:cstheme="minorHAnsi"/>
        </w:rPr>
        <w:t xml:space="preserve"> </w:t>
      </w:r>
      <w:r w:rsidR="00C52AAF" w:rsidRPr="00C52AAF">
        <w:rPr>
          <w:rFonts w:eastAsia="Calibri" w:cstheme="minorHAnsi"/>
        </w:rPr>
        <w:t>6</w:t>
      </w:r>
      <w:r w:rsidR="00DE051B" w:rsidRPr="00C52AAF">
        <w:rPr>
          <w:rFonts w:eastAsia="Calibri" w:cstheme="minorHAnsi"/>
        </w:rPr>
        <w:t xml:space="preserve"> priede</w:t>
      </w:r>
      <w:r w:rsidR="00DE051B" w:rsidRPr="00A84437">
        <w:rPr>
          <w:rFonts w:eastAsia="Calibri" w:cstheme="minorHAnsi"/>
        </w:rPr>
        <w:t xml:space="preserve"> </w:t>
      </w:r>
      <w:r w:rsidR="00C52AAF" w:rsidRPr="00C52AAF">
        <w:rPr>
          <w:rFonts w:eastAsia="Calibri" w:cstheme="minorHAnsi"/>
        </w:rPr>
        <w:t>„Pasiūlymų vertinimo kriterijai ir sąlygos</w:t>
      </w:r>
      <w:r w:rsidR="00C52AAF">
        <w:rPr>
          <w:rFonts w:eastAsia="Calibri" w:cstheme="minorHAnsi"/>
        </w:rPr>
        <w:t>“.</w:t>
      </w:r>
    </w:p>
    <w:p w14:paraId="313FDE6C" w14:textId="7469B7A6" w:rsidR="00D734C6" w:rsidRPr="001816D6" w:rsidRDefault="00436C5B" w:rsidP="006C7DED">
      <w:pPr>
        <w:pStyle w:val="NoSpacing"/>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w:t>
      </w:r>
      <w:r w:rsidR="00A46B06">
        <w:rPr>
          <w:color w:val="000000" w:themeColor="text1"/>
        </w:rPr>
        <w:t xml:space="preserve"> galės būti pripažintas </w:t>
      </w:r>
      <w:proofErr w:type="spellStart"/>
      <w:r w:rsidR="00A46B06">
        <w:rPr>
          <w:color w:val="000000" w:themeColor="text1"/>
        </w:rPr>
        <w:t>ti</w:t>
      </w:r>
      <w:proofErr w:type="spellEnd"/>
      <w:r w:rsidR="00A46B06">
        <w:rPr>
          <w:color w:val="000000" w:themeColor="text1"/>
        </w:rPr>
        <w:t xml:space="preserve"> 1 (vienas) ekonomiškai naudingiausias pasiūlymas</w:t>
      </w:r>
      <w:r w:rsidR="005D0F4A">
        <w:rPr>
          <w:color w:val="000000" w:themeColor="text1"/>
        </w:rPr>
        <w:t xml:space="preserve">, esantis pasiūlymų eilės pirmojoje vietoje. </w:t>
      </w:r>
      <w:r w:rsidR="001816D6" w:rsidRPr="127DD6E8">
        <w:rPr>
          <w:color w:val="000000" w:themeColor="text1"/>
        </w:rPr>
        <w:t xml:space="preserve"> </w:t>
      </w:r>
    </w:p>
    <w:p w14:paraId="5F28C774" w14:textId="7F273710" w:rsidR="00F5411E" w:rsidRPr="00AD4060" w:rsidRDefault="00F5411E" w:rsidP="00F77A5D">
      <w:pPr>
        <w:pStyle w:val="NoSpacing"/>
        <w:ind w:firstLine="709"/>
        <w:contextualSpacing/>
        <w:rPr>
          <w:rFonts w:eastAsiaTheme="minorHAnsi" w:cstheme="minorHAnsi"/>
          <w:bCs/>
          <w:i/>
          <w:i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w:t>
      </w:r>
      <w:r w:rsidR="0014359C" w:rsidRPr="00AD4060">
        <w:rPr>
          <w:rStyle w:val="cf01"/>
          <w:rFonts w:asciiTheme="minorHAnsi" w:hAnsiTheme="minorHAnsi" w:cstheme="minorHAnsi"/>
          <w:sz w:val="21"/>
          <w:szCs w:val="21"/>
        </w:rPr>
        <w:t xml:space="preserve">organizacija </w:t>
      </w:r>
      <w:r w:rsidRPr="00AD4060">
        <w:rPr>
          <w:rStyle w:val="cf01"/>
          <w:rFonts w:asciiTheme="minorHAnsi" w:hAnsiTheme="minorHAnsi" w:cstheme="minorHAnsi"/>
          <w:sz w:val="21"/>
          <w:szCs w:val="21"/>
        </w:rPr>
        <w:t xml:space="preserve">atmes tiekėjo pasiūlymą, jeigu kartu su pasiūlymu nebus pateikti šie </w:t>
      </w:r>
      <w:r w:rsidR="0014359C" w:rsidRPr="00AD4060">
        <w:rPr>
          <w:rStyle w:val="cf01"/>
          <w:rFonts w:asciiTheme="minorHAnsi" w:hAnsiTheme="minorHAnsi" w:cstheme="minorHAnsi"/>
          <w:sz w:val="21"/>
          <w:szCs w:val="21"/>
        </w:rPr>
        <w:t>p</w:t>
      </w:r>
      <w:r w:rsidRPr="00AD4060">
        <w:rPr>
          <w:rStyle w:val="cf01"/>
          <w:rFonts w:asciiTheme="minorHAnsi" w:hAnsiTheme="minorHAnsi" w:cstheme="minorHAnsi"/>
          <w:sz w:val="21"/>
          <w:szCs w:val="21"/>
        </w:rPr>
        <w:t xml:space="preserve">irkimo sąlygose reikalaujami pateikti dokumentai: </w:t>
      </w:r>
      <w:r w:rsidR="00AD4060" w:rsidRPr="00AD4060">
        <w:rPr>
          <w:rFonts w:cstheme="minorHAnsi"/>
        </w:rPr>
        <w:t>Pirkimo</w:t>
      </w:r>
      <w:r w:rsidR="00DC6688" w:rsidRPr="00AD4060">
        <w:rPr>
          <w:rFonts w:cstheme="minorHAnsi"/>
        </w:rPr>
        <w:t xml:space="preserve"> sąlygų </w:t>
      </w:r>
      <w:r w:rsidR="00AD4060" w:rsidRPr="00AD4060">
        <w:rPr>
          <w:rFonts w:cstheme="minorHAnsi"/>
        </w:rPr>
        <w:t>5</w:t>
      </w:r>
      <w:r w:rsidR="00DC6688" w:rsidRPr="00AD4060">
        <w:rPr>
          <w:rFonts w:cstheme="minorHAnsi"/>
        </w:rPr>
        <w:t xml:space="preserve"> priedas „Pasiūlymo forma“. </w:t>
      </w:r>
      <w:r w:rsidRPr="00AD4060">
        <w:rPr>
          <w:rFonts w:cstheme="minorHAnsi"/>
        </w:rPr>
        <w:t xml:space="preserve"> </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sidRPr="00220691">
        <w:rPr>
          <w:rFonts w:asciiTheme="minorHAnsi" w:hAnsiTheme="minorHAnsi" w:cstheme="minorHAnsi"/>
          <w:sz w:val="28"/>
          <w:szCs w:val="28"/>
        </w:rPr>
        <w:t>8</w:t>
      </w:r>
      <w:r>
        <w:rPr>
          <w:rFonts w:asciiTheme="minorHAnsi" w:hAnsiTheme="minorHAnsi" w:cstheme="minorHAnsi"/>
        </w:rPr>
        <w:t xml:space="preserve">. </w:t>
      </w:r>
      <w:r w:rsidRPr="0083215E">
        <w:rPr>
          <w:rFonts w:asciiTheme="minorHAnsi" w:hAnsiTheme="minorHAnsi" w:cstheme="minorHAnsi"/>
          <w:b/>
          <w:bCs/>
          <w:sz w:val="28"/>
          <w:szCs w:val="28"/>
        </w:rPr>
        <w:t>Sutarties sudarymas</w:t>
      </w:r>
      <w:bookmarkEnd w:id="17"/>
      <w:bookmarkEnd w:id="18"/>
      <w:bookmarkEnd w:id="19"/>
      <w:bookmarkEnd w:id="20"/>
    </w:p>
    <w:p w14:paraId="4006AD6A" w14:textId="3261FAAF"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 xml:space="preserve">Sutarties sąlygos </w:t>
      </w:r>
      <w:r w:rsidR="00D83C57" w:rsidRPr="006A4555">
        <w:rPr>
          <w:color w:val="000000" w:themeColor="text1"/>
        </w:rPr>
        <w:t>pateikiamos</w:t>
      </w:r>
      <w:r w:rsidR="00F56579" w:rsidRPr="006A4555">
        <w:rPr>
          <w:color w:val="000000" w:themeColor="text1"/>
        </w:rPr>
        <w:t xml:space="preserve"> pirkimo sąlygų</w:t>
      </w:r>
      <w:r w:rsidR="00D83C57" w:rsidRPr="006A4555">
        <w:rPr>
          <w:color w:val="000000" w:themeColor="text1"/>
        </w:rPr>
        <w:t xml:space="preserve"> </w:t>
      </w:r>
      <w:r w:rsidR="006A4555" w:rsidRPr="006A4555">
        <w:rPr>
          <w:color w:val="000000" w:themeColor="text1"/>
        </w:rPr>
        <w:t>7</w:t>
      </w:r>
      <w:r w:rsidR="00103E1A">
        <w:rPr>
          <w:color w:val="000000" w:themeColor="text1"/>
        </w:rPr>
        <w:t>.1</w:t>
      </w:r>
      <w:r w:rsidR="00F56579" w:rsidRPr="006A4555">
        <w:rPr>
          <w:color w:val="000000" w:themeColor="text1"/>
        </w:rPr>
        <w:t xml:space="preserve"> priede</w:t>
      </w:r>
      <w:r w:rsidR="006A4555" w:rsidRPr="006A4555">
        <w:rPr>
          <w:color w:val="000000" w:themeColor="text1"/>
        </w:rPr>
        <w:t xml:space="preserve"> „</w:t>
      </w:r>
      <w:hyperlink w:anchor="_Toc124404964" w:history="1">
        <w:r w:rsidR="006A4555" w:rsidRPr="006A4555">
          <w:rPr>
            <w:color w:val="000000" w:themeColor="text1"/>
          </w:rPr>
          <w:t>Sutarties projekt</w:t>
        </w:r>
        <w:r w:rsidR="00D06CF8">
          <w:rPr>
            <w:color w:val="000000" w:themeColor="text1"/>
          </w:rPr>
          <w:t>o bendrosios sąlygos</w:t>
        </w:r>
        <w:r w:rsidR="006A4555" w:rsidRPr="006A4555">
          <w:rPr>
            <w:color w:val="000000" w:themeColor="text1"/>
          </w:rPr>
          <w:t>“</w:t>
        </w:r>
      </w:hyperlink>
      <w:r w:rsidR="00D06CF8">
        <w:rPr>
          <w:color w:val="000000" w:themeColor="text1"/>
        </w:rPr>
        <w:t xml:space="preserve"> ir 7.2 priede „</w:t>
      </w:r>
      <w:r w:rsidR="00623421">
        <w:rPr>
          <w:color w:val="000000" w:themeColor="text1"/>
        </w:rPr>
        <w:t xml:space="preserve">Sutarties projekto specialiosios sąlygos“. </w:t>
      </w:r>
      <w:r w:rsidR="00F56579" w:rsidRPr="006A4555">
        <w:rPr>
          <w:color w:val="000000" w:themeColor="text1"/>
        </w:rPr>
        <w:t xml:space="preserve"> </w:t>
      </w:r>
    </w:p>
    <w:p w14:paraId="780EE5C1" w14:textId="77777777" w:rsidR="005450B5" w:rsidRPr="006A4555" w:rsidRDefault="005450B5" w:rsidP="00F77A5D">
      <w:pPr>
        <w:pStyle w:val="NoSpacing"/>
        <w:spacing w:line="276" w:lineRule="auto"/>
        <w:contextualSpacing/>
        <w:jc w:val="left"/>
        <w:rPr>
          <w:color w:val="000000" w:themeColor="text1"/>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sidRPr="00220691">
        <w:rPr>
          <w:rFonts w:asciiTheme="minorHAnsi" w:hAnsiTheme="minorHAnsi" w:cstheme="minorHAnsi"/>
          <w:color w:val="auto"/>
          <w:sz w:val="28"/>
          <w:szCs w:val="28"/>
        </w:rPr>
        <w:t>9</w:t>
      </w:r>
      <w:r>
        <w:rPr>
          <w:rFonts w:asciiTheme="minorHAnsi" w:hAnsiTheme="minorHAnsi" w:cstheme="minorHAnsi"/>
          <w:color w:val="auto"/>
        </w:rPr>
        <w:t xml:space="preserve">. </w:t>
      </w:r>
      <w:r w:rsidR="00274B64" w:rsidRPr="0083215E">
        <w:rPr>
          <w:rFonts w:asciiTheme="minorHAnsi" w:hAnsiTheme="minorHAnsi" w:cstheme="minorHAnsi"/>
          <w:b/>
          <w:bCs/>
          <w:color w:val="auto"/>
          <w:sz w:val="28"/>
          <w:szCs w:val="28"/>
        </w:rPr>
        <w:t>K</w:t>
      </w:r>
      <w:r w:rsidR="00A84437" w:rsidRPr="0083215E">
        <w:rPr>
          <w:rFonts w:asciiTheme="minorHAnsi" w:hAnsiTheme="minorHAnsi" w:cstheme="minorHAnsi"/>
          <w:b/>
          <w:bCs/>
          <w:color w:val="auto"/>
          <w:sz w:val="28"/>
          <w:szCs w:val="28"/>
        </w:rPr>
        <w:t>itos sąlygos</w:t>
      </w:r>
      <w:bookmarkEnd w:id="21"/>
      <w:r w:rsidR="00A84437" w:rsidRPr="00A84437">
        <w:rPr>
          <w:rFonts w:asciiTheme="minorHAnsi" w:hAnsiTheme="minorHAnsi" w:cstheme="minorHAnsi"/>
          <w:color w:val="auto"/>
        </w:rPr>
        <w:t xml:space="preserve"> </w:t>
      </w:r>
    </w:p>
    <w:p w14:paraId="52BA0CEF" w14:textId="110DA39B" w:rsidR="00E250DF" w:rsidRDefault="00A45396" w:rsidP="0083215E">
      <w:pPr>
        <w:shd w:val="clear" w:color="auto" w:fill="FFFFFF"/>
        <w:spacing w:line="240" w:lineRule="auto"/>
        <w:ind w:firstLine="567"/>
        <w:rPr>
          <w:rFonts w:ascii="Arial" w:eastAsiaTheme="minorHAnsi" w:hAnsi="Arial" w:cs="Arial"/>
        </w:rPr>
      </w:pPr>
      <w:r>
        <w:rPr>
          <w:rFonts w:eastAsia="Calibri" w:cstheme="minorHAnsi"/>
        </w:rPr>
        <w:t>9</w:t>
      </w:r>
      <w:r w:rsidRPr="00B24CC8">
        <w:rPr>
          <w:rFonts w:eastAsia="Calibri" w:cstheme="minorHAnsi"/>
        </w:rPr>
        <w:t>.</w:t>
      </w:r>
      <w:r w:rsidR="004A297C">
        <w:rPr>
          <w:rFonts w:eastAsia="Calibri" w:cstheme="minorHAnsi"/>
        </w:rPr>
        <w:t>1</w:t>
      </w:r>
      <w:r w:rsidRPr="00B24CC8">
        <w:rPr>
          <w:rFonts w:eastAsia="Calibri" w:cstheme="minorHAnsi"/>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bookmarkEnd w:id="0"/>
    </w:p>
    <w:sectPr w:rsidR="00E250DF"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F1E2A" w14:textId="77777777" w:rsidR="006430C7" w:rsidRDefault="006430C7" w:rsidP="00D05666">
      <w:r>
        <w:separator/>
      </w:r>
    </w:p>
  </w:endnote>
  <w:endnote w:type="continuationSeparator" w:id="0">
    <w:p w14:paraId="44F46DD1" w14:textId="77777777" w:rsidR="006430C7" w:rsidRDefault="006430C7" w:rsidP="00D05666">
      <w:r>
        <w:continuationSeparator/>
      </w:r>
    </w:p>
  </w:endnote>
  <w:endnote w:type="continuationNotice" w:id="1">
    <w:p w14:paraId="769DE67B" w14:textId="77777777" w:rsidR="006430C7" w:rsidRDefault="006430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37017" w14:textId="77777777" w:rsidR="006430C7" w:rsidRDefault="006430C7" w:rsidP="00D05666">
      <w:r>
        <w:separator/>
      </w:r>
    </w:p>
  </w:footnote>
  <w:footnote w:type="continuationSeparator" w:id="0">
    <w:p w14:paraId="645BDF25" w14:textId="77777777" w:rsidR="006430C7" w:rsidRDefault="006430C7" w:rsidP="00D05666">
      <w:r>
        <w:continuationSeparator/>
      </w:r>
    </w:p>
  </w:footnote>
  <w:footnote w:type="continuationNotice" w:id="1">
    <w:p w14:paraId="2ED0E994" w14:textId="77777777" w:rsidR="006430C7" w:rsidRDefault="006430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5B208B22" w:rsidR="00285B02" w:rsidRPr="00254C61" w:rsidRDefault="00254C61" w:rsidP="00254C61">
    <w:pPr>
      <w:pStyle w:val="Header"/>
      <w:jc w:val="right"/>
      <w:rPr>
        <w:b/>
        <w:bCs/>
        <w:color w:val="EE0000"/>
      </w:rPr>
    </w:pPr>
    <w:r w:rsidRPr="00254C61">
      <w:rPr>
        <w:b/>
        <w:bCs/>
        <w:color w:val="EE0000"/>
      </w:rPr>
      <w:t>Aktuali redakcija, 2025-06-25</w:t>
    </w:r>
    <w:r w:rsidR="00285B02" w:rsidRPr="00254C61">
      <w:rPr>
        <w:b/>
        <w:bCs/>
        <w:color w:val="EE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B35C448E"/>
    <w:lvl w:ilvl="0">
      <w:start w:val="7"/>
      <w:numFmt w:val="decimal"/>
      <w:lvlText w:val="%1."/>
      <w:lvlJc w:val="left"/>
      <w:pPr>
        <w:ind w:left="786" w:hanging="360"/>
      </w:pPr>
      <w:rPr>
        <w:rFonts w:hint="default"/>
        <w:color w:val="000000" w:themeColor="text1"/>
        <w:sz w:val="28"/>
        <w:szCs w:val="28"/>
      </w:rPr>
    </w:lvl>
    <w:lvl w:ilvl="1">
      <w:start w:val="2"/>
      <w:numFmt w:val="decimal"/>
      <w:lvlText w:val="%1.%2."/>
      <w:lvlJc w:val="left"/>
      <w:pPr>
        <w:ind w:left="1483" w:hanging="360"/>
      </w:pPr>
      <w:rPr>
        <w:rFonts w:ascii="Arial" w:hAnsi="Arial" w:cs="Arial" w:hint="default"/>
        <w:color w:val="000000" w:themeColor="text1"/>
      </w:rPr>
    </w:lvl>
    <w:lvl w:ilvl="2">
      <w:start w:val="1"/>
      <w:numFmt w:val="decimal"/>
      <w:lvlText w:val="%1.%2.%3."/>
      <w:lvlJc w:val="left"/>
      <w:pPr>
        <w:ind w:left="2540" w:hanging="720"/>
      </w:pPr>
      <w:rPr>
        <w:rFonts w:ascii="Arial" w:hAnsi="Arial" w:cs="Arial" w:hint="default"/>
        <w:color w:val="000000" w:themeColor="text1"/>
      </w:rPr>
    </w:lvl>
    <w:lvl w:ilvl="3">
      <w:start w:val="1"/>
      <w:numFmt w:val="decimal"/>
      <w:lvlText w:val="%1.%2.%3.%4."/>
      <w:lvlJc w:val="left"/>
      <w:pPr>
        <w:ind w:left="3237" w:hanging="720"/>
      </w:pPr>
      <w:rPr>
        <w:rFonts w:hint="default"/>
        <w:color w:val="000000" w:themeColor="text1"/>
      </w:rPr>
    </w:lvl>
    <w:lvl w:ilvl="4">
      <w:start w:val="1"/>
      <w:numFmt w:val="decimal"/>
      <w:lvlText w:val="%1.%2.%3.%4.%5."/>
      <w:lvlJc w:val="left"/>
      <w:pPr>
        <w:ind w:left="4294" w:hanging="1080"/>
      </w:pPr>
      <w:rPr>
        <w:rFonts w:hint="default"/>
        <w:color w:val="000000" w:themeColor="text1"/>
      </w:rPr>
    </w:lvl>
    <w:lvl w:ilvl="5">
      <w:start w:val="1"/>
      <w:numFmt w:val="decimal"/>
      <w:lvlText w:val="%1.%2.%3.%4.%5.%6."/>
      <w:lvlJc w:val="left"/>
      <w:pPr>
        <w:ind w:left="4991" w:hanging="1080"/>
      </w:pPr>
      <w:rPr>
        <w:rFonts w:hint="default"/>
        <w:color w:val="000000" w:themeColor="text1"/>
      </w:rPr>
    </w:lvl>
    <w:lvl w:ilvl="6">
      <w:start w:val="1"/>
      <w:numFmt w:val="decimal"/>
      <w:lvlText w:val="%1.%2.%3.%4.%5.%6.%7."/>
      <w:lvlJc w:val="left"/>
      <w:pPr>
        <w:ind w:left="6048" w:hanging="1440"/>
      </w:pPr>
      <w:rPr>
        <w:rFonts w:hint="default"/>
        <w:color w:val="000000" w:themeColor="text1"/>
      </w:rPr>
    </w:lvl>
    <w:lvl w:ilvl="7">
      <w:start w:val="1"/>
      <w:numFmt w:val="decimal"/>
      <w:lvlText w:val="%1.%2.%3.%4.%5.%6.%7.%8."/>
      <w:lvlJc w:val="left"/>
      <w:pPr>
        <w:ind w:left="6745" w:hanging="1440"/>
      </w:pPr>
      <w:rPr>
        <w:rFonts w:hint="default"/>
        <w:color w:val="000000" w:themeColor="text1"/>
      </w:rPr>
    </w:lvl>
    <w:lvl w:ilvl="8">
      <w:start w:val="1"/>
      <w:numFmt w:val="decimal"/>
      <w:lvlText w:val="%1.%2.%3.%4.%5.%6.%7.%8.%9."/>
      <w:lvlJc w:val="left"/>
      <w:pPr>
        <w:ind w:left="7802"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B8"/>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B0F"/>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01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698"/>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BF5"/>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CA5"/>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C30"/>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182"/>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4D9D"/>
    <w:rsid w:val="000F513D"/>
    <w:rsid w:val="000F6EDF"/>
    <w:rsid w:val="000F7102"/>
    <w:rsid w:val="00100B38"/>
    <w:rsid w:val="001010F7"/>
    <w:rsid w:val="00101313"/>
    <w:rsid w:val="0010148D"/>
    <w:rsid w:val="00101C48"/>
    <w:rsid w:val="0010270D"/>
    <w:rsid w:val="00103049"/>
    <w:rsid w:val="00103CEC"/>
    <w:rsid w:val="00103E1A"/>
    <w:rsid w:val="001045C0"/>
    <w:rsid w:val="00105DAD"/>
    <w:rsid w:val="001072BE"/>
    <w:rsid w:val="00107A04"/>
    <w:rsid w:val="00107DDA"/>
    <w:rsid w:val="0011128B"/>
    <w:rsid w:val="0011199A"/>
    <w:rsid w:val="0011227F"/>
    <w:rsid w:val="001126FB"/>
    <w:rsid w:val="0011280B"/>
    <w:rsid w:val="001128FB"/>
    <w:rsid w:val="00112F92"/>
    <w:rsid w:val="0011320C"/>
    <w:rsid w:val="0011344C"/>
    <w:rsid w:val="00113B07"/>
    <w:rsid w:val="00114768"/>
    <w:rsid w:val="00115590"/>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18"/>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97E"/>
    <w:rsid w:val="00184EBA"/>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14D"/>
    <w:rsid w:val="001B0E43"/>
    <w:rsid w:val="001B13F2"/>
    <w:rsid w:val="001B182C"/>
    <w:rsid w:val="001B1CD4"/>
    <w:rsid w:val="001B1D94"/>
    <w:rsid w:val="001B2226"/>
    <w:rsid w:val="001B370C"/>
    <w:rsid w:val="001B3BCE"/>
    <w:rsid w:val="001B3C7D"/>
    <w:rsid w:val="001B50F3"/>
    <w:rsid w:val="001B5CAB"/>
    <w:rsid w:val="001B7035"/>
    <w:rsid w:val="001B7DC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BA7"/>
    <w:rsid w:val="002040C2"/>
    <w:rsid w:val="002044E1"/>
    <w:rsid w:val="00204D4B"/>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691"/>
    <w:rsid w:val="00220B88"/>
    <w:rsid w:val="002211A8"/>
    <w:rsid w:val="00221235"/>
    <w:rsid w:val="00221CC0"/>
    <w:rsid w:val="00222418"/>
    <w:rsid w:val="00223247"/>
    <w:rsid w:val="00223614"/>
    <w:rsid w:val="002256CF"/>
    <w:rsid w:val="00225BEF"/>
    <w:rsid w:val="00225E41"/>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848"/>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C61"/>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9FF"/>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4D24"/>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F0E"/>
    <w:rsid w:val="00306D9F"/>
    <w:rsid w:val="00306F87"/>
    <w:rsid w:val="003074D1"/>
    <w:rsid w:val="0031000F"/>
    <w:rsid w:val="003101E1"/>
    <w:rsid w:val="00310D78"/>
    <w:rsid w:val="00310DEF"/>
    <w:rsid w:val="0031109D"/>
    <w:rsid w:val="0031284C"/>
    <w:rsid w:val="00312D59"/>
    <w:rsid w:val="003133BB"/>
    <w:rsid w:val="00313C60"/>
    <w:rsid w:val="0031420A"/>
    <w:rsid w:val="003155D3"/>
    <w:rsid w:val="003163B9"/>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0D0"/>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7F9"/>
    <w:rsid w:val="00364DE0"/>
    <w:rsid w:val="00365384"/>
    <w:rsid w:val="003660B8"/>
    <w:rsid w:val="003671C3"/>
    <w:rsid w:val="00367D97"/>
    <w:rsid w:val="00370489"/>
    <w:rsid w:val="00371433"/>
    <w:rsid w:val="003716F1"/>
    <w:rsid w:val="00372CDB"/>
    <w:rsid w:val="00373AD1"/>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A6D"/>
    <w:rsid w:val="0039427E"/>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4F7"/>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2F8"/>
    <w:rsid w:val="003E3871"/>
    <w:rsid w:val="003E436D"/>
    <w:rsid w:val="003E4C10"/>
    <w:rsid w:val="003E4DB9"/>
    <w:rsid w:val="003E4E8A"/>
    <w:rsid w:val="003E51C1"/>
    <w:rsid w:val="003E6FE5"/>
    <w:rsid w:val="003E713F"/>
    <w:rsid w:val="003E77E9"/>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87B"/>
    <w:rsid w:val="00401CAD"/>
    <w:rsid w:val="00403C4D"/>
    <w:rsid w:val="00404031"/>
    <w:rsid w:val="00404533"/>
    <w:rsid w:val="0040472C"/>
    <w:rsid w:val="004047D7"/>
    <w:rsid w:val="0040521D"/>
    <w:rsid w:val="00405855"/>
    <w:rsid w:val="00405B76"/>
    <w:rsid w:val="00405C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690"/>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2E33"/>
    <w:rsid w:val="00453770"/>
    <w:rsid w:val="0045573D"/>
    <w:rsid w:val="00455810"/>
    <w:rsid w:val="00455AA9"/>
    <w:rsid w:val="00455F06"/>
    <w:rsid w:val="004575AA"/>
    <w:rsid w:val="0045773D"/>
    <w:rsid w:val="00457C45"/>
    <w:rsid w:val="00457F5A"/>
    <w:rsid w:val="00460650"/>
    <w:rsid w:val="00461904"/>
    <w:rsid w:val="0046198C"/>
    <w:rsid w:val="00461BA6"/>
    <w:rsid w:val="00461CE4"/>
    <w:rsid w:val="004624F4"/>
    <w:rsid w:val="00462587"/>
    <w:rsid w:val="004635E0"/>
    <w:rsid w:val="00463897"/>
    <w:rsid w:val="004642FA"/>
    <w:rsid w:val="0046472C"/>
    <w:rsid w:val="00464D07"/>
    <w:rsid w:val="00465198"/>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89A"/>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7C"/>
    <w:rsid w:val="004A299F"/>
    <w:rsid w:val="004A3C50"/>
    <w:rsid w:val="004A3F9F"/>
    <w:rsid w:val="004A415C"/>
    <w:rsid w:val="004A4444"/>
    <w:rsid w:val="004A4761"/>
    <w:rsid w:val="004A48CA"/>
    <w:rsid w:val="004A4C80"/>
    <w:rsid w:val="004A51B9"/>
    <w:rsid w:val="004A5A9A"/>
    <w:rsid w:val="004A6248"/>
    <w:rsid w:val="004A71E1"/>
    <w:rsid w:val="004A7485"/>
    <w:rsid w:val="004A7F0E"/>
    <w:rsid w:val="004B01D9"/>
    <w:rsid w:val="004B0E0C"/>
    <w:rsid w:val="004B1C98"/>
    <w:rsid w:val="004B219C"/>
    <w:rsid w:val="004B24B4"/>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708"/>
    <w:rsid w:val="004F57E9"/>
    <w:rsid w:val="004F6423"/>
    <w:rsid w:val="004F6DFE"/>
    <w:rsid w:val="004F6FEF"/>
    <w:rsid w:val="004F7943"/>
    <w:rsid w:val="005002B8"/>
    <w:rsid w:val="00500818"/>
    <w:rsid w:val="00500FED"/>
    <w:rsid w:val="00501200"/>
    <w:rsid w:val="005020EF"/>
    <w:rsid w:val="0050218B"/>
    <w:rsid w:val="0050224F"/>
    <w:rsid w:val="00502713"/>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993"/>
    <w:rsid w:val="00546441"/>
    <w:rsid w:val="00547265"/>
    <w:rsid w:val="00547443"/>
    <w:rsid w:val="00547F32"/>
    <w:rsid w:val="005505A6"/>
    <w:rsid w:val="005505BF"/>
    <w:rsid w:val="00550751"/>
    <w:rsid w:val="00550C47"/>
    <w:rsid w:val="00551B0D"/>
    <w:rsid w:val="00553286"/>
    <w:rsid w:val="00553E2C"/>
    <w:rsid w:val="0055476C"/>
    <w:rsid w:val="00555B8A"/>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4BB"/>
    <w:rsid w:val="005717E5"/>
    <w:rsid w:val="005717E7"/>
    <w:rsid w:val="0057188A"/>
    <w:rsid w:val="00571D6C"/>
    <w:rsid w:val="00572BCF"/>
    <w:rsid w:val="0057328C"/>
    <w:rsid w:val="005737EC"/>
    <w:rsid w:val="00573C33"/>
    <w:rsid w:val="005753B6"/>
    <w:rsid w:val="00576683"/>
    <w:rsid w:val="005769FF"/>
    <w:rsid w:val="005771DB"/>
    <w:rsid w:val="00577A7E"/>
    <w:rsid w:val="00580423"/>
    <w:rsid w:val="005806D2"/>
    <w:rsid w:val="0058102F"/>
    <w:rsid w:val="00581B14"/>
    <w:rsid w:val="00582A71"/>
    <w:rsid w:val="00583135"/>
    <w:rsid w:val="00583195"/>
    <w:rsid w:val="00583B84"/>
    <w:rsid w:val="00584587"/>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4C5F"/>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35D"/>
    <w:rsid w:val="005C3941"/>
    <w:rsid w:val="005C3F18"/>
    <w:rsid w:val="005C4923"/>
    <w:rsid w:val="005C5BD5"/>
    <w:rsid w:val="005C6C2A"/>
    <w:rsid w:val="005C6D8F"/>
    <w:rsid w:val="005C7B7A"/>
    <w:rsid w:val="005D080D"/>
    <w:rsid w:val="005D08AD"/>
    <w:rsid w:val="005D0BAB"/>
    <w:rsid w:val="005D0CCC"/>
    <w:rsid w:val="005D0F4A"/>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A3"/>
    <w:rsid w:val="005F70E4"/>
    <w:rsid w:val="005F7EBF"/>
    <w:rsid w:val="006015A1"/>
    <w:rsid w:val="006015E1"/>
    <w:rsid w:val="00601B91"/>
    <w:rsid w:val="00601DD0"/>
    <w:rsid w:val="0060200D"/>
    <w:rsid w:val="00603E31"/>
    <w:rsid w:val="006041B7"/>
    <w:rsid w:val="00605D03"/>
    <w:rsid w:val="00606CBD"/>
    <w:rsid w:val="006076D9"/>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421"/>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0C7"/>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9C"/>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555"/>
    <w:rsid w:val="006A4AF7"/>
    <w:rsid w:val="006A539D"/>
    <w:rsid w:val="006A58FD"/>
    <w:rsid w:val="006A614E"/>
    <w:rsid w:val="006A61B1"/>
    <w:rsid w:val="006A6750"/>
    <w:rsid w:val="006A675A"/>
    <w:rsid w:val="006A6A5B"/>
    <w:rsid w:val="006A7476"/>
    <w:rsid w:val="006A7920"/>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B87"/>
    <w:rsid w:val="007128D8"/>
    <w:rsid w:val="007128DA"/>
    <w:rsid w:val="00713645"/>
    <w:rsid w:val="00713AA3"/>
    <w:rsid w:val="0071427B"/>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0EC8"/>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778"/>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EA6"/>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373"/>
    <w:rsid w:val="007E1624"/>
    <w:rsid w:val="007E1893"/>
    <w:rsid w:val="007E2CF6"/>
    <w:rsid w:val="007E2E05"/>
    <w:rsid w:val="007E2E3B"/>
    <w:rsid w:val="007E3D46"/>
    <w:rsid w:val="007E3D62"/>
    <w:rsid w:val="007E625C"/>
    <w:rsid w:val="007E6C65"/>
    <w:rsid w:val="007E7010"/>
    <w:rsid w:val="007F0164"/>
    <w:rsid w:val="007F14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15E"/>
    <w:rsid w:val="0083270B"/>
    <w:rsid w:val="008335C6"/>
    <w:rsid w:val="008339CC"/>
    <w:rsid w:val="00833AB8"/>
    <w:rsid w:val="00833C48"/>
    <w:rsid w:val="008344ED"/>
    <w:rsid w:val="008349ED"/>
    <w:rsid w:val="00834CBF"/>
    <w:rsid w:val="00834D3E"/>
    <w:rsid w:val="00834EEC"/>
    <w:rsid w:val="00835378"/>
    <w:rsid w:val="00836C8F"/>
    <w:rsid w:val="00836E01"/>
    <w:rsid w:val="00837056"/>
    <w:rsid w:val="008409D4"/>
    <w:rsid w:val="00840BEE"/>
    <w:rsid w:val="0084174D"/>
    <w:rsid w:val="008417FF"/>
    <w:rsid w:val="00841A95"/>
    <w:rsid w:val="00841D69"/>
    <w:rsid w:val="00841F51"/>
    <w:rsid w:val="00841F69"/>
    <w:rsid w:val="008429BA"/>
    <w:rsid w:val="00844674"/>
    <w:rsid w:val="008447D0"/>
    <w:rsid w:val="00844DEE"/>
    <w:rsid w:val="008454E2"/>
    <w:rsid w:val="00845AD5"/>
    <w:rsid w:val="00846788"/>
    <w:rsid w:val="0084692E"/>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210"/>
    <w:rsid w:val="0088336F"/>
    <w:rsid w:val="008835A9"/>
    <w:rsid w:val="00884B13"/>
    <w:rsid w:val="0088657A"/>
    <w:rsid w:val="00886C5B"/>
    <w:rsid w:val="00887B5D"/>
    <w:rsid w:val="008901DC"/>
    <w:rsid w:val="008903B1"/>
    <w:rsid w:val="008910AC"/>
    <w:rsid w:val="00891BF1"/>
    <w:rsid w:val="0089307B"/>
    <w:rsid w:val="008930CD"/>
    <w:rsid w:val="008931B4"/>
    <w:rsid w:val="0089331B"/>
    <w:rsid w:val="008933BC"/>
    <w:rsid w:val="00893B29"/>
    <w:rsid w:val="00893C2B"/>
    <w:rsid w:val="00894FEF"/>
    <w:rsid w:val="00895FDB"/>
    <w:rsid w:val="00896760"/>
    <w:rsid w:val="008969D4"/>
    <w:rsid w:val="008A0157"/>
    <w:rsid w:val="008A14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A29"/>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1D"/>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2B6B"/>
    <w:rsid w:val="00933845"/>
    <w:rsid w:val="00933F32"/>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B06"/>
    <w:rsid w:val="00960A92"/>
    <w:rsid w:val="00961502"/>
    <w:rsid w:val="00961943"/>
    <w:rsid w:val="00961DB7"/>
    <w:rsid w:val="0096248C"/>
    <w:rsid w:val="00962EED"/>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5FF"/>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61D"/>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8E2"/>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396"/>
    <w:rsid w:val="00A45433"/>
    <w:rsid w:val="00A4599F"/>
    <w:rsid w:val="00A466F1"/>
    <w:rsid w:val="00A46B06"/>
    <w:rsid w:val="00A47CF5"/>
    <w:rsid w:val="00A47EE3"/>
    <w:rsid w:val="00A50B73"/>
    <w:rsid w:val="00A510B9"/>
    <w:rsid w:val="00A521FB"/>
    <w:rsid w:val="00A5253F"/>
    <w:rsid w:val="00A52658"/>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4CE"/>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E14"/>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060"/>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6C"/>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ED1"/>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08F"/>
    <w:rsid w:val="00BE13D5"/>
    <w:rsid w:val="00BE1520"/>
    <w:rsid w:val="00BE1858"/>
    <w:rsid w:val="00BE3B73"/>
    <w:rsid w:val="00BE3C0E"/>
    <w:rsid w:val="00BE3EEA"/>
    <w:rsid w:val="00BE43A9"/>
    <w:rsid w:val="00BE4401"/>
    <w:rsid w:val="00BE45B1"/>
    <w:rsid w:val="00BE5267"/>
    <w:rsid w:val="00BE598F"/>
    <w:rsid w:val="00BE7049"/>
    <w:rsid w:val="00BE7123"/>
    <w:rsid w:val="00BE7C72"/>
    <w:rsid w:val="00BE7D6A"/>
    <w:rsid w:val="00BF1959"/>
    <w:rsid w:val="00BF22F5"/>
    <w:rsid w:val="00BF3638"/>
    <w:rsid w:val="00BF4594"/>
    <w:rsid w:val="00BF57BE"/>
    <w:rsid w:val="00BF5AEB"/>
    <w:rsid w:val="00BF5EA3"/>
    <w:rsid w:val="00BF5F45"/>
    <w:rsid w:val="00BF64AF"/>
    <w:rsid w:val="00BF6BED"/>
    <w:rsid w:val="00BF6C92"/>
    <w:rsid w:val="00BF7343"/>
    <w:rsid w:val="00BF780E"/>
    <w:rsid w:val="00C006CB"/>
    <w:rsid w:val="00C00F86"/>
    <w:rsid w:val="00C013F9"/>
    <w:rsid w:val="00C01740"/>
    <w:rsid w:val="00C0212E"/>
    <w:rsid w:val="00C02B55"/>
    <w:rsid w:val="00C04FFE"/>
    <w:rsid w:val="00C05226"/>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221"/>
    <w:rsid w:val="00C158E9"/>
    <w:rsid w:val="00C160A1"/>
    <w:rsid w:val="00C16987"/>
    <w:rsid w:val="00C16D04"/>
    <w:rsid w:val="00C17335"/>
    <w:rsid w:val="00C179C4"/>
    <w:rsid w:val="00C17D3C"/>
    <w:rsid w:val="00C20A77"/>
    <w:rsid w:val="00C20C40"/>
    <w:rsid w:val="00C20E68"/>
    <w:rsid w:val="00C210CE"/>
    <w:rsid w:val="00C21A30"/>
    <w:rsid w:val="00C23DFD"/>
    <w:rsid w:val="00C25060"/>
    <w:rsid w:val="00C25FC8"/>
    <w:rsid w:val="00C26588"/>
    <w:rsid w:val="00C265EA"/>
    <w:rsid w:val="00C275A1"/>
    <w:rsid w:val="00C27FDD"/>
    <w:rsid w:val="00C3061F"/>
    <w:rsid w:val="00C30BBB"/>
    <w:rsid w:val="00C31457"/>
    <w:rsid w:val="00C314B2"/>
    <w:rsid w:val="00C31EC9"/>
    <w:rsid w:val="00C32030"/>
    <w:rsid w:val="00C32101"/>
    <w:rsid w:val="00C327B5"/>
    <w:rsid w:val="00C32E53"/>
    <w:rsid w:val="00C338F5"/>
    <w:rsid w:val="00C34AC7"/>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2AA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EE4"/>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7E7"/>
    <w:rsid w:val="00CA6329"/>
    <w:rsid w:val="00CA65C6"/>
    <w:rsid w:val="00CA796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255"/>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2A7"/>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6CF8"/>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4CD0"/>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063"/>
    <w:rsid w:val="00DB5CA5"/>
    <w:rsid w:val="00DB6D53"/>
    <w:rsid w:val="00DB7AB5"/>
    <w:rsid w:val="00DB7E29"/>
    <w:rsid w:val="00DB7F65"/>
    <w:rsid w:val="00DB7F9E"/>
    <w:rsid w:val="00DC0229"/>
    <w:rsid w:val="00DC123E"/>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688"/>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69D"/>
    <w:rsid w:val="00DE37BE"/>
    <w:rsid w:val="00DE3D84"/>
    <w:rsid w:val="00DE4696"/>
    <w:rsid w:val="00DE4BE1"/>
    <w:rsid w:val="00DE515C"/>
    <w:rsid w:val="00DE5711"/>
    <w:rsid w:val="00DE6E2B"/>
    <w:rsid w:val="00DE7829"/>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9E5"/>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462"/>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47C"/>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2"/>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4DE2"/>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342"/>
    <w:rsid w:val="00EF37C9"/>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53F"/>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590"/>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9E"/>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82F"/>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576"/>
    <w:rsid w:val="00FB5D95"/>
    <w:rsid w:val="00FB5EF4"/>
    <w:rsid w:val="00FB66BC"/>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21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BB8"/>
    <w:rsid w:val="00FF1C38"/>
    <w:rsid w:val="00FF1F11"/>
    <w:rsid w:val="00FF203A"/>
    <w:rsid w:val="00FF3486"/>
    <w:rsid w:val="00FF3518"/>
    <w:rsid w:val="00FF4CEF"/>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D421C"/>
    <w:pPr>
      <w:tabs>
        <w:tab w:val="left" w:pos="426"/>
        <w:tab w:val="left" w:pos="1100"/>
        <w:tab w:val="right" w:leader="dot" w:pos="9962"/>
      </w:tabs>
      <w:ind w:left="142" w:right="877" w:hanging="142"/>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C65EE4"/>
    <w:pPr>
      <w:tabs>
        <w:tab w:val="right" w:leader="dot" w:pos="9962"/>
      </w:tabs>
      <w:ind w:firstLine="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B7DC5"/>
    <w:rsid w:val="001E3B26"/>
    <w:rsid w:val="00204D4B"/>
    <w:rsid w:val="00225E41"/>
    <w:rsid w:val="00295EF8"/>
    <w:rsid w:val="002C1509"/>
    <w:rsid w:val="003661A6"/>
    <w:rsid w:val="003E3FC3"/>
    <w:rsid w:val="004161F4"/>
    <w:rsid w:val="00430113"/>
    <w:rsid w:val="00460C76"/>
    <w:rsid w:val="0046126A"/>
    <w:rsid w:val="004C214A"/>
    <w:rsid w:val="004D38E9"/>
    <w:rsid w:val="00652F79"/>
    <w:rsid w:val="006D77F5"/>
    <w:rsid w:val="0070008E"/>
    <w:rsid w:val="007260B3"/>
    <w:rsid w:val="00731487"/>
    <w:rsid w:val="00737C4C"/>
    <w:rsid w:val="0078514A"/>
    <w:rsid w:val="007C7D73"/>
    <w:rsid w:val="007F25D7"/>
    <w:rsid w:val="00810A25"/>
    <w:rsid w:val="00844DEE"/>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C64F5A"/>
    <w:rsid w:val="00CD27B6"/>
    <w:rsid w:val="00CF4CEB"/>
    <w:rsid w:val="00D1288B"/>
    <w:rsid w:val="00DE23D8"/>
    <w:rsid w:val="00E464CE"/>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Pages>
  <Words>1748</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11695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Renata Aukštikalnienė</cp:lastModifiedBy>
  <cp:revision>139</cp:revision>
  <cp:lastPrinted>2021-11-03T05:49:00Z</cp:lastPrinted>
  <dcterms:created xsi:type="dcterms:W3CDTF">2024-10-25T12:35:00Z</dcterms:created>
  <dcterms:modified xsi:type="dcterms:W3CDTF">2025-06-25T06:47:00Z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