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27279030" w:rsidR="00BD0869" w:rsidRPr="000B5A5C" w:rsidRDefault="00BD0869" w:rsidP="00BD0869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0B5A5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 xml:space="preserve">Pirkimo sąlygų </w:t>
      </w:r>
      <w:r w:rsidR="000B5A5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>7</w:t>
      </w:r>
      <w:r w:rsidRPr="000B5A5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5BA0AEE9" w14:textId="77777777" w:rsidR="00BD0869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0BF9C75D" w14:textId="77777777" w:rsidR="00466DF1" w:rsidRPr="00B01D49" w:rsidRDefault="00466DF1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B01D49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1D49">
        <w:rPr>
          <w:rFonts w:ascii="Times New Roman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</w:p>
    <w:p w14:paraId="7AE4A287" w14:textId="77777777" w:rsidR="00BD0869" w:rsidRPr="0002079F" w:rsidRDefault="00BD0869" w:rsidP="00BD0869">
      <w:pPr>
        <w:spacing w:after="0" w:line="240" w:lineRule="auto"/>
        <w:rPr>
          <w:b/>
          <w:bCs/>
        </w:rPr>
      </w:pPr>
    </w:p>
    <w:p w14:paraId="303C146C" w14:textId="37F40930" w:rsidR="00BD0869" w:rsidRDefault="00BD0869" w:rsidP="005D4FEC">
      <w:pPr>
        <w:pStyle w:val="Body2"/>
        <w:numPr>
          <w:ilvl w:val="0"/>
          <w:numId w:val="1"/>
        </w:numPr>
        <w:tabs>
          <w:tab w:val="left" w:pos="1134"/>
        </w:tabs>
        <w:spacing w:after="0"/>
        <w:ind w:left="0"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74B752E5" w14:textId="39D78DBC" w:rsidR="008C7786" w:rsidRPr="00EE692B" w:rsidRDefault="008C7786" w:rsidP="008C7786">
      <w:pPr>
        <w:pStyle w:val="Body2"/>
        <w:numPr>
          <w:ilvl w:val="0"/>
          <w:numId w:val="1"/>
        </w:numPr>
        <w:tabs>
          <w:tab w:val="left" w:pos="851"/>
        </w:tabs>
        <w:rPr>
          <w:rFonts w:cs="Times New Roman"/>
          <w:b/>
          <w:color w:val="auto"/>
          <w:sz w:val="24"/>
          <w:szCs w:val="24"/>
          <w:lang w:val="lt-LT"/>
        </w:rPr>
      </w:pPr>
      <w:r w:rsidRPr="00EE692B">
        <w:rPr>
          <w:rFonts w:cs="Times New Roman"/>
          <w:b/>
          <w:color w:val="auto"/>
          <w:sz w:val="24"/>
          <w:szCs w:val="24"/>
          <w:lang w:val="lt-LT"/>
        </w:rPr>
        <w:t xml:space="preserve">Maksimali šiam pirkimui skirta lėšų suma negali viršyti </w:t>
      </w:r>
      <w:r w:rsidR="005D4FEC" w:rsidRPr="00EE692B">
        <w:rPr>
          <w:rFonts w:cs="Times New Roman"/>
          <w:b/>
          <w:color w:val="auto"/>
          <w:sz w:val="24"/>
          <w:szCs w:val="24"/>
          <w:lang w:val="lt-LT"/>
        </w:rPr>
        <w:t xml:space="preserve"> 34 930,00 </w:t>
      </w:r>
      <w:r w:rsidRPr="00EE692B">
        <w:rPr>
          <w:rFonts w:cs="Times New Roman"/>
          <w:b/>
          <w:color w:val="auto"/>
          <w:sz w:val="24"/>
          <w:szCs w:val="24"/>
          <w:lang w:val="lt-LT"/>
        </w:rPr>
        <w:t>Eur su PVM.</w:t>
      </w:r>
    </w:p>
    <w:p w14:paraId="0BE844FC" w14:textId="4E463917" w:rsidR="00BD0869" w:rsidRPr="0002079F" w:rsidRDefault="008C7786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3</w:t>
      </w:r>
      <w:r w:rsidR="00BD0869" w:rsidRPr="0002079F">
        <w:rPr>
          <w:rFonts w:cs="Times New Roman"/>
          <w:color w:val="auto"/>
          <w:sz w:val="24"/>
          <w:szCs w:val="24"/>
          <w:lang w:val="lt-LT"/>
        </w:rPr>
        <w:t xml:space="preserve">. Ekonomiškai naudingiausias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="00BD0869" w:rsidRPr="0002079F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="00BD0869" w:rsidRPr="0002079F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68AB318A" w14:textId="30DE5D0F" w:rsidR="00BD0869" w:rsidRPr="00C33E25" w:rsidRDefault="008C7786" w:rsidP="00BD0869">
      <w:pPr>
        <w:pStyle w:val="Body2"/>
        <w:ind w:firstLine="851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4</w:t>
      </w:r>
      <w:r w:rsidR="00BD0869" w:rsidRPr="0002079F">
        <w:rPr>
          <w:rFonts w:cs="Times New Roman"/>
          <w:color w:val="auto"/>
          <w:sz w:val="24"/>
          <w:szCs w:val="24"/>
          <w:lang w:val="lt-LT"/>
        </w:rPr>
        <w:t>. Pasiūlymų ekonominio naudingumo</w:t>
      </w:r>
      <w:r w:rsidR="00B01D49">
        <w:rPr>
          <w:rFonts w:cs="Times New Roman"/>
          <w:color w:val="auto"/>
          <w:sz w:val="24"/>
          <w:szCs w:val="24"/>
          <w:lang w:val="lt-LT"/>
        </w:rPr>
        <w:t xml:space="preserve"> (S)</w:t>
      </w:r>
      <w:r w:rsidR="00BD0869" w:rsidRPr="0002079F">
        <w:rPr>
          <w:rFonts w:cs="Times New Roman"/>
          <w:color w:val="auto"/>
          <w:sz w:val="24"/>
          <w:szCs w:val="24"/>
          <w:lang w:val="lt-LT"/>
        </w:rPr>
        <w:t xml:space="preserve"> vertinimas pagal </w:t>
      </w:r>
      <w:r w:rsidR="00B65F92">
        <w:rPr>
          <w:rFonts w:cs="Times New Roman"/>
          <w:color w:val="auto"/>
          <w:sz w:val="24"/>
          <w:szCs w:val="24"/>
          <w:lang w:val="lt-LT"/>
        </w:rPr>
        <w:t xml:space="preserve">Aktyvios prevencinės sistemos rūkymo ir garinimo atvejų detekcijai bei informavimui realiu laiku </w:t>
      </w:r>
      <w:r w:rsidR="00EA3ED8">
        <w:rPr>
          <w:rFonts w:cs="Times New Roman"/>
          <w:color w:val="auto"/>
          <w:sz w:val="24"/>
          <w:szCs w:val="24"/>
          <w:lang w:val="lt-LT"/>
        </w:rPr>
        <w:t xml:space="preserve">kainos </w:t>
      </w:r>
      <w:r w:rsidR="00BD0869" w:rsidRPr="0002079F">
        <w:rPr>
          <w:rFonts w:cs="Times New Roman"/>
          <w:color w:val="auto"/>
          <w:sz w:val="24"/>
          <w:szCs w:val="24"/>
          <w:lang w:val="lt-LT"/>
        </w:rPr>
        <w:t>(C)</w:t>
      </w:r>
      <w:r w:rsidR="00EE7047">
        <w:rPr>
          <w:rFonts w:cs="Times New Roman"/>
          <w:color w:val="auto"/>
          <w:sz w:val="24"/>
          <w:szCs w:val="24"/>
          <w:lang w:val="lt-LT"/>
        </w:rPr>
        <w:t xml:space="preserve">, </w:t>
      </w:r>
      <w:r w:rsidR="00EA3ED8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Start w:id="3" w:name="_Hlk201063488"/>
      <w:r w:rsidR="00EE7047" w:rsidRPr="00EE7047">
        <w:rPr>
          <w:rFonts w:cs="Times New Roman"/>
          <w:color w:val="auto"/>
          <w:sz w:val="24"/>
          <w:szCs w:val="24"/>
          <w:lang w:val="lt-LT"/>
        </w:rPr>
        <w:t>pristatymo termin</w:t>
      </w:r>
      <w:r w:rsidR="00EE7047">
        <w:rPr>
          <w:rFonts w:cs="Times New Roman"/>
          <w:color w:val="auto"/>
          <w:sz w:val="24"/>
          <w:szCs w:val="24"/>
          <w:lang w:val="lt-LT"/>
        </w:rPr>
        <w:t>o</w:t>
      </w:r>
      <w:r w:rsidR="00EE7047" w:rsidRPr="00EE7047">
        <w:rPr>
          <w:rFonts w:cs="Times New Roman"/>
          <w:color w:val="auto"/>
          <w:sz w:val="24"/>
          <w:szCs w:val="24"/>
          <w:lang w:val="lt-LT"/>
        </w:rPr>
        <w:t>, dienomis</w:t>
      </w:r>
      <w:r w:rsidR="00EE7047">
        <w:rPr>
          <w:rFonts w:cs="Times New Roman"/>
          <w:color w:val="auto"/>
          <w:sz w:val="24"/>
          <w:szCs w:val="24"/>
          <w:lang w:val="lt-LT"/>
        </w:rPr>
        <w:t xml:space="preserve"> (T) </w:t>
      </w:r>
      <w:r w:rsidR="00EE7047" w:rsidRPr="00EE7047">
        <w:rPr>
          <w:rFonts w:cs="Times New Roman"/>
          <w:color w:val="auto"/>
          <w:sz w:val="24"/>
          <w:szCs w:val="24"/>
          <w:lang w:val="lt-LT"/>
        </w:rPr>
        <w:t xml:space="preserve">ir </w:t>
      </w:r>
      <w:bookmarkEnd w:id="3"/>
      <w:r w:rsidR="00723EB2">
        <w:rPr>
          <w:rFonts w:cs="Times New Roman"/>
          <w:color w:val="auto"/>
          <w:sz w:val="24"/>
          <w:szCs w:val="24"/>
          <w:lang w:val="lt-LT"/>
        </w:rPr>
        <w:t xml:space="preserve">akumuliatoriaus </w:t>
      </w:r>
      <w:r w:rsidR="00EE7047" w:rsidRPr="00EE7047">
        <w:rPr>
          <w:rFonts w:cs="Times New Roman"/>
          <w:color w:val="auto"/>
          <w:sz w:val="24"/>
          <w:szCs w:val="24"/>
          <w:lang w:val="lt-LT"/>
        </w:rPr>
        <w:t>veikimo trukmės, savaitėmis</w:t>
      </w:r>
      <w:r w:rsidR="00EA3ED8" w:rsidRPr="00EE7047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8C5639" w:rsidRPr="00EE7047">
        <w:rPr>
          <w:rFonts w:cs="Times New Roman"/>
          <w:color w:val="auto"/>
          <w:sz w:val="24"/>
          <w:szCs w:val="24"/>
          <w:lang w:val="lt-LT"/>
        </w:rPr>
        <w:t>(</w:t>
      </w:r>
      <w:r w:rsidR="00B65F92">
        <w:rPr>
          <w:rFonts w:cs="Times New Roman"/>
          <w:color w:val="auto"/>
          <w:sz w:val="24"/>
          <w:szCs w:val="24"/>
          <w:lang w:val="lt-LT"/>
        </w:rPr>
        <w:t>B</w:t>
      </w:r>
      <w:r w:rsidR="008C5639" w:rsidRPr="00EE7047">
        <w:rPr>
          <w:rFonts w:cs="Times New Roman"/>
          <w:color w:val="auto"/>
          <w:sz w:val="24"/>
          <w:szCs w:val="24"/>
          <w:lang w:val="lt-LT"/>
        </w:rPr>
        <w:t>)</w:t>
      </w:r>
      <w:r w:rsidR="00EA3ED8" w:rsidRPr="00EE7047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BD0869" w:rsidRPr="00EE7047">
        <w:rPr>
          <w:rFonts w:cs="Times New Roman"/>
          <w:color w:val="auto"/>
          <w:sz w:val="24"/>
          <w:szCs w:val="24"/>
          <w:lang w:val="lt-LT"/>
        </w:rPr>
        <w:t>kriterijų santykį:</w:t>
      </w:r>
      <w:r w:rsidR="00BD0869" w:rsidRPr="00C33E25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96"/>
        <w:gridCol w:w="3714"/>
      </w:tblGrid>
      <w:tr w:rsidR="00FD35E9" w:rsidRPr="00FD35E9" w14:paraId="67521F3D" w14:textId="77777777" w:rsidTr="00723EB2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844F" w14:textId="77777777" w:rsidR="00FD35E9" w:rsidRPr="005E5530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B074" w14:textId="77777777" w:rsidR="00FD35E9" w:rsidRPr="005E5530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Lyginamasis svoris ekonominio naudingumo įvertinime</w:t>
            </w:r>
          </w:p>
        </w:tc>
      </w:tr>
      <w:tr w:rsidR="00FD35E9" w:rsidRPr="00FD35E9" w14:paraId="6057ED08" w14:textId="77777777" w:rsidTr="00723EB2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63D7" w14:textId="77777777" w:rsidR="00FD35E9" w:rsidRPr="00FD35E9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Pirmas kriterijus (C) – Pasiūlymo kaina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128A" w14:textId="0E30A3BF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EE70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D35E9" w:rsidRPr="00FD35E9" w14:paraId="2834A980" w14:textId="77777777" w:rsidTr="00723EB2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2EE3" w14:textId="530B373E" w:rsidR="00FD35E9" w:rsidRPr="00FD35E9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Antras kriterijus (</w:t>
            </w:r>
            <w:r w:rsidR="00EE704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r w:rsidR="00EA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047">
              <w:rPr>
                <w:rFonts w:ascii="Times New Roman" w:hAnsi="Times New Roman" w:cs="Times New Roman"/>
                <w:sz w:val="24"/>
                <w:szCs w:val="24"/>
              </w:rPr>
              <w:t>pristatymo terminas, dienomis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9247" w14:textId="1C1220D4" w:rsidR="00FD35E9" w:rsidRPr="00FD35E9" w:rsidRDefault="00934A94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35E9" w:rsidRPr="00FD35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E70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E7047" w:rsidRPr="00FD35E9" w14:paraId="25B0FFBE" w14:textId="77777777" w:rsidTr="00723EB2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6B4D9" w14:textId="3CC411B3" w:rsidR="00EE7047" w:rsidRPr="00FD35E9" w:rsidRDefault="00EE7047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Trečias kriterijus</w:t>
            </w:r>
            <w:r w:rsidR="00723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- </w:t>
            </w:r>
            <w:bookmarkStart w:id="4" w:name="_Hlk201322292"/>
            <w:r w:rsidR="00723EB2">
              <w:rPr>
                <w:rFonts w:ascii="Times New Roman" w:hAnsi="Times New Roman" w:cs="Times New Roman"/>
                <w:sz w:val="24"/>
                <w:szCs w:val="24"/>
              </w:rPr>
              <w:t>akumuliatoriaus</w:t>
            </w:r>
            <w:r w:rsidRPr="00EE7047">
              <w:rPr>
                <w:rFonts w:ascii="Times New Roman" w:hAnsi="Times New Roman" w:cs="Times New Roman"/>
                <w:sz w:val="24"/>
                <w:szCs w:val="24"/>
              </w:rPr>
              <w:t xml:space="preserve"> veikimo trukmė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savaitėmis</w:t>
            </w:r>
            <w:bookmarkEnd w:id="4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DFF8" w14:textId="2E3E4C98" w:rsidR="00EE7047" w:rsidRDefault="00EE7047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E7047">
              <w:rPr>
                <w:rFonts w:ascii="Times New Roman" w:hAnsi="Times New Roman" w:cs="Times New Roman"/>
                <w:sz w:val="24"/>
                <w:szCs w:val="24"/>
              </w:rPr>
              <w:t>=30</w:t>
            </w:r>
          </w:p>
        </w:tc>
      </w:tr>
    </w:tbl>
    <w:p w14:paraId="71D37CCE" w14:textId="77777777" w:rsidR="00FD35E9" w:rsidRPr="00306660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6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5967E3EB" w14:textId="18DD8A51" w:rsidR="00FD35E9" w:rsidRPr="00306660" w:rsidRDefault="008C7786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. 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visų kriterijų </w:t>
      </w:r>
      <w:r w:rsidR="00FD35E9" w:rsidRPr="00306660">
        <w:rPr>
          <w:rFonts w:ascii="Times New Roman" w:hAnsi="Times New Roman" w:cs="Times New Roman"/>
          <w:sz w:val="24"/>
          <w:szCs w:val="24"/>
        </w:rPr>
        <w:t>balus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019F9C98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CC0DF89" w14:textId="5A5FB880" w:rsidR="00FD35E9" w:rsidRPr="00DB0195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S=C+T+B</m:t>
          </m:r>
        </m:oMath>
      </m:oMathPara>
    </w:p>
    <w:p w14:paraId="2835E399" w14:textId="77777777" w:rsidR="00DB0195" w:rsidRPr="00306660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E4C5745" w14:textId="304AAAE1" w:rsidR="00FD35E9" w:rsidRPr="00306660" w:rsidRDefault="008C7786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35E9" w:rsidRPr="00306660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ir vertinamo pasiūlymo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61BCDD5D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58516D2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306660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7DC94E8D" w14:textId="77777777" w:rsidR="00FD35E9" w:rsidRPr="00306660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2ED77661" w14:textId="45841D20" w:rsidR="00FD35E9" w:rsidRDefault="008C7786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1322555"/>
      <w:r>
        <w:rPr>
          <w:rFonts w:ascii="Times New Roman" w:hAnsi="Times New Roman" w:cs="Times New Roman"/>
          <w:sz w:val="24"/>
          <w:szCs w:val="24"/>
        </w:rPr>
        <w:t>7</w:t>
      </w:r>
      <w:r w:rsidR="00FD35E9" w:rsidRPr="000C48F4">
        <w:rPr>
          <w:rFonts w:ascii="Times New Roman" w:hAnsi="Times New Roman" w:cs="Times New Roman"/>
          <w:sz w:val="24"/>
          <w:szCs w:val="24"/>
        </w:rPr>
        <w:t>.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  </w:t>
      </w:r>
      <w:r w:rsidR="00EA3ED8">
        <w:rPr>
          <w:rFonts w:ascii="Times New Roman" w:hAnsi="Times New Roman" w:cs="Times New Roman"/>
          <w:sz w:val="24"/>
          <w:szCs w:val="24"/>
        </w:rPr>
        <w:t xml:space="preserve">Balai už </w:t>
      </w:r>
      <w:r w:rsidR="00EE7047">
        <w:rPr>
          <w:rFonts w:ascii="Times New Roman" w:hAnsi="Times New Roman" w:cs="Times New Roman"/>
          <w:sz w:val="24"/>
          <w:szCs w:val="24"/>
        </w:rPr>
        <w:t xml:space="preserve">prekių pristatymo </w:t>
      </w:r>
      <w:r w:rsidR="00EA3ED8" w:rsidRPr="00EA3ED8">
        <w:rPr>
          <w:rFonts w:ascii="Times New Roman" w:hAnsi="Times New Roman" w:cs="Times New Roman"/>
          <w:sz w:val="24"/>
          <w:szCs w:val="24"/>
        </w:rPr>
        <w:t>termino trukm</w:t>
      </w:r>
      <w:r w:rsidR="00EA3ED8">
        <w:rPr>
          <w:rFonts w:ascii="Times New Roman" w:hAnsi="Times New Roman" w:cs="Times New Roman"/>
          <w:sz w:val="24"/>
          <w:szCs w:val="24"/>
        </w:rPr>
        <w:t>ę</w:t>
      </w:r>
      <w:r w:rsidR="00EA3ED8" w:rsidRPr="00EA3ED8">
        <w:rPr>
          <w:rFonts w:ascii="Times New Roman" w:hAnsi="Times New Roman" w:cs="Times New Roman"/>
          <w:sz w:val="24"/>
          <w:szCs w:val="24"/>
        </w:rPr>
        <w:t xml:space="preserve">, </w:t>
      </w:r>
      <w:r w:rsidR="00EE7047">
        <w:rPr>
          <w:rFonts w:ascii="Times New Roman" w:hAnsi="Times New Roman" w:cs="Times New Roman"/>
          <w:sz w:val="24"/>
          <w:szCs w:val="24"/>
        </w:rPr>
        <w:t>dienomi</w:t>
      </w:r>
      <w:r w:rsidR="00EA3ED8" w:rsidRPr="00EA3ED8">
        <w:rPr>
          <w:rFonts w:ascii="Times New Roman" w:hAnsi="Times New Roman" w:cs="Times New Roman"/>
          <w:sz w:val="24"/>
          <w:szCs w:val="24"/>
        </w:rPr>
        <w:t>s</w:t>
      </w:r>
      <w:r w:rsidR="006436E9">
        <w:rPr>
          <w:rFonts w:ascii="Times New Roman" w:hAnsi="Times New Roman" w:cs="Times New Roman"/>
          <w:sz w:val="24"/>
          <w:szCs w:val="24"/>
        </w:rPr>
        <w:t xml:space="preserve"> (G)</w:t>
      </w:r>
      <w:r w:rsidR="008751D3">
        <w:rPr>
          <w:rFonts w:ascii="Times New Roman" w:hAnsi="Times New Roman" w:cs="Times New Roman"/>
          <w:sz w:val="24"/>
          <w:szCs w:val="24"/>
        </w:rPr>
        <w:t>,</w:t>
      </w:r>
      <w:r w:rsidR="00913591">
        <w:rPr>
          <w:rFonts w:ascii="Times New Roman" w:hAnsi="Times New Roman" w:cs="Times New Roman"/>
          <w:sz w:val="24"/>
          <w:szCs w:val="24"/>
        </w:rPr>
        <w:t xml:space="preserve"> 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 priskiriami taip: </w:t>
      </w:r>
    </w:p>
    <w:p w14:paraId="5400EC93" w14:textId="77777777" w:rsidR="00505F9F" w:rsidRPr="00306660" w:rsidRDefault="00505F9F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938"/>
        <w:gridCol w:w="1276"/>
      </w:tblGrid>
      <w:tr w:rsidR="00EB2CBC" w:rsidRPr="00306660" w14:paraId="60A8BF98" w14:textId="77777777" w:rsidTr="00723EB2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EB2CBC" w:rsidRPr="00723EB2" w:rsidRDefault="00EB2CBC" w:rsidP="00723EB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3A8DFDB" w14:textId="77777777" w:rsidR="00EB2CBC" w:rsidRPr="00723EB2" w:rsidRDefault="00EB2CBC" w:rsidP="00723EB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678F5276" w:rsidR="00EB2CBC" w:rsidRPr="00723EB2" w:rsidRDefault="00EA3ED8" w:rsidP="00723EB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Tiekėjo</w:t>
            </w:r>
            <w:r w:rsidR="00B65F92" w:rsidRPr="00723E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siūloma Aktyvios prevencinės sistemos rūkymo ir garinimo atvejų detekcijai bei informavimui realiu laiku</w:t>
            </w:r>
            <w:r w:rsidRPr="00723E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65F92" w:rsidRPr="00723E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pristatymo </w:t>
            </w:r>
            <w:r w:rsidRPr="00723E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trukmė, mėnesiais (</w:t>
            </w:r>
            <w:r w:rsidR="00B65F92" w:rsidRPr="00723E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723E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2912" w14:textId="099FE1CE" w:rsidR="006436E9" w:rsidRPr="00723EB2" w:rsidRDefault="00EB2CBC" w:rsidP="00723EB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b/>
                <w:bCs/>
                <w:color w:val="000000"/>
                <w:spacing w:val="-5"/>
                <w:sz w:val="24"/>
                <w:szCs w:val="24"/>
              </w:rPr>
              <w:t>Skiriami balai</w:t>
            </w:r>
            <w:r w:rsidR="00EA3ED8" w:rsidRPr="00723EB2">
              <w:rPr>
                <w:rFonts w:asciiTheme="majorBidi" w:hAnsiTheme="majorBidi" w:cstheme="majorBidi"/>
                <w:b/>
                <w:bCs/>
                <w:color w:val="000000"/>
                <w:spacing w:val="-5"/>
                <w:sz w:val="24"/>
                <w:szCs w:val="24"/>
              </w:rPr>
              <w:t xml:space="preserve"> (Y)</w:t>
            </w:r>
          </w:p>
          <w:p w14:paraId="11EA32BA" w14:textId="35BACD28" w:rsidR="00EB2CBC" w:rsidRPr="00723EB2" w:rsidRDefault="00EB2CBC" w:rsidP="00723EB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EE7047" w:rsidRPr="00306660" w14:paraId="49296CB1" w14:textId="77777777" w:rsidTr="00723EB2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9D22B6B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76481A9D" w:rsidR="00EE7047" w:rsidRPr="00723EB2" w:rsidRDefault="00EE7047" w:rsidP="00EE70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Ne ilgesnis nei 29 kalendorinių dienų (nuo sutarties įsigaliojimo)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1ADF4D9B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</w:tr>
      <w:tr w:rsidR="00EE7047" w:rsidRPr="00306660" w14:paraId="02370905" w14:textId="77777777" w:rsidTr="00723EB2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D422" w14:textId="2ED87293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17E8" w14:textId="6344AA21" w:rsidR="00EE7047" w:rsidRPr="00723EB2" w:rsidRDefault="00EE7047" w:rsidP="00EE70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Nuo 30 iki 59 kalendorinių dienų (nuo sutarties įsigaliojimo)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0D5B" w14:textId="36C8DC38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EE7047" w:rsidRPr="00306660" w14:paraId="1703140B" w14:textId="77777777" w:rsidTr="00723EB2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02A2" w14:textId="3C88AB32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E794" w14:textId="10360CE7" w:rsidR="00EE7047" w:rsidRPr="00723EB2" w:rsidRDefault="00EE7047" w:rsidP="00EE7047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60 kalendorinių dienų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F3BA" w14:textId="08C479E8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14:paraId="36D7414F" w14:textId="77777777" w:rsidR="008E46E4" w:rsidRDefault="008E46E4" w:rsidP="00021C8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2F6918AE" w14:textId="04635AAF" w:rsidR="000A0D45" w:rsidRPr="00B36EB6" w:rsidRDefault="000A0D45" w:rsidP="000A0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EE692B">
        <w:rPr>
          <w:rFonts w:ascii="Times New Roman" w:hAnsi="Times New Roman"/>
          <w:b/>
          <w:bCs/>
          <w:i/>
          <w:iCs/>
          <w:color w:val="4472C4" w:themeColor="accent1"/>
          <w:sz w:val="24"/>
          <w:szCs w:val="24"/>
        </w:rPr>
        <w:t>Tiekėjas savo pasiūlyme turi nurodyti siūlomo</w:t>
      </w:r>
      <w:r w:rsidR="00B65F92" w:rsidRPr="00EE692B">
        <w:rPr>
          <w:rFonts w:ascii="Times New Roman" w:hAnsi="Times New Roman"/>
          <w:b/>
          <w:bCs/>
          <w:i/>
          <w:iCs/>
          <w:color w:val="4472C4" w:themeColor="accent1"/>
          <w:sz w:val="24"/>
          <w:szCs w:val="24"/>
        </w:rPr>
        <w:t xml:space="preserve"> pristatymo termino </w:t>
      </w:r>
      <w:r w:rsidRPr="00EE692B">
        <w:rPr>
          <w:rFonts w:ascii="Times New Roman" w:hAnsi="Times New Roman"/>
          <w:b/>
          <w:bCs/>
          <w:i/>
          <w:iCs/>
          <w:color w:val="4472C4" w:themeColor="accent1"/>
          <w:sz w:val="24"/>
          <w:szCs w:val="24"/>
        </w:rPr>
        <w:t>reikšmę.</w:t>
      </w:r>
      <w:r w:rsidR="008B60A3" w:rsidRPr="00EE692B">
        <w:rPr>
          <w:rFonts w:ascii="Times New Roman" w:hAnsi="Times New Roman"/>
          <w:i/>
          <w:iCs/>
          <w:color w:val="4472C4" w:themeColor="accent1"/>
          <w:sz w:val="24"/>
          <w:szCs w:val="24"/>
        </w:rPr>
        <w:t xml:space="preserve"> </w:t>
      </w:r>
      <w:r w:rsidR="008B60A3" w:rsidRPr="00B36EB6">
        <w:rPr>
          <w:rFonts w:ascii="Times New Roman" w:hAnsi="Times New Roman"/>
          <w:i/>
          <w:iCs/>
          <w:sz w:val="24"/>
          <w:szCs w:val="24"/>
        </w:rPr>
        <w:t xml:space="preserve">Jeigu tiekėjas pasiūlyme </w:t>
      </w:r>
      <w:r w:rsidR="008B60A3">
        <w:rPr>
          <w:rFonts w:ascii="Times New Roman" w:hAnsi="Times New Roman"/>
          <w:i/>
          <w:iCs/>
          <w:sz w:val="24"/>
          <w:szCs w:val="24"/>
        </w:rPr>
        <w:t>neįrašys pristatymo termino</w:t>
      </w:r>
      <w:r w:rsidR="008B60A3" w:rsidRPr="00B36EB6">
        <w:rPr>
          <w:rFonts w:ascii="Times New Roman" w:hAnsi="Times New Roman"/>
          <w:i/>
          <w:iCs/>
          <w:sz w:val="24"/>
          <w:szCs w:val="24"/>
        </w:rPr>
        <w:t>, jam bus skiriama 0 balų</w:t>
      </w:r>
      <w:r w:rsidR="008B60A3">
        <w:rPr>
          <w:rFonts w:ascii="Times New Roman" w:hAnsi="Times New Roman"/>
          <w:i/>
          <w:iCs/>
          <w:sz w:val="24"/>
          <w:szCs w:val="24"/>
        </w:rPr>
        <w:t>.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Jei tiekėjas, pasiūlyme nurodys, kad siūlo </w:t>
      </w:r>
      <w:r w:rsidR="00B65F92">
        <w:rPr>
          <w:rFonts w:ascii="Times New Roman" w:hAnsi="Times New Roman"/>
          <w:i/>
          <w:iCs/>
          <w:sz w:val="24"/>
          <w:szCs w:val="24"/>
        </w:rPr>
        <w:t xml:space="preserve">ilgesnį, nei 60 kalendorinių dienų pristatymo terminą, </w:t>
      </w:r>
      <w:r w:rsidRPr="00B36EB6">
        <w:rPr>
          <w:rFonts w:ascii="Times New Roman" w:hAnsi="Times New Roman"/>
          <w:i/>
          <w:iCs/>
          <w:sz w:val="24"/>
          <w:szCs w:val="24"/>
        </w:rPr>
        <w:t>pasiūlymo vertinimo metu jam bus skiriam</w:t>
      </w:r>
      <w:r w:rsidR="0032661A" w:rsidRPr="00B36EB6">
        <w:rPr>
          <w:rFonts w:ascii="Times New Roman" w:hAnsi="Times New Roman"/>
          <w:i/>
          <w:iCs/>
          <w:sz w:val="24"/>
          <w:szCs w:val="24"/>
        </w:rPr>
        <w:t>a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3145A">
        <w:rPr>
          <w:rFonts w:ascii="Times New Roman" w:hAnsi="Times New Roman"/>
          <w:i/>
          <w:iCs/>
          <w:sz w:val="24"/>
          <w:szCs w:val="24"/>
        </w:rPr>
        <w:t>0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bal</w:t>
      </w:r>
      <w:r w:rsidR="00B36EB6" w:rsidRPr="00B36EB6">
        <w:rPr>
          <w:rFonts w:ascii="Times New Roman" w:hAnsi="Times New Roman"/>
          <w:i/>
          <w:iCs/>
          <w:sz w:val="24"/>
          <w:szCs w:val="24"/>
        </w:rPr>
        <w:t>ų</w:t>
      </w:r>
      <w:r w:rsidRPr="00B36EB6">
        <w:rPr>
          <w:rFonts w:ascii="Times New Roman" w:hAnsi="Times New Roman"/>
          <w:i/>
          <w:iCs/>
          <w:sz w:val="24"/>
          <w:szCs w:val="24"/>
        </w:rPr>
        <w:t>.</w:t>
      </w:r>
      <w:r w:rsidR="00747894" w:rsidRPr="00B36E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36EB6" w:rsidRPr="00B36EB6">
        <w:rPr>
          <w:rFonts w:ascii="Times New Roman" w:hAnsi="Times New Roman"/>
          <w:i/>
          <w:iCs/>
          <w:sz w:val="24"/>
          <w:szCs w:val="24"/>
        </w:rPr>
        <w:t xml:space="preserve">Jeigu tiekėjas pasiūlys </w:t>
      </w:r>
      <w:r w:rsidR="00B65F92">
        <w:rPr>
          <w:rFonts w:ascii="Times New Roman" w:hAnsi="Times New Roman"/>
          <w:i/>
          <w:iCs/>
          <w:sz w:val="24"/>
          <w:szCs w:val="24"/>
        </w:rPr>
        <w:t>nuo 30 iki 59 kalendorinių dienų</w:t>
      </w:r>
      <w:r w:rsidR="00B36EB6" w:rsidRPr="00B36E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65F92">
        <w:rPr>
          <w:rFonts w:ascii="Times New Roman" w:hAnsi="Times New Roman"/>
          <w:i/>
          <w:iCs/>
          <w:sz w:val="24"/>
          <w:szCs w:val="24"/>
        </w:rPr>
        <w:t xml:space="preserve">pristatymo terminą, </w:t>
      </w:r>
      <w:r w:rsidR="00B36EB6" w:rsidRPr="00B36EB6">
        <w:rPr>
          <w:rFonts w:ascii="Times New Roman" w:hAnsi="Times New Roman"/>
          <w:i/>
          <w:iCs/>
          <w:sz w:val="24"/>
          <w:szCs w:val="24"/>
        </w:rPr>
        <w:t>jam bus skiriama 1</w:t>
      </w:r>
      <w:r w:rsidR="00B65F92">
        <w:rPr>
          <w:rFonts w:ascii="Times New Roman" w:hAnsi="Times New Roman"/>
          <w:i/>
          <w:iCs/>
          <w:sz w:val="24"/>
          <w:szCs w:val="24"/>
        </w:rPr>
        <w:t>5</w:t>
      </w:r>
      <w:r w:rsidR="00B36EB6" w:rsidRPr="00B36EB6">
        <w:rPr>
          <w:rFonts w:ascii="Times New Roman" w:hAnsi="Times New Roman"/>
          <w:i/>
          <w:iCs/>
          <w:sz w:val="24"/>
          <w:szCs w:val="24"/>
        </w:rPr>
        <w:t xml:space="preserve"> balų.</w:t>
      </w:r>
      <w:r w:rsidR="00B65F92">
        <w:rPr>
          <w:rFonts w:ascii="Times New Roman" w:hAnsi="Times New Roman"/>
          <w:i/>
          <w:iCs/>
          <w:sz w:val="24"/>
          <w:szCs w:val="24"/>
        </w:rPr>
        <w:t xml:space="preserve"> Jeigu tiekėjo siūlomas Prekės pristatymo terminas bus trumpesnis nei 29 kalendorinės dienos, jam bus skiriama 30 balų. </w:t>
      </w:r>
      <w:r w:rsidR="00B36EB6" w:rsidRPr="00B36E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47894" w:rsidRPr="00B36EB6">
        <w:rPr>
          <w:rFonts w:ascii="Times New Roman" w:hAnsi="Times New Roman"/>
          <w:i/>
          <w:iCs/>
          <w:sz w:val="24"/>
          <w:szCs w:val="24"/>
        </w:rPr>
        <w:t>.</w:t>
      </w:r>
    </w:p>
    <w:bookmarkEnd w:id="5"/>
    <w:p w14:paraId="11230044" w14:textId="77777777" w:rsidR="00747894" w:rsidRDefault="00747894" w:rsidP="000A0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150351" w14:textId="519F0C17" w:rsidR="00EE7047" w:rsidRDefault="008C7786" w:rsidP="00EE704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E7047" w:rsidRPr="000C48F4">
        <w:rPr>
          <w:rFonts w:ascii="Times New Roman" w:hAnsi="Times New Roman" w:cs="Times New Roman"/>
          <w:sz w:val="24"/>
          <w:szCs w:val="24"/>
        </w:rPr>
        <w:t>.</w:t>
      </w:r>
      <w:r w:rsidR="00EE7047" w:rsidRPr="00306660">
        <w:rPr>
          <w:rFonts w:ascii="Times New Roman" w:hAnsi="Times New Roman" w:cs="Times New Roman"/>
          <w:sz w:val="24"/>
          <w:szCs w:val="24"/>
        </w:rPr>
        <w:t xml:space="preserve">  </w:t>
      </w:r>
      <w:r w:rsidR="00EE7047">
        <w:rPr>
          <w:rFonts w:ascii="Times New Roman" w:hAnsi="Times New Roman" w:cs="Times New Roman"/>
          <w:sz w:val="24"/>
          <w:szCs w:val="24"/>
        </w:rPr>
        <w:t xml:space="preserve">Balai už </w:t>
      </w:r>
      <w:r w:rsidR="00B65F92">
        <w:rPr>
          <w:rFonts w:ascii="Times New Roman" w:hAnsi="Times New Roman" w:cs="Times New Roman"/>
          <w:sz w:val="24"/>
          <w:szCs w:val="24"/>
        </w:rPr>
        <w:t>Prekės</w:t>
      </w:r>
      <w:r w:rsidR="00EE7047">
        <w:rPr>
          <w:rFonts w:ascii="Times New Roman" w:hAnsi="Times New Roman" w:cs="Times New Roman"/>
          <w:sz w:val="24"/>
          <w:szCs w:val="24"/>
        </w:rPr>
        <w:t xml:space="preserve"> </w:t>
      </w:r>
      <w:r w:rsidR="00723EB2">
        <w:rPr>
          <w:rFonts w:ascii="Times New Roman" w:hAnsi="Times New Roman" w:cs="Times New Roman"/>
          <w:sz w:val="24"/>
          <w:szCs w:val="24"/>
        </w:rPr>
        <w:t xml:space="preserve">akumuliatoriaus </w:t>
      </w:r>
      <w:r w:rsidR="00EE7047" w:rsidRPr="00EE7047">
        <w:rPr>
          <w:rFonts w:ascii="Times New Roman" w:hAnsi="Times New Roman" w:cs="Times New Roman"/>
          <w:sz w:val="24"/>
          <w:szCs w:val="24"/>
        </w:rPr>
        <w:t xml:space="preserve">veikimo trukmė, savaitėmis </w:t>
      </w:r>
      <w:r w:rsidR="00EE7047">
        <w:rPr>
          <w:rFonts w:ascii="Times New Roman" w:hAnsi="Times New Roman" w:cs="Times New Roman"/>
          <w:sz w:val="24"/>
          <w:szCs w:val="24"/>
        </w:rPr>
        <w:t xml:space="preserve">(B), </w:t>
      </w:r>
      <w:r w:rsidR="00EE7047" w:rsidRPr="00306660">
        <w:rPr>
          <w:rFonts w:ascii="Times New Roman" w:hAnsi="Times New Roman" w:cs="Times New Roman"/>
          <w:sz w:val="24"/>
          <w:szCs w:val="24"/>
        </w:rPr>
        <w:t xml:space="preserve"> priskiriami taip: </w:t>
      </w:r>
    </w:p>
    <w:p w14:paraId="702D2CFD" w14:textId="77777777" w:rsidR="00EE7047" w:rsidRPr="00306660" w:rsidRDefault="00EE7047" w:rsidP="00EE704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938"/>
        <w:gridCol w:w="1276"/>
      </w:tblGrid>
      <w:tr w:rsidR="00EE7047" w:rsidRPr="00306660" w14:paraId="6FCC1021" w14:textId="77777777" w:rsidTr="00723EB2">
        <w:trPr>
          <w:trHeight w:val="614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DBC7" w14:textId="77777777" w:rsidR="00EE7047" w:rsidRPr="005E5530" w:rsidRDefault="00EE7047" w:rsidP="006D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E553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Eil.</w:t>
            </w:r>
          </w:p>
          <w:p w14:paraId="4AB30A21" w14:textId="77777777" w:rsidR="00EE7047" w:rsidRPr="005E5530" w:rsidRDefault="00EE7047" w:rsidP="006D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E553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Nr.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27F9A" w14:textId="1C5A98C0" w:rsidR="00723EB2" w:rsidRPr="005E5530" w:rsidRDefault="00EE7047" w:rsidP="00723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Tiekėjo siūloma </w:t>
            </w:r>
            <w:r w:rsidR="000B5A5C" w:rsidRPr="005E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akumuliatoriaus</w:t>
            </w:r>
            <w:r w:rsidR="00B65F92" w:rsidRPr="005E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veikimo</w:t>
            </w:r>
            <w:r w:rsidRPr="005E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trukmė, mėnesiais (</w:t>
            </w:r>
            <w:r w:rsidR="00B65F92" w:rsidRPr="005E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5E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1986D9A" w14:textId="7DD24A6A" w:rsidR="00723EB2" w:rsidRPr="005E5530" w:rsidRDefault="00723EB2" w:rsidP="0072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9013" w14:textId="43B645E9" w:rsidR="00EE7047" w:rsidRPr="005E5530" w:rsidRDefault="00EE7047" w:rsidP="006D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E553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Skiriami balai (Z)</w:t>
            </w:r>
          </w:p>
          <w:p w14:paraId="39F10EA8" w14:textId="77777777" w:rsidR="00EE7047" w:rsidRPr="005E5530" w:rsidRDefault="00EE7047" w:rsidP="006D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E553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</w:p>
        </w:tc>
      </w:tr>
      <w:tr w:rsidR="00EE7047" w:rsidRPr="00306660" w14:paraId="1226AC1C" w14:textId="77777777" w:rsidTr="00723EB2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BEAC" w14:textId="77777777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898C" w14:textId="050EEF17" w:rsidR="00EE7047" w:rsidRPr="00723EB2" w:rsidRDefault="005E5530" w:rsidP="00EE70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Akumuliatoriaus </w:t>
            </w:r>
            <w:r w:rsidR="00EE7047" w:rsidRPr="00723EB2">
              <w:rPr>
                <w:rFonts w:asciiTheme="majorBidi" w:hAnsiTheme="majorBidi" w:cstheme="majorBidi"/>
                <w:sz w:val="24"/>
                <w:szCs w:val="24"/>
              </w:rPr>
              <w:t xml:space="preserve">8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savaičių</w:t>
            </w:r>
            <w:r w:rsidR="00EE7047" w:rsidRPr="00723EB2">
              <w:rPr>
                <w:rFonts w:asciiTheme="majorBidi" w:hAnsiTheme="majorBidi" w:cstheme="majorBidi"/>
                <w:sz w:val="24"/>
                <w:szCs w:val="24"/>
              </w:rPr>
              <w:t xml:space="preserve"> ir ilgesnė veikimo trukmė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po pilno įkrovimo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C17E" w14:textId="62CB1E2A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</w:tr>
      <w:tr w:rsidR="00EE7047" w:rsidRPr="00306660" w14:paraId="4C21788F" w14:textId="77777777" w:rsidTr="00723EB2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5D86" w14:textId="77777777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D618" w14:textId="1DA593C3" w:rsidR="00EE7047" w:rsidRPr="00723EB2" w:rsidRDefault="000B5A5C" w:rsidP="00EE70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Akumuliatoriaus</w:t>
            </w:r>
            <w:r w:rsidR="00EE7047" w:rsidRPr="00723EB2">
              <w:rPr>
                <w:rFonts w:asciiTheme="majorBidi" w:hAnsiTheme="majorBidi" w:cstheme="majorBidi"/>
                <w:sz w:val="24"/>
                <w:szCs w:val="24"/>
              </w:rPr>
              <w:t xml:space="preserve"> veikimo trukmė </w:t>
            </w:r>
            <w:r w:rsidR="005E5530">
              <w:rPr>
                <w:rFonts w:asciiTheme="majorBidi" w:hAnsiTheme="majorBidi" w:cstheme="majorBidi"/>
                <w:sz w:val="24"/>
                <w:szCs w:val="24"/>
              </w:rPr>
              <w:t xml:space="preserve">po pilno įkrovimo </w:t>
            </w:r>
            <w:r w:rsidR="00EE7047" w:rsidRPr="00723EB2">
              <w:rPr>
                <w:rFonts w:asciiTheme="majorBidi" w:hAnsiTheme="majorBidi" w:cstheme="majorBidi"/>
                <w:sz w:val="24"/>
                <w:szCs w:val="24"/>
              </w:rPr>
              <w:t>nuo 6 iki 8 savaičių (imtinai)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064C" w14:textId="3473899B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EE7047" w:rsidRPr="00306660" w14:paraId="31AB8629" w14:textId="77777777" w:rsidTr="00723EB2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F5D1" w14:textId="77777777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3409" w14:textId="0677A14B" w:rsidR="00EE7047" w:rsidRPr="00723EB2" w:rsidRDefault="000B5A5C" w:rsidP="00EE7047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Akumuliatoriaus</w:t>
            </w:r>
            <w:r w:rsidR="00EE7047" w:rsidRPr="00723EB2">
              <w:rPr>
                <w:rFonts w:asciiTheme="majorBidi" w:hAnsiTheme="majorBidi" w:cstheme="majorBidi"/>
                <w:sz w:val="24"/>
                <w:szCs w:val="24"/>
              </w:rPr>
              <w:t xml:space="preserve"> veikimo trukmė </w:t>
            </w:r>
            <w:r w:rsidR="005E5530">
              <w:rPr>
                <w:rFonts w:asciiTheme="majorBidi" w:hAnsiTheme="majorBidi" w:cstheme="majorBidi"/>
                <w:sz w:val="24"/>
                <w:szCs w:val="24"/>
              </w:rPr>
              <w:t xml:space="preserve">po pilno įkrovimo </w:t>
            </w:r>
            <w:r w:rsidR="00EE7047" w:rsidRPr="00723EB2">
              <w:rPr>
                <w:rFonts w:asciiTheme="majorBidi" w:hAnsiTheme="majorBidi" w:cstheme="majorBidi"/>
                <w:sz w:val="24"/>
                <w:szCs w:val="24"/>
              </w:rPr>
              <w:t>nuo 4 iki 6 savaičių (imtinai)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0055" w14:textId="7FF966E7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EE7047" w:rsidRPr="00306660" w14:paraId="3E509C6C" w14:textId="77777777" w:rsidTr="00723EB2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A0E" w14:textId="2EAD9AFF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5C63" w14:textId="03B586B0" w:rsidR="00EE7047" w:rsidRPr="00723EB2" w:rsidRDefault="000B5A5C" w:rsidP="00EE704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Akumuliatoriaus</w:t>
            </w:r>
            <w:r w:rsidR="00EE7047" w:rsidRPr="00723EB2">
              <w:rPr>
                <w:rFonts w:asciiTheme="majorBidi" w:hAnsiTheme="majorBidi" w:cstheme="majorBidi"/>
                <w:sz w:val="24"/>
                <w:szCs w:val="24"/>
              </w:rPr>
              <w:t xml:space="preserve"> veikimo trukmė</w:t>
            </w:r>
            <w:r w:rsidR="005E5530">
              <w:rPr>
                <w:rFonts w:asciiTheme="majorBidi" w:hAnsiTheme="majorBidi" w:cstheme="majorBidi"/>
                <w:sz w:val="24"/>
                <w:szCs w:val="24"/>
              </w:rPr>
              <w:t xml:space="preserve"> po pilno įkrovimo</w:t>
            </w:r>
            <w:r w:rsidR="00EE7047" w:rsidRPr="00723EB2">
              <w:rPr>
                <w:rFonts w:asciiTheme="majorBidi" w:hAnsiTheme="majorBidi" w:cstheme="majorBidi"/>
                <w:sz w:val="24"/>
                <w:szCs w:val="24"/>
              </w:rPr>
              <w:t xml:space="preserve"> iki 4 savaičių.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F883" w14:textId="3F5EB0B3" w:rsidR="00EE7047" w:rsidRPr="00723EB2" w:rsidRDefault="00EE7047" w:rsidP="00EE704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3EB2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14:paraId="1C469F19" w14:textId="77777777" w:rsidR="00EE7047" w:rsidRDefault="00EE7047" w:rsidP="00EE704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5C525181" w14:textId="625B3EFD" w:rsidR="00EE7047" w:rsidRPr="00B36EB6" w:rsidRDefault="00EE7047" w:rsidP="00EE704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B36EB6">
        <w:rPr>
          <w:rFonts w:ascii="Times New Roman" w:hAnsi="Times New Roman"/>
          <w:i/>
          <w:iCs/>
          <w:sz w:val="24"/>
          <w:szCs w:val="24"/>
        </w:rPr>
        <w:t xml:space="preserve">Tiekėjas savo pasiūlyme turi nurodyti vieną siūlomos </w:t>
      </w:r>
      <w:r w:rsidR="00723EB2">
        <w:rPr>
          <w:rFonts w:ascii="Times New Roman" w:hAnsi="Times New Roman"/>
          <w:i/>
          <w:iCs/>
          <w:sz w:val="24"/>
          <w:szCs w:val="24"/>
        </w:rPr>
        <w:t>akumuliatoriaus</w:t>
      </w:r>
      <w:r w:rsidR="00B65F92">
        <w:rPr>
          <w:rFonts w:ascii="Times New Roman" w:hAnsi="Times New Roman"/>
          <w:i/>
          <w:iCs/>
          <w:sz w:val="24"/>
          <w:szCs w:val="24"/>
        </w:rPr>
        <w:t xml:space="preserve"> veikimo trukmės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reikšmę. Jei tiekėjas, pasiūlyme nurodys, kad siūlo pvz.: </w:t>
      </w:r>
      <w:r w:rsidR="00B65F92">
        <w:rPr>
          <w:rFonts w:ascii="Times New Roman" w:hAnsi="Times New Roman"/>
          <w:i/>
          <w:iCs/>
          <w:sz w:val="24"/>
          <w:szCs w:val="24"/>
        </w:rPr>
        <w:t xml:space="preserve">8 ir daugiau savaičių </w:t>
      </w:r>
      <w:r w:rsidR="00723EB2">
        <w:rPr>
          <w:rFonts w:ascii="Times New Roman" w:hAnsi="Times New Roman"/>
          <w:i/>
          <w:iCs/>
          <w:sz w:val="24"/>
          <w:szCs w:val="24"/>
        </w:rPr>
        <w:t>akumuliatoriaus</w:t>
      </w:r>
      <w:r w:rsidR="00B65F92">
        <w:rPr>
          <w:rFonts w:ascii="Times New Roman" w:hAnsi="Times New Roman"/>
          <w:i/>
          <w:iCs/>
          <w:sz w:val="24"/>
          <w:szCs w:val="24"/>
        </w:rPr>
        <w:t xml:space="preserve"> veikimo trukmę, 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pasiūlymo vertinimo metu jam bus skiriama </w:t>
      </w:r>
      <w:r w:rsidR="005E5530">
        <w:rPr>
          <w:rFonts w:ascii="Times New Roman" w:hAnsi="Times New Roman"/>
          <w:i/>
          <w:iCs/>
          <w:sz w:val="24"/>
          <w:szCs w:val="24"/>
        </w:rPr>
        <w:t>30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balų. Jeigu tiekėjas pasiūlys </w:t>
      </w:r>
      <w:r w:rsidR="00723EB2">
        <w:rPr>
          <w:rFonts w:ascii="Times New Roman" w:hAnsi="Times New Roman"/>
          <w:i/>
          <w:iCs/>
          <w:sz w:val="24"/>
          <w:szCs w:val="24"/>
        </w:rPr>
        <w:t>akumuliatoriau</w:t>
      </w:r>
      <w:r w:rsidR="00B65F92">
        <w:rPr>
          <w:rFonts w:ascii="Times New Roman" w:hAnsi="Times New Roman"/>
          <w:i/>
          <w:iCs/>
          <w:sz w:val="24"/>
          <w:szCs w:val="24"/>
        </w:rPr>
        <w:t xml:space="preserve">s veikimo trukmę nuo 6 iki 8 savaičių (imtinai), 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jam bus skiriama </w:t>
      </w:r>
      <w:r w:rsidR="005E5530">
        <w:rPr>
          <w:rFonts w:ascii="Times New Roman" w:hAnsi="Times New Roman"/>
          <w:i/>
          <w:iCs/>
          <w:sz w:val="24"/>
          <w:szCs w:val="24"/>
        </w:rPr>
        <w:t>20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balų. </w:t>
      </w:r>
      <w:r w:rsidR="005E5530" w:rsidRPr="00B36EB6">
        <w:rPr>
          <w:rFonts w:ascii="Times New Roman" w:hAnsi="Times New Roman"/>
          <w:i/>
          <w:iCs/>
          <w:sz w:val="24"/>
          <w:szCs w:val="24"/>
        </w:rPr>
        <w:t xml:space="preserve">Jeigu tiekėjas pasiūlys </w:t>
      </w:r>
      <w:r w:rsidR="005E5530">
        <w:rPr>
          <w:rFonts w:ascii="Times New Roman" w:hAnsi="Times New Roman"/>
          <w:i/>
          <w:iCs/>
          <w:sz w:val="24"/>
          <w:szCs w:val="24"/>
        </w:rPr>
        <w:t xml:space="preserve">akumuliatoriaus veikimo trukmę nuo 4 iki 6 savaičių (imtinai), </w:t>
      </w:r>
      <w:r w:rsidR="005E5530" w:rsidRPr="00B36EB6">
        <w:rPr>
          <w:rFonts w:ascii="Times New Roman" w:hAnsi="Times New Roman"/>
          <w:i/>
          <w:iCs/>
          <w:sz w:val="24"/>
          <w:szCs w:val="24"/>
        </w:rPr>
        <w:t xml:space="preserve">jam bus skiriama </w:t>
      </w:r>
      <w:r w:rsidR="005E5530">
        <w:rPr>
          <w:rFonts w:ascii="Times New Roman" w:hAnsi="Times New Roman"/>
          <w:i/>
          <w:iCs/>
          <w:sz w:val="24"/>
          <w:szCs w:val="24"/>
        </w:rPr>
        <w:t>10</w:t>
      </w:r>
      <w:r w:rsidR="005E5530" w:rsidRPr="00B36EB6">
        <w:rPr>
          <w:rFonts w:ascii="Times New Roman" w:hAnsi="Times New Roman"/>
          <w:i/>
          <w:iCs/>
          <w:sz w:val="24"/>
          <w:szCs w:val="24"/>
        </w:rPr>
        <w:t xml:space="preserve"> balų. 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Jeigu tiekėjas pasiūlyme nepažymės </w:t>
      </w:r>
      <w:r w:rsidR="000B5A5C">
        <w:rPr>
          <w:rFonts w:ascii="Times New Roman" w:hAnsi="Times New Roman"/>
          <w:i/>
          <w:iCs/>
          <w:sz w:val="24"/>
          <w:szCs w:val="24"/>
        </w:rPr>
        <w:t xml:space="preserve">nei vienos reikmės, bus manoma, kad </w:t>
      </w:r>
      <w:r w:rsidR="005E5530">
        <w:rPr>
          <w:rFonts w:ascii="Times New Roman" w:hAnsi="Times New Roman"/>
          <w:i/>
          <w:iCs/>
          <w:sz w:val="24"/>
          <w:szCs w:val="24"/>
        </w:rPr>
        <w:t>akumuliatoriaus</w:t>
      </w:r>
      <w:r w:rsidR="000B5A5C">
        <w:rPr>
          <w:rFonts w:ascii="Times New Roman" w:hAnsi="Times New Roman"/>
          <w:i/>
          <w:iCs/>
          <w:sz w:val="24"/>
          <w:szCs w:val="24"/>
        </w:rPr>
        <w:t xml:space="preserve"> veikimo trukmė yra iki 4 savaičių ir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jam bus skiriama 0 balų.</w:t>
      </w:r>
    </w:p>
    <w:p w14:paraId="2C5FF00C" w14:textId="0C6AEC17" w:rsidR="00B36EB6" w:rsidRPr="000B5A5C" w:rsidRDefault="00B36EB6" w:rsidP="000B5A5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7B08752" w14:textId="5126D649" w:rsidR="00FD35E9" w:rsidRPr="007273DB" w:rsidRDefault="008C7786" w:rsidP="00790B9C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bookmarkStart w:id="6" w:name="_Hlk107352030"/>
      <w:r>
        <w:rPr>
          <w:rFonts w:ascii="Times New Roman" w:hAnsi="Times New Roman" w:cs="Times New Roman"/>
          <w:spacing w:val="-5"/>
          <w:sz w:val="24"/>
          <w:szCs w:val="24"/>
        </w:rPr>
        <w:t>9</w:t>
      </w:r>
      <w:r w:rsidR="00FD35E9" w:rsidRPr="000C48F4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0C48F4">
        <w:rPr>
          <w:rFonts w:ascii="Times New Roman" w:hAnsi="Times New Roman" w:cs="Times New Roman"/>
          <w:sz w:val="24"/>
          <w:szCs w:val="24"/>
        </w:rPr>
        <w:t>Tuo</w:t>
      </w:r>
      <w:r w:rsidR="00FD35E9" w:rsidRPr="00A36A88">
        <w:rPr>
          <w:rFonts w:ascii="Times New Roman" w:hAnsi="Times New Roman" w:cs="Times New Roman"/>
          <w:sz w:val="24"/>
          <w:szCs w:val="24"/>
        </w:rPr>
        <w:t xml:space="preserve"> atveju, jei vertinant pasiūlymus daugiausiai balų surinkusio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p w14:paraId="7A444374" w14:textId="6B22D5F2" w:rsidR="00FD35E9" w:rsidRPr="007273DB" w:rsidRDefault="008C7786" w:rsidP="00790B9C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10</w:t>
      </w:r>
      <w:r w:rsidR="00FD35E9" w:rsidRPr="007273DB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7273DB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6"/>
    <w:p w14:paraId="0363EAC3" w14:textId="77777777" w:rsidR="008E0478" w:rsidRDefault="00BD0869" w:rsidP="00790B9C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273DB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0139204B" w14:textId="77777777" w:rsidR="00BD0869" w:rsidRPr="007273DB" w:rsidRDefault="00BD0869" w:rsidP="00BD0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DB">
        <w:rPr>
          <w:rFonts w:ascii="Times New Roman" w:hAnsi="Times New Roman" w:cs="Times New Roman"/>
          <w:sz w:val="24"/>
          <w:szCs w:val="24"/>
        </w:rPr>
        <w:t>__________</w:t>
      </w:r>
    </w:p>
    <w:p w14:paraId="7D6910F4" w14:textId="0D1B48A4" w:rsidR="00AB3E2A" w:rsidRPr="00BD0869" w:rsidRDefault="00AB3E2A">
      <w:pPr>
        <w:rPr>
          <w:rFonts w:cstheme="minorHAnsi"/>
        </w:rPr>
      </w:pPr>
    </w:p>
    <w:sectPr w:rsidR="00AB3E2A" w:rsidRPr="00BD0869" w:rsidSect="004B493F">
      <w:headerReference w:type="default" r:id="rId8"/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2038" w14:textId="77777777" w:rsidR="00F709DE" w:rsidRDefault="00F709DE" w:rsidP="00B01D49">
      <w:pPr>
        <w:spacing w:after="0" w:line="240" w:lineRule="auto"/>
      </w:pPr>
      <w:r>
        <w:separator/>
      </w:r>
    </w:p>
  </w:endnote>
  <w:endnote w:type="continuationSeparator" w:id="0">
    <w:p w14:paraId="59953621" w14:textId="77777777" w:rsidR="00F709DE" w:rsidRDefault="00F709DE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9E81" w14:textId="77777777" w:rsidR="00F709DE" w:rsidRDefault="00F709DE" w:rsidP="00B01D49">
      <w:pPr>
        <w:spacing w:after="0" w:line="240" w:lineRule="auto"/>
      </w:pPr>
      <w:r>
        <w:separator/>
      </w:r>
    </w:p>
  </w:footnote>
  <w:footnote w:type="continuationSeparator" w:id="0">
    <w:p w14:paraId="5D3B0F86" w14:textId="77777777" w:rsidR="00F709DE" w:rsidRDefault="00F709DE" w:rsidP="00B0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120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F89A66" w14:textId="028744AB" w:rsidR="004B493F" w:rsidRPr="004B493F" w:rsidRDefault="004B493F">
        <w:pPr>
          <w:pStyle w:val="Antrats"/>
          <w:jc w:val="center"/>
          <w:rPr>
            <w:rFonts w:ascii="Times New Roman" w:hAnsi="Times New Roman" w:cs="Times New Roman"/>
          </w:rPr>
        </w:pPr>
        <w:r w:rsidRPr="004B493F">
          <w:rPr>
            <w:rFonts w:ascii="Times New Roman" w:hAnsi="Times New Roman" w:cs="Times New Roman"/>
          </w:rPr>
          <w:fldChar w:fldCharType="begin"/>
        </w:r>
        <w:r w:rsidRPr="004B493F">
          <w:rPr>
            <w:rFonts w:ascii="Times New Roman" w:hAnsi="Times New Roman" w:cs="Times New Roman"/>
          </w:rPr>
          <w:instrText>PAGE   \* MERGEFORMAT</w:instrText>
        </w:r>
        <w:r w:rsidRPr="004B493F">
          <w:rPr>
            <w:rFonts w:ascii="Times New Roman" w:hAnsi="Times New Roman" w:cs="Times New Roman"/>
          </w:rPr>
          <w:fldChar w:fldCharType="separate"/>
        </w:r>
        <w:r w:rsidRPr="004B493F">
          <w:rPr>
            <w:rFonts w:ascii="Times New Roman" w:hAnsi="Times New Roman" w:cs="Times New Roman"/>
          </w:rPr>
          <w:t>2</w:t>
        </w:r>
        <w:r w:rsidRPr="004B493F">
          <w:rPr>
            <w:rFonts w:ascii="Times New Roman" w:hAnsi="Times New Roman" w:cs="Times New Roman"/>
          </w:rPr>
          <w:fldChar w:fldCharType="end"/>
        </w:r>
      </w:p>
    </w:sdtContent>
  </w:sdt>
  <w:p w14:paraId="3EBCE9A3" w14:textId="77777777" w:rsidR="004B493F" w:rsidRDefault="004B49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0393B"/>
    <w:multiLevelType w:val="hybridMultilevel"/>
    <w:tmpl w:val="F3269B2A"/>
    <w:lvl w:ilvl="0" w:tplc="CA106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87505">
    <w:abstractNumId w:val="0"/>
  </w:num>
  <w:num w:numId="2" w16cid:durableId="8592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21C82"/>
    <w:rsid w:val="00027308"/>
    <w:rsid w:val="000332E4"/>
    <w:rsid w:val="00035924"/>
    <w:rsid w:val="000506B2"/>
    <w:rsid w:val="000730D5"/>
    <w:rsid w:val="000922E5"/>
    <w:rsid w:val="000A0D45"/>
    <w:rsid w:val="000A25BA"/>
    <w:rsid w:val="000B5A5C"/>
    <w:rsid w:val="000C48F4"/>
    <w:rsid w:val="000D4FB0"/>
    <w:rsid w:val="000F1F13"/>
    <w:rsid w:val="000F7410"/>
    <w:rsid w:val="001146AF"/>
    <w:rsid w:val="00132ABD"/>
    <w:rsid w:val="00155E09"/>
    <w:rsid w:val="00176991"/>
    <w:rsid w:val="00177A18"/>
    <w:rsid w:val="001A49EE"/>
    <w:rsid w:val="001E698E"/>
    <w:rsid w:val="00240F8F"/>
    <w:rsid w:val="002C1314"/>
    <w:rsid w:val="002E3689"/>
    <w:rsid w:val="002E5A28"/>
    <w:rsid w:val="003022E2"/>
    <w:rsid w:val="003033C3"/>
    <w:rsid w:val="00306660"/>
    <w:rsid w:val="0032661A"/>
    <w:rsid w:val="00336F9F"/>
    <w:rsid w:val="003406A6"/>
    <w:rsid w:val="00384E9B"/>
    <w:rsid w:val="003C1CCE"/>
    <w:rsid w:val="0041487A"/>
    <w:rsid w:val="00420695"/>
    <w:rsid w:val="00466DF1"/>
    <w:rsid w:val="00487CDC"/>
    <w:rsid w:val="004B493F"/>
    <w:rsid w:val="004B7FC9"/>
    <w:rsid w:val="004C740D"/>
    <w:rsid w:val="004E6670"/>
    <w:rsid w:val="00505F9F"/>
    <w:rsid w:val="00562EEC"/>
    <w:rsid w:val="00593314"/>
    <w:rsid w:val="005A40D9"/>
    <w:rsid w:val="005A7155"/>
    <w:rsid w:val="005B7EF2"/>
    <w:rsid w:val="005D255A"/>
    <w:rsid w:val="005D4FEC"/>
    <w:rsid w:val="005E5530"/>
    <w:rsid w:val="00621657"/>
    <w:rsid w:val="00623DC5"/>
    <w:rsid w:val="006436E9"/>
    <w:rsid w:val="00646CB6"/>
    <w:rsid w:val="00654E67"/>
    <w:rsid w:val="00672961"/>
    <w:rsid w:val="006824B9"/>
    <w:rsid w:val="006833C9"/>
    <w:rsid w:val="006A3B52"/>
    <w:rsid w:val="006D268A"/>
    <w:rsid w:val="006E201B"/>
    <w:rsid w:val="00705E82"/>
    <w:rsid w:val="00723EB2"/>
    <w:rsid w:val="007273DB"/>
    <w:rsid w:val="00730C40"/>
    <w:rsid w:val="00747894"/>
    <w:rsid w:val="00755C02"/>
    <w:rsid w:val="007654AB"/>
    <w:rsid w:val="00785F58"/>
    <w:rsid w:val="00790B9C"/>
    <w:rsid w:val="0079204B"/>
    <w:rsid w:val="00795D65"/>
    <w:rsid w:val="007A2C3D"/>
    <w:rsid w:val="007B619C"/>
    <w:rsid w:val="007D0C83"/>
    <w:rsid w:val="007D680F"/>
    <w:rsid w:val="0080331F"/>
    <w:rsid w:val="00862509"/>
    <w:rsid w:val="008751D3"/>
    <w:rsid w:val="00882CA8"/>
    <w:rsid w:val="0088445E"/>
    <w:rsid w:val="008850D7"/>
    <w:rsid w:val="008A1502"/>
    <w:rsid w:val="008A39C0"/>
    <w:rsid w:val="008B60A3"/>
    <w:rsid w:val="008C5639"/>
    <w:rsid w:val="008C7786"/>
    <w:rsid w:val="008D558F"/>
    <w:rsid w:val="008D5A80"/>
    <w:rsid w:val="008E0478"/>
    <w:rsid w:val="008E46E4"/>
    <w:rsid w:val="00913591"/>
    <w:rsid w:val="0093010D"/>
    <w:rsid w:val="00934A94"/>
    <w:rsid w:val="00971AEE"/>
    <w:rsid w:val="0097507B"/>
    <w:rsid w:val="009765AE"/>
    <w:rsid w:val="00977178"/>
    <w:rsid w:val="009C57DB"/>
    <w:rsid w:val="009D2266"/>
    <w:rsid w:val="009E7890"/>
    <w:rsid w:val="00A3403F"/>
    <w:rsid w:val="00A36A88"/>
    <w:rsid w:val="00A652CA"/>
    <w:rsid w:val="00A751CC"/>
    <w:rsid w:val="00A87271"/>
    <w:rsid w:val="00AB3E2A"/>
    <w:rsid w:val="00B01D49"/>
    <w:rsid w:val="00B17424"/>
    <w:rsid w:val="00B20873"/>
    <w:rsid w:val="00B24446"/>
    <w:rsid w:val="00B27F59"/>
    <w:rsid w:val="00B30CE4"/>
    <w:rsid w:val="00B36EB6"/>
    <w:rsid w:val="00B64D0B"/>
    <w:rsid w:val="00B65F92"/>
    <w:rsid w:val="00B87437"/>
    <w:rsid w:val="00BA329E"/>
    <w:rsid w:val="00BA652C"/>
    <w:rsid w:val="00BB4D8B"/>
    <w:rsid w:val="00BD0869"/>
    <w:rsid w:val="00BD569D"/>
    <w:rsid w:val="00BD5A59"/>
    <w:rsid w:val="00C1487E"/>
    <w:rsid w:val="00C33E25"/>
    <w:rsid w:val="00C51E1C"/>
    <w:rsid w:val="00C56834"/>
    <w:rsid w:val="00C76279"/>
    <w:rsid w:val="00CB7205"/>
    <w:rsid w:val="00CC7F0A"/>
    <w:rsid w:val="00CD7D37"/>
    <w:rsid w:val="00CF22A9"/>
    <w:rsid w:val="00D35DD7"/>
    <w:rsid w:val="00D51A96"/>
    <w:rsid w:val="00D84346"/>
    <w:rsid w:val="00D91196"/>
    <w:rsid w:val="00DA22AC"/>
    <w:rsid w:val="00DB0195"/>
    <w:rsid w:val="00DB05E4"/>
    <w:rsid w:val="00DB0FA0"/>
    <w:rsid w:val="00DE5B5B"/>
    <w:rsid w:val="00DF1541"/>
    <w:rsid w:val="00DF3C23"/>
    <w:rsid w:val="00E23042"/>
    <w:rsid w:val="00E3145A"/>
    <w:rsid w:val="00E33F1E"/>
    <w:rsid w:val="00E3783C"/>
    <w:rsid w:val="00E6108D"/>
    <w:rsid w:val="00E6324D"/>
    <w:rsid w:val="00EA3ED8"/>
    <w:rsid w:val="00EB2CBC"/>
    <w:rsid w:val="00EC1F52"/>
    <w:rsid w:val="00EE692B"/>
    <w:rsid w:val="00EE7047"/>
    <w:rsid w:val="00EE70C4"/>
    <w:rsid w:val="00EF5F11"/>
    <w:rsid w:val="00EF6C69"/>
    <w:rsid w:val="00F16DA0"/>
    <w:rsid w:val="00F21161"/>
    <w:rsid w:val="00F2738A"/>
    <w:rsid w:val="00F40345"/>
    <w:rsid w:val="00F44DFD"/>
    <w:rsid w:val="00F5580F"/>
    <w:rsid w:val="00F602C8"/>
    <w:rsid w:val="00F709DE"/>
    <w:rsid w:val="00F7327B"/>
    <w:rsid w:val="00FD35E9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116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3B35-3809-4982-8335-51F6EB0C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Bendras</cp:lastModifiedBy>
  <cp:revision>3</cp:revision>
  <cp:lastPrinted>2025-06-20T12:12:00Z</cp:lastPrinted>
  <dcterms:created xsi:type="dcterms:W3CDTF">2025-06-25T07:02:00Z</dcterms:created>
  <dcterms:modified xsi:type="dcterms:W3CDTF">2025-06-25T07:04:00Z</dcterms:modified>
</cp:coreProperties>
</file>