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A524" w14:textId="463B3EE6" w:rsidR="005625D4" w:rsidRPr="008A511B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A511B">
        <w:rPr>
          <w:rFonts w:ascii="Times New Roman" w:hAnsi="Times New Roman" w:cs="Times New Roman"/>
          <w:sz w:val="24"/>
          <w:szCs w:val="24"/>
          <w:lang w:val="lt-LT"/>
        </w:rPr>
        <w:t>Suinteresuotiems dalyviams</w:t>
      </w:r>
      <w:r w:rsidR="00EF3E34" w:rsidRPr="008A511B">
        <w:rPr>
          <w:rFonts w:ascii="Times New Roman" w:hAnsi="Times New Roman" w:cs="Times New Roman"/>
          <w:sz w:val="24"/>
          <w:szCs w:val="24"/>
          <w:lang w:val="lt-LT"/>
        </w:rPr>
        <w:t>/</w:t>
      </w:r>
      <w:proofErr w:type="spellStart"/>
      <w:r w:rsidR="000A31AE" w:rsidRPr="008A511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0A31AE" w:rsidRPr="008A5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AE" w:rsidRPr="008A511B">
        <w:rPr>
          <w:rFonts w:ascii="Times New Roman" w:hAnsi="Times New Roman" w:cs="Times New Roman"/>
          <w:sz w:val="24"/>
          <w:szCs w:val="24"/>
        </w:rPr>
        <w:t>зацікавлених</w:t>
      </w:r>
      <w:proofErr w:type="spellEnd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учасників</w:t>
      </w:r>
      <w:proofErr w:type="spellEnd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тендеру</w:t>
      </w:r>
      <w:proofErr w:type="spellEnd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77912D4" w14:textId="56EDD6FB" w:rsidR="00EF3E34" w:rsidRPr="000A31AE" w:rsidRDefault="005625D4" w:rsidP="00297C2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 xml:space="preserve">SUPAPRASTINTO </w:t>
      </w:r>
      <w:r>
        <w:rPr>
          <w:rFonts w:ascii="Times New Roman" w:hAnsi="Times New Roman" w:cs="Times New Roman"/>
          <w:sz w:val="24"/>
          <w:szCs w:val="24"/>
          <w:lang w:val="lt-LT"/>
        </w:rPr>
        <w:t>ATVIRO KONKURSO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NAUJOS DVIGUBOS PASKIRTIES ANTIRADIACINĖS SLĖPTUVĖS  STATYBOS DARBŲ PRIE SUMŲ BENDROJO UGDYMO MOKYKLOS NR. 27, ADRESAS: OKHTYRSKA, 33, SUMAI, SUMŲ REGIONAS, PIRKIMAS</w:t>
      </w:r>
      <w:r w:rsidR="0092314F" w:rsidRPr="0092314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 pirkimo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bCs/>
          <w:sz w:val="24"/>
          <w:szCs w:val="24"/>
          <w:lang w:val="lt-LT"/>
        </w:rPr>
        <w:t>ID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297C27" w:rsidRPr="00297C27">
        <w:rPr>
          <w:rFonts w:ascii="Times New Roman" w:hAnsi="Times New Roman" w:cs="Times New Roman"/>
          <w:bCs/>
          <w:i/>
          <w:sz w:val="24"/>
          <w:szCs w:val="24"/>
        </w:rPr>
        <w:t>3199257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Pr="00651446">
        <w:rPr>
          <w:rFonts w:ascii="Times New Roman" w:hAnsi="Times New Roman" w:cs="Times New Roman"/>
          <w:bCs/>
          <w:sz w:val="24"/>
          <w:szCs w:val="24"/>
          <w:lang w:val="lt-LT"/>
        </w:rPr>
        <w:t>(PIRKIMAS)</w:t>
      </w:r>
      <w:r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37AB1">
        <w:rPr>
          <w:rFonts w:ascii="Times New Roman" w:hAnsi="Times New Roman" w:cs="Times New Roman"/>
          <w:b/>
          <w:sz w:val="24"/>
          <w:szCs w:val="24"/>
          <w:lang w:val="lt-LT"/>
        </w:rPr>
        <w:t>DOKUMENTŲ</w:t>
      </w:r>
      <w:r w:rsidRPr="005625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PAAIŠKINIMO IR / AR PATIKSLINIMO </w:t>
      </w:r>
      <w:r w:rsidR="00EF3E34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B86F1C" w:rsidRPr="00651446">
        <w:rPr>
          <w:rFonts w:ascii="Segoe UI" w:hAnsi="Segoe UI" w:cs="Segoe UI"/>
          <w:color w:val="000000"/>
          <w:sz w:val="21"/>
          <w:szCs w:val="21"/>
          <w:shd w:val="clear" w:color="auto" w:fill="EFF6FF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ПРО СПРОЩЕНИЙ ВІДКРИТИЙ КОНКУРС «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НОВЕ БУДІВНИЦТВО СПОРУДИ ПОДВІЙНОГО ПРИЗНАЧЕННЯ (СПП) З ЗАХИСНИМИ ВЛАСТИВОСТЯМИ</w:t>
      </w:r>
      <w:r w:rsidR="00297C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ПРОТИРАДІАЦІЙНОГО УКРИТТЯ (ПРУ) ДЛЯ КОМУНАЛЬНОЇ УСТАНОВИ СУМСЬКА ЗАГАЛЬНООСВІТНЯ ШКОЛА І-ІІІ</w:t>
      </w:r>
      <w:r w:rsidR="00297C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СТУПЕНІВ № 27, М. СУМИ, СУМСЬКОЇ ОБЛАСТІ, ЗА АДРЕСОЮ: ВУЛ. ОХТИРСЬКА, 33, М. СУМИ, СУМСЬКОЇ ОБЛАСТІ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»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 xml:space="preserve">ID </w:t>
      </w:r>
      <w:proofErr w:type="spellStart"/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покупки</w:t>
      </w:r>
      <w:proofErr w:type="spellEnd"/>
      <w:r w:rsidR="00780E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C27" w:rsidRPr="00297C27">
        <w:rPr>
          <w:rFonts w:ascii="Times New Roman" w:hAnsi="Times New Roman" w:cs="Times New Roman"/>
          <w:i/>
          <w:iCs/>
          <w:sz w:val="24"/>
          <w:szCs w:val="24"/>
        </w:rPr>
        <w:t>3199257</w:t>
      </w:r>
      <w:r w:rsidR="0015421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(КУПІВЛЯ) </w:t>
      </w:r>
      <w:r w:rsidR="00B86F1C"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>УТОЧНЕННЯ ТА/АБО УТОЧНЕННЯ ДОКУМЕНТІВ</w:t>
      </w:r>
    </w:p>
    <w:p w14:paraId="21E175E4" w14:textId="4FC2D6B9" w:rsidR="00EF3E34" w:rsidRPr="00EF3E34" w:rsidRDefault="005625D4" w:rsidP="00B86F1C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VšĮ Centrinė projektų valdymo agentūra (Perkančioji organizacija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arba CPVA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) 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Centrinės viešųjų pirkimų informacinės sistemos priemonėmis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CVP IS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priemonėmis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gavo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tiekėjo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klausim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/prašym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paaiškinti/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patikslinti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irkimo dokumentus.</w:t>
      </w:r>
      <w:r w:rsidR="00EF3E3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Центральне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агентство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з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управління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проектами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631C6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631C6" w:rsidRPr="00651446">
        <w:rPr>
          <w:rFonts w:ascii="Times New Roman" w:hAnsi="Times New Roman" w:cs="Times New Roman"/>
          <w:sz w:val="24"/>
          <w:szCs w:val="24"/>
          <w:lang w:val="lt-LT"/>
        </w:rPr>
        <w:t>«</w:t>
      </w:r>
      <w:proofErr w:type="spellStart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Замовна</w:t>
      </w:r>
      <w:proofErr w:type="spellEnd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організація</w:t>
      </w:r>
      <w:proofErr w:type="spellEnd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»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або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E4BD6">
        <w:rPr>
          <w:rFonts w:ascii="Times New Roman" w:hAnsi="Times New Roman" w:cs="Times New Roman"/>
          <w:b/>
          <w:sz w:val="24"/>
          <w:szCs w:val="24"/>
          <w:lang w:val="lt-LT"/>
        </w:rPr>
        <w:t>CPVA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отримало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питання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запити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від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постачальника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щодо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пояснення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уточнення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Закупівельної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документації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допомогою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Центральної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інформаційної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системи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закупівель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(CVP IS).</w:t>
      </w:r>
    </w:p>
    <w:p w14:paraId="6ECEE0EA" w14:textId="676FABF6" w:rsidR="005625D4" w:rsidRPr="00574513" w:rsidRDefault="005625D4" w:rsidP="005625D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197606E" w14:textId="06236D47" w:rsidR="005625D4" w:rsidRPr="00574513" w:rsidRDefault="005625D4" w:rsidP="00EF3E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 išnagrinėjo klausimus</w:t>
      </w:r>
      <w:r w:rsidR="002554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/prašymus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atsakymus</w:t>
      </w:r>
      <w:r w:rsidR="00255485" w:rsidRPr="002554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5485"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paaiškindama / patikslindama Pirkimo </w:t>
      </w:r>
      <w:r w:rsidR="00937AB1">
        <w:rPr>
          <w:rFonts w:ascii="Times New Roman" w:hAnsi="Times New Roman" w:cs="Times New Roman"/>
          <w:sz w:val="24"/>
          <w:szCs w:val="24"/>
          <w:lang w:val="lt-LT"/>
        </w:rPr>
        <w:t>dokumentus</w:t>
      </w:r>
      <w:r w:rsidR="00EF3E34">
        <w:rPr>
          <w:rFonts w:ascii="Times New Roman" w:hAnsi="Times New Roman" w:cs="Times New Roman"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Комісія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з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публічних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закупівель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розглянула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питання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запити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та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надає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відповіді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шляхом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роз'яснення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уточнення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Закупівельних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документів</w:t>
      </w:r>
      <w:proofErr w:type="spellEnd"/>
      <w:r w:rsidR="00B86F1C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92314F" w:rsidRPr="00142C60" w14:paraId="101D6BFA" w14:textId="77777777" w:rsidTr="00297C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B7FA" w14:textId="77777777" w:rsidR="0092314F" w:rsidRDefault="0092314F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7C0186A2" w14:textId="419916B7" w:rsidR="0092314F" w:rsidRPr="00812E66" w:rsidRDefault="0092314F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B86F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8F" w14:textId="77777777" w:rsidR="0092314F" w:rsidRPr="00254993" w:rsidRDefault="0092314F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Klausimas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/prašymas</w:t>
            </w: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Питання</w:t>
            </w:r>
            <w:proofErr w:type="spellEnd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прохання</w:t>
            </w:r>
            <w:proofErr w:type="spellEnd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</w:p>
          <w:p w14:paraId="6196DE46" w14:textId="1838695B" w:rsidR="0092314F" w:rsidRPr="0015421E" w:rsidRDefault="0092314F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переклад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6A8" w14:textId="77777777" w:rsidR="0092314F" w:rsidRDefault="0092314F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Paaiškinimas / patikslinimas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</w:p>
          <w:p w14:paraId="3D07DB87" w14:textId="77777777" w:rsidR="0092314F" w:rsidRPr="00254993" w:rsidRDefault="0092314F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Пояснення</w:t>
            </w:r>
            <w:proofErr w:type="spellEnd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уточнення</w:t>
            </w:r>
            <w:proofErr w:type="spellEnd"/>
          </w:p>
          <w:p w14:paraId="73DA1325" w14:textId="717D8ED3" w:rsidR="0092314F" w:rsidRPr="00812E66" w:rsidRDefault="0092314F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переклад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</w:p>
        </w:tc>
      </w:tr>
      <w:tr w:rsidR="0092314F" w:rsidRPr="00142C60" w14:paraId="794D0AF7" w14:textId="77777777" w:rsidTr="00297C27">
        <w:trPr>
          <w:trHeight w:val="1178"/>
        </w:trPr>
        <w:tc>
          <w:tcPr>
            <w:tcW w:w="851" w:type="dxa"/>
            <w:vAlign w:val="center"/>
          </w:tcPr>
          <w:p w14:paraId="53C42146" w14:textId="77777777" w:rsidR="0092314F" w:rsidRPr="00C6122A" w:rsidRDefault="0092314F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394" w:type="dxa"/>
          </w:tcPr>
          <w:p w14:paraId="1E613856" w14:textId="1F23AF4D" w:rsidR="00297C27" w:rsidRPr="008A5F4E" w:rsidRDefault="00297C27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B1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sistemoje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Sumų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mokyklos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projekto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specifikacijose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nėra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oro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kanalų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Prašome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patikslinti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./</w:t>
            </w:r>
          </w:p>
          <w:p w14:paraId="263D50E6" w14:textId="3D57498C" w:rsidR="0092314F" w:rsidRPr="00297C27" w:rsidRDefault="00297C27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системі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B1, у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специфікаціях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проекту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школи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Сумах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повітропроводи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відсутні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Будь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ласка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уточніть</w:t>
            </w:r>
            <w:proofErr w:type="spellEnd"/>
            <w:r w:rsidRPr="008A5F4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14:paraId="1762164A" w14:textId="78BA6408" w:rsidR="003B514F" w:rsidRDefault="003B514F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Sistemos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B1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oro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kanalai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apskaičiuoti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Žr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4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lapą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specifikacijos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pridedama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(po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droselio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sklendės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4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lape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techninės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specifikacijos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pridedama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ištaisyta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techninė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klaida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B1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buvo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perkeltas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aukščiau</w:t>
            </w:r>
            <w:proofErr w:type="spellEnd"/>
            <w:r w:rsidRPr="003B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.)</w:t>
            </w:r>
            <w:r w:rsid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14:paraId="19555290" w14:textId="0EB46FCC" w:rsidR="003B514F" w:rsidRPr="008A5F4E" w:rsidRDefault="003B514F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Повітропроводи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у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системі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В1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пораховані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Дивіться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аркуш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4 (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технічні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характеристики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що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додаються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) (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після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дросель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клапану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). В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аркуші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4  (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технічні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характеристики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що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додаються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) 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виправлено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технічну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помилку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. В1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перенесено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вище</w:t>
            </w:r>
            <w:proofErr w:type="spellEnd"/>
            <w:r w:rsidRPr="003B514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.) </w:t>
            </w:r>
          </w:p>
        </w:tc>
      </w:tr>
      <w:tr w:rsidR="0092314F" w:rsidRPr="00142C60" w14:paraId="7DAD7591" w14:textId="77777777" w:rsidTr="00297C27">
        <w:tc>
          <w:tcPr>
            <w:tcW w:w="851" w:type="dxa"/>
            <w:vAlign w:val="center"/>
          </w:tcPr>
          <w:p w14:paraId="1D54034B" w14:textId="77777777" w:rsidR="0092314F" w:rsidRPr="00812E66" w:rsidRDefault="0092314F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394" w:type="dxa"/>
          </w:tcPr>
          <w:p w14:paraId="5EAE6814" w14:textId="219C828A" w:rsidR="00297C27" w:rsidRDefault="00297C27" w:rsidP="0046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Teikdamas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pasiūlymą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dalyvaudamas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aukcione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dalyvis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privalo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pateikti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tik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pasiūlymo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formą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priedas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pašalinimo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pagrindų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deklaraciją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(5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priedas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)?</w:t>
            </w:r>
            <w:r w:rsid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14:paraId="3B0F0BEB" w14:textId="57C0F42A" w:rsidR="00466F71" w:rsidRPr="00297C27" w:rsidRDefault="00297C27" w:rsidP="0046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подачі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тендерної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пропозиції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участі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аукціоні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учасник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має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подати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лише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пропозиції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Додаток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декларацію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підстави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виключення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Додаток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5)?</w:t>
            </w:r>
          </w:p>
        </w:tc>
        <w:tc>
          <w:tcPr>
            <w:tcW w:w="4678" w:type="dxa"/>
          </w:tcPr>
          <w:p w14:paraId="08BDB3AA" w14:textId="77777777" w:rsidR="0092314F" w:rsidRDefault="008A5F4E" w:rsidP="008A5F4E">
            <w:pPr>
              <w:pStyle w:val="BodyText"/>
              <w:tabs>
                <w:tab w:val="left" w:pos="0"/>
                <w:tab w:val="left" w:pos="450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Taip, vadovaujantis pirkimo sąlygų 4.2. p., su teikdamas pasiūlymą, pirkimo dalyvis turi pateikti </w:t>
            </w:r>
            <w:r>
              <w:rPr>
                <w:rFonts w:ascii="Times New Roman" w:hAnsi="Times New Roman"/>
                <w:sz w:val="24"/>
                <w:szCs w:val="24"/>
                <w:lang w:val="lt-LT" w:bidi="lt-LT"/>
              </w:rPr>
              <w:t>p</w:t>
            </w:r>
            <w:r w:rsidRPr="00C160ED">
              <w:rPr>
                <w:rFonts w:ascii="Times New Roman" w:hAnsi="Times New Roman"/>
                <w:sz w:val="24"/>
                <w:szCs w:val="24"/>
                <w:lang w:val="uk-UA" w:bidi="lt-LT"/>
              </w:rPr>
              <w:t>asiūlymo form</w:t>
            </w:r>
            <w:r>
              <w:rPr>
                <w:rFonts w:ascii="Times New Roman" w:hAnsi="Times New Roman"/>
                <w:sz w:val="24"/>
                <w:szCs w:val="24"/>
                <w:lang w:val="lt-LT" w:bidi="lt-LT"/>
              </w:rPr>
              <w:t>ą</w:t>
            </w:r>
            <w:r w:rsidRPr="00C160ED">
              <w:rPr>
                <w:rFonts w:ascii="Times New Roman" w:hAnsi="Times New Roman"/>
                <w:sz w:val="24"/>
                <w:szCs w:val="24"/>
                <w:lang w:val="uk-UA" w:bidi="lt-LT"/>
              </w:rPr>
              <w:t xml:space="preserve"> (2 priedas)</w:t>
            </w:r>
            <w:r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ir d</w:t>
            </w:r>
            <w:r w:rsidRPr="00C160ED">
              <w:rPr>
                <w:rFonts w:ascii="Times New Roman" w:hAnsi="Times New Roman"/>
                <w:sz w:val="24"/>
                <w:szCs w:val="24"/>
                <w:lang w:val="uk-UA" w:bidi="lt-LT"/>
              </w:rPr>
              <w:t>eklaracija dėl pašalinimo pagrindų (5 priedas).</w:t>
            </w:r>
            <w:r>
              <w:rPr>
                <w:rFonts w:ascii="Times New Roman" w:hAnsi="Times New Roman"/>
                <w:sz w:val="24"/>
                <w:szCs w:val="24"/>
                <w:lang w:val="lt-LT" w:bidi="lt-LT"/>
              </w:rPr>
              <w:t>/</w:t>
            </w:r>
          </w:p>
          <w:p w14:paraId="4CC35C01" w14:textId="7D654EAB" w:rsidR="008A5F4E" w:rsidRPr="008A5F4E" w:rsidRDefault="008A5F4E" w:rsidP="008A5F4E">
            <w:pPr>
              <w:pStyle w:val="BodyText"/>
              <w:tabs>
                <w:tab w:val="left" w:pos="0"/>
                <w:tab w:val="left" w:pos="450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 w:bidi="lt-LT"/>
              </w:rPr>
            </w:pP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lastRenderedPageBreak/>
              <w:t>Так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,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відповідно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до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пункту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4.2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умов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закупівлі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,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під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час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подання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пропозиції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учасник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закупівлі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повинен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подати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форму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пропозиції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(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Додаток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2)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та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декларацію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про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підстави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виключення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(</w:t>
            </w:r>
            <w:proofErr w:type="spellStart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>Додаток</w:t>
            </w:r>
            <w:proofErr w:type="spellEnd"/>
            <w:r w:rsidRPr="008A5F4E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5).</w:t>
            </w:r>
          </w:p>
        </w:tc>
      </w:tr>
      <w:tr w:rsidR="00297C27" w:rsidRPr="00142C60" w14:paraId="7692C9EC" w14:textId="77777777" w:rsidTr="00297C27">
        <w:tc>
          <w:tcPr>
            <w:tcW w:w="851" w:type="dxa"/>
            <w:vAlign w:val="center"/>
          </w:tcPr>
          <w:p w14:paraId="3B024100" w14:textId="77777777" w:rsidR="00297C27" w:rsidRPr="00812E66" w:rsidRDefault="00297C27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394" w:type="dxa"/>
          </w:tcPr>
          <w:p w14:paraId="794CAB6F" w14:textId="1D61317C" w:rsidR="00297C27" w:rsidRDefault="00297C27" w:rsidP="0046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Kiek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sutarčių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galima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pateikti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kvalifikacijai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patvirtinti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8.1.1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punktą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14:paraId="608469A6" w14:textId="1DAC6288" w:rsidR="00297C27" w:rsidRPr="00297C27" w:rsidRDefault="00297C27" w:rsidP="0046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Скільки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можна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надати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контрактів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підтвердження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кваліфікації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п. 8.1.1?</w:t>
            </w:r>
          </w:p>
        </w:tc>
        <w:tc>
          <w:tcPr>
            <w:tcW w:w="4678" w:type="dxa"/>
          </w:tcPr>
          <w:p w14:paraId="7639AAC3" w14:textId="7A760336" w:rsidR="00297C27" w:rsidRDefault="008A5F4E" w:rsidP="008F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Galutinį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rezultatą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t.y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pastatęs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visuomeninės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paskirties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pastatą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tiekėjas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gali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būti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pasiekęs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vieną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kelias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sutartis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sudarytas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paties</w:t>
            </w:r>
            <w:proofErr w:type="spellEnd"/>
            <w:r w:rsidRPr="008A5F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objekto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14:paraId="52D5FE8A" w14:textId="474D96BD" w:rsidR="008A5F4E" w:rsidRPr="008A5F4E" w:rsidRDefault="008A5F4E" w:rsidP="008A5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Кінцевий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тобто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будівництво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тієї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громадської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будівлі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міг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бути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досягнутий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постачальником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одним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кількома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договорами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укладеними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самий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об'єкт</w:t>
            </w:r>
            <w:proofErr w:type="spellEnd"/>
            <w:r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97C27" w:rsidRPr="00142C60" w14:paraId="23E864AC" w14:textId="77777777" w:rsidTr="00297C27">
        <w:tc>
          <w:tcPr>
            <w:tcW w:w="851" w:type="dxa"/>
            <w:vAlign w:val="center"/>
          </w:tcPr>
          <w:p w14:paraId="746732E0" w14:textId="77777777" w:rsidR="00297C27" w:rsidRPr="00812E66" w:rsidRDefault="00297C27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394" w:type="dxa"/>
          </w:tcPr>
          <w:p w14:paraId="6C7BF434" w14:textId="20C77FDF" w:rsidR="00297C27" w:rsidRDefault="00297C27" w:rsidP="00297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Bendra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atliktų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statybos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kaina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būti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mažesnė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690 000,00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be PVM –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tai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yra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vienos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sutarties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bendra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kaina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visų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patvirtinimui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pateiktų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sumų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suma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Ačiū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14:paraId="3617ABEB" w14:textId="6A546400" w:rsidR="00297C27" w:rsidRPr="00297C27" w:rsidRDefault="00297C27" w:rsidP="0046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Загальна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вартість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виконаних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будівельних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робіт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повинна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становити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щонайменше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690 000,00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євро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ПДВ -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загальна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вартість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одного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контракту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сумарна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наданих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підтвердження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Дякуємо</w:t>
            </w:r>
            <w:proofErr w:type="spellEnd"/>
            <w:r w:rsidRPr="00297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678" w:type="dxa"/>
          </w:tcPr>
          <w:p w14:paraId="6CC67BA5" w14:textId="77777777" w:rsidR="00297C27" w:rsidRDefault="008A5F4E" w:rsidP="008F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Ši vertė turi būti priskirtina vienam ir tam pačiam objektui. </w:t>
            </w:r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Kaip minėta atsakyme Nr. 3,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</w:t>
            </w:r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alutinį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rezultatą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t.y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pastatęs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tą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patį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visuomeninės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paskirties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pastatą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tiekėjas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gali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būti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pasiekęs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vieną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kelias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sutartis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sudarytas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paties</w:t>
            </w:r>
            <w:proofErr w:type="spellEnd"/>
            <w:r w:rsidR="004453E1" w:rsidRPr="008A5F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4453E1" w:rsidRPr="008A5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objekto</w:t>
            </w:r>
            <w:proofErr w:type="spellEnd"/>
            <w:r w:rsid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./</w:t>
            </w:r>
          </w:p>
          <w:p w14:paraId="452B299E" w14:textId="4B6B66C5" w:rsidR="004453E1" w:rsidRPr="008F1FFA" w:rsidRDefault="004453E1" w:rsidP="008F1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Ця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вартість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має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бути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віднесена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одного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й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того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самого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об'єкта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Як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зазначено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у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відповіді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№ 3,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кінцевий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результат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тобто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будівництво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тієї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самої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громадської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будівлі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міг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бути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досягнутий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постачальником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за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одним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або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кількома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договорами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укладеними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на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той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самий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об'єкт</w:t>
            </w:r>
            <w:proofErr w:type="spellEnd"/>
            <w:r w:rsidRPr="00445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617AE696" w14:textId="77777777" w:rsidR="004453E1" w:rsidRDefault="004453E1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</w:p>
    <w:p w14:paraId="4B81C19E" w14:textId="72527C63" w:rsidR="00812E66" w:rsidRPr="00812E66" w:rsidRDefault="00812E66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* Suinteresuoto dalyvio prašymo paaiškinti / patikslinti Pirkimo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dokumentus</w:t>
      </w:r>
      <w:r w:rsid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tekstas neredaguotas /</w:t>
      </w: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Текст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запиту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зацікавленого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учасника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тендеру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про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пояснення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роз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'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яснення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Документів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про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закупівлю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не</w:t>
      </w:r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u-RU"/>
        </w:rPr>
        <w:t>редагується</w:t>
      </w:r>
      <w:proofErr w:type="spellEnd"/>
      <w:r w:rsidR="00290306" w:rsidRPr="0025499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14:paraId="6C2DE556" w14:textId="69C410F1" w:rsidR="008C0D2B" w:rsidRDefault="00812E66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Pažymėtina, kad bet kuris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CPVA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atliktas paaiškinimas / patikslinimas yra laikomas neatskiriama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dokumentų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dalimi ir jo nuostatos turi viršenybę prieš ankstesnes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išdėstytas nuostatas. Tuo atveju, kai skelbime apie Pirkimą pateikta informacija neatitinka informacijos, pateiktos kit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u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ose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teisinga laikoma informacija, nurodyta skelbime apie Pirkimą.</w:t>
      </w:r>
      <w:r w:rsidR="00EF3E34" w:rsidRPr="00651446">
        <w:rPr>
          <w:lang w:val="lt-LT"/>
        </w:rPr>
        <w:t xml:space="preserve"> /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Слід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зазначити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що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будь-які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пояснення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/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уточнення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зроблені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r w:rsid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CPVA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вважаються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невід'ємною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частиною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Закупівельної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документації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її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положення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мають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пріоритет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над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попередніми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положеннями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викладеними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Документах про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закупівлю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.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У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випадку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якщо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що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міститься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Повідомленні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Договір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не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відповідає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наведеній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інших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Документах про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закупівлю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зазначена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Повідомленні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Договір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вважається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правильною.</w:t>
      </w:r>
    </w:p>
    <w:p w14:paraId="439A9CC1" w14:textId="663EF367" w:rsidR="00433B81" w:rsidRDefault="00433B81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Komisija, vadovaudamasi Pirkimo dokumentų 5.3. p. bei atsižvelgdama į atliktą Pirkimų dokumentų tikslinimą, pratęsia pasiūlymų pateikimo terminą iki 2025-0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7</w:t>
      </w:r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17</w:t>
      </w:r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10:00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Lietuvos laiku/</w:t>
      </w:r>
      <w:r w:rsidRPr="00433B81"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lastRenderedPageBreak/>
        <w:t>Комісія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відповідно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до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Розділу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5.3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Документів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закупівель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та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враховуючи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перегляд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Документів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закупівель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продовжує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кінцевий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термін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подання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пропозицій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до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17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липня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2025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року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10:00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за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литовським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часом</w:t>
      </w:r>
      <w:proofErr w:type="spellEnd"/>
      <w:r w:rsidRPr="00433B8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.</w:t>
      </w:r>
    </w:p>
    <w:p w14:paraId="27367303" w14:textId="77777777" w:rsidR="00433B81" w:rsidRPr="00433B81" w:rsidRDefault="00433B81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</w:p>
    <w:p w14:paraId="3B73F808" w14:textId="37C3F74C" w:rsidR="008A511B" w:rsidRPr="008C0D2B" w:rsidRDefault="005625D4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</w:t>
      </w:r>
      <w:r w:rsidR="00EF3E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/ </w:t>
      </w:r>
      <w:proofErr w:type="spellStart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Комісія</w:t>
      </w:r>
      <w:proofErr w:type="spellEnd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з </w:t>
      </w:r>
      <w:proofErr w:type="spellStart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публічних</w:t>
      </w:r>
      <w:proofErr w:type="spellEnd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закупівель</w:t>
      </w:r>
      <w:proofErr w:type="spellEnd"/>
    </w:p>
    <w:sectPr w:rsidR="008A511B" w:rsidRPr="008C0D2B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9FB"/>
    <w:multiLevelType w:val="hybridMultilevel"/>
    <w:tmpl w:val="42A05D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06"/>
    <w:multiLevelType w:val="hybridMultilevel"/>
    <w:tmpl w:val="3FC86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FA3"/>
    <w:multiLevelType w:val="hybridMultilevel"/>
    <w:tmpl w:val="A4468D6C"/>
    <w:lvl w:ilvl="0" w:tplc="5CB4C62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30EB"/>
    <w:multiLevelType w:val="hybridMultilevel"/>
    <w:tmpl w:val="F2FC494C"/>
    <w:lvl w:ilvl="0" w:tplc="8D1AA74E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6AAC"/>
    <w:multiLevelType w:val="hybridMultilevel"/>
    <w:tmpl w:val="26E0CB7C"/>
    <w:lvl w:ilvl="0" w:tplc="C68455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4F8"/>
    <w:multiLevelType w:val="hybridMultilevel"/>
    <w:tmpl w:val="F9C465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6977B1"/>
    <w:multiLevelType w:val="hybridMultilevel"/>
    <w:tmpl w:val="47C2643A"/>
    <w:lvl w:ilvl="0" w:tplc="DB76C6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2220"/>
    <w:multiLevelType w:val="hybridMultilevel"/>
    <w:tmpl w:val="8BE2D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60044">
    <w:abstractNumId w:val="5"/>
  </w:num>
  <w:num w:numId="2" w16cid:durableId="714232896">
    <w:abstractNumId w:val="8"/>
  </w:num>
  <w:num w:numId="3" w16cid:durableId="568804517">
    <w:abstractNumId w:val="2"/>
  </w:num>
  <w:num w:numId="4" w16cid:durableId="1951471618">
    <w:abstractNumId w:val="4"/>
  </w:num>
  <w:num w:numId="5" w16cid:durableId="893544047">
    <w:abstractNumId w:val="9"/>
  </w:num>
  <w:num w:numId="6" w16cid:durableId="225997589">
    <w:abstractNumId w:val="10"/>
  </w:num>
  <w:num w:numId="7" w16cid:durableId="1668634263">
    <w:abstractNumId w:val="3"/>
  </w:num>
  <w:num w:numId="8" w16cid:durableId="1009719030">
    <w:abstractNumId w:val="0"/>
  </w:num>
  <w:num w:numId="9" w16cid:durableId="178588097">
    <w:abstractNumId w:val="6"/>
  </w:num>
  <w:num w:numId="10" w16cid:durableId="1484004053">
    <w:abstractNumId w:val="1"/>
  </w:num>
  <w:num w:numId="11" w16cid:durableId="857891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56630"/>
    <w:rsid w:val="000A31AE"/>
    <w:rsid w:val="000A5D60"/>
    <w:rsid w:val="000B437B"/>
    <w:rsid w:val="00142C60"/>
    <w:rsid w:val="00143F0B"/>
    <w:rsid w:val="0015421E"/>
    <w:rsid w:val="00157CF5"/>
    <w:rsid w:val="00166F03"/>
    <w:rsid w:val="0017413C"/>
    <w:rsid w:val="001C4B23"/>
    <w:rsid w:val="001E29EC"/>
    <w:rsid w:val="001E4F14"/>
    <w:rsid w:val="00215773"/>
    <w:rsid w:val="00254993"/>
    <w:rsid w:val="00255485"/>
    <w:rsid w:val="002569DF"/>
    <w:rsid w:val="00290306"/>
    <w:rsid w:val="00297C27"/>
    <w:rsid w:val="002B639C"/>
    <w:rsid w:val="002F25A6"/>
    <w:rsid w:val="0030271B"/>
    <w:rsid w:val="003167A1"/>
    <w:rsid w:val="0032334E"/>
    <w:rsid w:val="003A6CEF"/>
    <w:rsid w:val="003B514F"/>
    <w:rsid w:val="003B5E3F"/>
    <w:rsid w:val="00433B81"/>
    <w:rsid w:val="00437D3D"/>
    <w:rsid w:val="004453E1"/>
    <w:rsid w:val="00454414"/>
    <w:rsid w:val="00466F71"/>
    <w:rsid w:val="004A1700"/>
    <w:rsid w:val="004C4B38"/>
    <w:rsid w:val="004F0A88"/>
    <w:rsid w:val="004F1601"/>
    <w:rsid w:val="00516454"/>
    <w:rsid w:val="00521994"/>
    <w:rsid w:val="00523DB4"/>
    <w:rsid w:val="00553301"/>
    <w:rsid w:val="005625D4"/>
    <w:rsid w:val="005C776E"/>
    <w:rsid w:val="00611C01"/>
    <w:rsid w:val="00626D74"/>
    <w:rsid w:val="00651446"/>
    <w:rsid w:val="006A18BB"/>
    <w:rsid w:val="006E5A79"/>
    <w:rsid w:val="006F0A6D"/>
    <w:rsid w:val="00721989"/>
    <w:rsid w:val="00734B33"/>
    <w:rsid w:val="00751B9D"/>
    <w:rsid w:val="0075717D"/>
    <w:rsid w:val="00761375"/>
    <w:rsid w:val="00780EB3"/>
    <w:rsid w:val="007A225B"/>
    <w:rsid w:val="007C48CE"/>
    <w:rsid w:val="007C6FB2"/>
    <w:rsid w:val="007D1FE5"/>
    <w:rsid w:val="007E0095"/>
    <w:rsid w:val="00812E66"/>
    <w:rsid w:val="00813B60"/>
    <w:rsid w:val="0084293F"/>
    <w:rsid w:val="00844229"/>
    <w:rsid w:val="008A511B"/>
    <w:rsid w:val="008A5F4E"/>
    <w:rsid w:val="008C0D2B"/>
    <w:rsid w:val="008F1FFA"/>
    <w:rsid w:val="008F3756"/>
    <w:rsid w:val="00906299"/>
    <w:rsid w:val="0092314F"/>
    <w:rsid w:val="00930512"/>
    <w:rsid w:val="00931489"/>
    <w:rsid w:val="00937AB1"/>
    <w:rsid w:val="009471E0"/>
    <w:rsid w:val="0095011F"/>
    <w:rsid w:val="009A7C74"/>
    <w:rsid w:val="009B04D3"/>
    <w:rsid w:val="009F6043"/>
    <w:rsid w:val="00A44EC4"/>
    <w:rsid w:val="00A475ED"/>
    <w:rsid w:val="00A9320A"/>
    <w:rsid w:val="00AB592D"/>
    <w:rsid w:val="00AF0325"/>
    <w:rsid w:val="00B05FB9"/>
    <w:rsid w:val="00B121AB"/>
    <w:rsid w:val="00B156D8"/>
    <w:rsid w:val="00B25CDD"/>
    <w:rsid w:val="00B3401B"/>
    <w:rsid w:val="00B521B3"/>
    <w:rsid w:val="00B5317A"/>
    <w:rsid w:val="00B86F1C"/>
    <w:rsid w:val="00B9635E"/>
    <w:rsid w:val="00BB3886"/>
    <w:rsid w:val="00BC33D1"/>
    <w:rsid w:val="00C4640F"/>
    <w:rsid w:val="00C6122A"/>
    <w:rsid w:val="00C631C6"/>
    <w:rsid w:val="00C66487"/>
    <w:rsid w:val="00CA59B8"/>
    <w:rsid w:val="00D02781"/>
    <w:rsid w:val="00D35A4B"/>
    <w:rsid w:val="00D456E0"/>
    <w:rsid w:val="00D71F35"/>
    <w:rsid w:val="00D80E31"/>
    <w:rsid w:val="00DB423E"/>
    <w:rsid w:val="00E20E49"/>
    <w:rsid w:val="00E5733A"/>
    <w:rsid w:val="00E94D0A"/>
    <w:rsid w:val="00ED440E"/>
    <w:rsid w:val="00EE4BD6"/>
    <w:rsid w:val="00EF3E34"/>
    <w:rsid w:val="00F00962"/>
    <w:rsid w:val="00FF377B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812E66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Diagrama Diagrama Diagrama Char1, Diagrama Diagrama Char1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31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53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3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446"/>
    <w:pPr>
      <w:spacing w:after="0" w:line="240" w:lineRule="auto"/>
    </w:pPr>
    <w:rPr>
      <w:lang w:val="en-US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Standard paragraph,Char Char, Char,Char,b,body inde"/>
    <w:basedOn w:val="Normal"/>
    <w:link w:val="BodyTextChar"/>
    <w:uiPriority w:val="99"/>
    <w:qFormat/>
    <w:rsid w:val="008F1FF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,b Char"/>
    <w:basedOn w:val="DefaultParagraphFont"/>
    <w:link w:val="BodyText"/>
    <w:uiPriority w:val="99"/>
    <w:qFormat/>
    <w:rsid w:val="008F1FF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1">
    <w:name w:val="Comment Text Char1"/>
    <w:aliases w:val=" Diagrama Diagrama Diagrama Char, Diagrama Diagrama Char"/>
    <w:uiPriority w:val="99"/>
    <w:locked/>
    <w:rsid w:val="00166F03"/>
    <w:rPr>
      <w:rFonts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3CCA1674-540C-4867-A2CD-2E323DAD3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C79D1-7301-4E6D-823E-904FB33D995F}"/>
</file>

<file path=customXml/itemProps3.xml><?xml version="1.0" encoding="utf-8"?>
<ds:datastoreItem xmlns:ds="http://schemas.openxmlformats.org/officeDocument/2006/customXml" ds:itemID="{FAE89D36-B21D-490E-82A7-078CBB3ED39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3703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protokolo priedas. Atsakymų suvestinė</vt:lpstr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protokolo priedas. Atsakymų suvestinė</dc:title>
  <dc:subject/>
  <dc:creator>Inga Kavaliauskienė</dc:creator>
  <cp:keywords/>
  <dc:description/>
  <cp:lastModifiedBy>Tadas Kontrimas</cp:lastModifiedBy>
  <cp:revision>39</cp:revision>
  <dcterms:created xsi:type="dcterms:W3CDTF">2024-10-08T08:07:00Z</dcterms:created>
  <dcterms:modified xsi:type="dcterms:W3CDTF">2025-06-25T04:23:00Z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5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8" name="DmsPermissionsUsers">
    <vt:lpwstr>795;#Tadas Kontrimas;#1283;#Laura Sungailaitė-Jurčė;#872;#Aina Jonuškytė;#134;#Aurima Lasickienė;#1701;#Rūta Valaitytė</vt:lpwstr>
  </property>
  <property fmtid="{D5CDD505-2E9C-101B-9397-08002B2CF9AE}" pid="9" name="DmsCommChanPerm">
    <vt:lpwstr/>
  </property>
  <property fmtid="{D5CDD505-2E9C-101B-9397-08002B2CF9AE}" pid="10" name="DmsPermissionsConfid">
    <vt:bool>false</vt:bool>
  </property>
  <property fmtid="{D5CDD505-2E9C-101B-9397-08002B2CF9AE}" pid="11" name="DmsDocPrepDocSendRegReal">
    <vt:bool>false</vt:bool>
  </property>
  <property fmtid="{D5CDD505-2E9C-101B-9397-08002B2CF9AE}" pid="12" name="DmsWaitingForSign">
    <vt:bool>true</vt:bool>
  </property>
</Properties>
</file>