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80"/>
        <w:ind w:left="5103"/>
        <w:rPr>
          <w:rFonts w:ascii="Times New Roman" w:hAnsi="Times New Roman" w:eastAsia="Calibri" w:cs="Times New Roman"/>
          <w:color w:val="0070C0"/>
          <w:sz w:val="21"/>
          <w:szCs w:val="21"/>
        </w:rPr>
      </w:pPr>
      <w:bookmarkStart w:id="0" w:name="_Ref38539939"/>
      <w:bookmarkStart w:id="1" w:name="_Ref38541068"/>
      <w:bookmarkStart w:id="2" w:name="_Ref38885053"/>
      <w:bookmarkStart w:id="3" w:name="_Ref38899023"/>
      <w:bookmarkStart w:id="4" w:name="_Toc185177413"/>
      <w:r>
        <w:rPr>
          <w:rFonts w:eastAsia="Calibri" w:cs="Times New Roman" w:ascii="Times New Roman" w:hAnsi="Times New Roman"/>
          <w:color w:val="0070C0"/>
          <w:sz w:val="21"/>
          <w:szCs w:val="21"/>
        </w:rPr>
        <w:t>Pirkimo sąlygų 2 priedas „Techninė specifikacija“</w:t>
      </w:r>
      <w:bookmarkEnd w:id="0"/>
      <w:bookmarkEnd w:id="1"/>
      <w:bookmarkEnd w:id="2"/>
      <w:bookmarkEnd w:id="3"/>
      <w:bookmarkEnd w:id="4"/>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b/>
          <w:bCs/>
          <w:sz w:val="24"/>
          <w:szCs w:val="24"/>
        </w:rPr>
        <w:t>TECHNINĖ SPECIFIKACIJA</w:t>
      </w:r>
    </w:p>
    <w:p>
      <w:pPr>
        <w:pStyle w:val="Normal"/>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jc w:val="center"/>
        <w:rPr>
          <w:rFonts w:ascii="Times New Roman" w:hAnsi="Times New Roman" w:cs="Times New Roman"/>
          <w:sz w:val="24"/>
          <w:szCs w:val="24"/>
        </w:rPr>
      </w:pPr>
      <w:r>
        <w:rPr>
          <w:rFonts w:cs="Times New Roman" w:ascii="Times New Roman" w:hAnsi="Times New Roman"/>
          <w:b/>
          <w:bCs/>
          <w:sz w:val="24"/>
          <w:szCs w:val="24"/>
        </w:rPr>
        <w:t>ĮVADINĖ INFORMACIJA APIE PROJEKTĄ</w:t>
      </w:r>
    </w:p>
    <w:p>
      <w:pPr>
        <w:pStyle w:val="Normal"/>
        <w:numPr>
          <w:ilvl w:val="0"/>
          <w:numId w:val="6"/>
        </w:numPr>
        <w:jc w:val="both"/>
        <w:rPr>
          <w:rFonts w:ascii="Times New Roman" w:hAnsi="Times New Roman" w:cs="Times New Roman"/>
          <w:sz w:val="24"/>
          <w:szCs w:val="24"/>
        </w:rPr>
      </w:pPr>
      <w:r>
        <w:rPr>
          <w:rFonts w:cs="Times New Roman" w:ascii="Times New Roman" w:hAnsi="Times New Roman"/>
          <w:sz w:val="24"/>
          <w:szCs w:val="24"/>
        </w:rPr>
        <w:t>2</w:t>
      </w:r>
      <w:r>
        <w:rPr>
          <w:rFonts w:cs="Times New Roman" w:ascii="Times New Roman" w:hAnsi="Times New Roman"/>
          <w:sz w:val="24"/>
          <w:szCs w:val="24"/>
        </w:rPr>
        <w:t>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Nr. 09-018-P-0001 (toliau – Projektas).</w:t>
      </w:r>
    </w:p>
    <w:p>
      <w:pPr>
        <w:pStyle w:val="Normal"/>
        <w:numPr>
          <w:ilvl w:val="0"/>
          <w:numId w:val="7"/>
        </w:numPr>
        <w:jc w:val="both"/>
        <w:rPr>
          <w:rFonts w:ascii="Times New Roman" w:hAnsi="Times New Roman" w:cs="Times New Roman"/>
          <w:sz w:val="24"/>
          <w:szCs w:val="24"/>
        </w:rPr>
      </w:pPr>
      <w:r>
        <w:rPr>
          <w:rFonts w:cs="Times New Roman" w:ascii="Times New Roman" w:hAnsi="Times New Roman"/>
          <w:sz w:val="24"/>
          <w:szCs w:val="24"/>
        </w:rPr>
        <w:t>Projekto veiklos:</w:t>
      </w:r>
    </w:p>
    <w:p>
      <w:pPr>
        <w:pStyle w:val="Normal"/>
        <w:numPr>
          <w:ilvl w:val="1"/>
          <w:numId w:val="8"/>
        </w:numPr>
        <w:jc w:val="both"/>
        <w:rPr>
          <w:rFonts w:ascii="Times New Roman" w:hAnsi="Times New Roman" w:cs="Times New Roman"/>
          <w:sz w:val="24"/>
          <w:szCs w:val="24"/>
        </w:rPr>
      </w:pPr>
      <w:r>
        <w:rPr>
          <w:rFonts w:cs="Times New Roman" w:ascii="Times New Roman" w:hAnsi="Times New Roman"/>
          <w:sz w:val="24"/>
          <w:szCs w:val="24"/>
        </w:rPr>
        <w:t>Specialistų mokymas ir kvalifikacijos kėlimas Sostinės regione (Vilniaus apskritis);</w:t>
      </w:r>
    </w:p>
    <w:p>
      <w:pPr>
        <w:pStyle w:val="Normal"/>
        <w:numPr>
          <w:ilvl w:val="1"/>
          <w:numId w:val="9"/>
        </w:numPr>
        <w:jc w:val="both"/>
        <w:rPr>
          <w:rFonts w:ascii="Times New Roman" w:hAnsi="Times New Roman" w:cs="Times New Roman"/>
          <w:sz w:val="24"/>
          <w:szCs w:val="24"/>
        </w:rPr>
      </w:pPr>
      <w:r>
        <w:rPr>
          <w:rFonts w:cs="Times New Roman" w:ascii="Times New Roman" w:hAnsi="Times New Roman"/>
          <w:sz w:val="24"/>
          <w:szCs w:val="24"/>
        </w:rPr>
        <w:t xml:space="preserve">Specialistų mokymas ir kvalifikacijos kėlimas </w:t>
      </w:r>
      <w:bookmarkStart w:id="5" w:name="_Hlk159074911"/>
      <w:r>
        <w:rPr>
          <w:rFonts w:cs="Times New Roman" w:ascii="Times New Roman" w:hAnsi="Times New Roman"/>
          <w:sz w:val="24"/>
          <w:szCs w:val="24"/>
        </w:rPr>
        <w:t>Vidurio ir vakarų Lietuvos regione (visos apskritys, išskyrus Vilniaus apskritį).</w:t>
      </w:r>
    </w:p>
    <w:p>
      <w:pPr>
        <w:pStyle w:val="Normal"/>
        <w:numPr>
          <w:ilvl w:val="1"/>
          <w:numId w:val="10"/>
        </w:numPr>
        <w:jc w:val="both"/>
        <w:rPr>
          <w:rFonts w:ascii="Times New Roman" w:hAnsi="Times New Roman" w:cs="Times New Roman"/>
          <w:sz w:val="24"/>
          <w:szCs w:val="24"/>
        </w:rPr>
      </w:pPr>
      <w:r>
        <w:rPr>
          <w:rFonts w:cs="Times New Roman" w:ascii="Times New Roman" w:hAnsi="Times New Roman"/>
          <w:sz w:val="24"/>
          <w:szCs w:val="24"/>
        </w:rPr>
        <w:t>Projekto poveiklė – Mokymų programų analizė ir parengimas.</w:t>
      </w:r>
      <w:bookmarkEnd w:id="5"/>
    </w:p>
    <w:p>
      <w:pPr>
        <w:pStyle w:val="Normal"/>
        <w:numPr>
          <w:ilvl w:val="0"/>
          <w:numId w:val="11"/>
        </w:numPr>
        <w:jc w:val="both"/>
        <w:rPr>
          <w:rFonts w:ascii="Times New Roman" w:hAnsi="Times New Roman" w:cs="Times New Roman"/>
          <w:sz w:val="24"/>
          <w:szCs w:val="24"/>
        </w:rPr>
      </w:pPr>
      <w:bookmarkStart w:id="6" w:name="_Hlk159080123"/>
      <w:r>
        <w:rPr>
          <w:rFonts w:cs="Times New Roman" w:ascii="Times New Roman" w:hAnsi="Times New Roman"/>
          <w:sz w:val="24"/>
          <w:szCs w:val="24"/>
        </w:rPr>
        <w:t xml:space="preserve">Projekto tikslas yra stiprinti sveikatos priežiūros specialistų, bei specialistų, atsakingų už mokymų vykdymą savo įstaigose kompetencijas ir tobulinti jų kvalifikaciją, siekiant, kad šalyje būtų įgyvendinama šiuolaikinė visuomenės sveikatos politika ir reikiamai būtų reaguojama į rizikos veiksnių ar grėsmių keliamus iššūkius. </w:t>
      </w:r>
      <w:bookmarkEnd w:id="6"/>
    </w:p>
    <w:p>
      <w:pPr>
        <w:pStyle w:val="Normal"/>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jc w:val="center"/>
        <w:rPr>
          <w:rFonts w:ascii="Times New Roman" w:hAnsi="Times New Roman" w:cs="Times New Roman"/>
          <w:sz w:val="24"/>
          <w:szCs w:val="24"/>
        </w:rPr>
      </w:pPr>
      <w:r>
        <w:rPr>
          <w:rFonts w:cs="Times New Roman" w:ascii="Times New Roman" w:hAnsi="Times New Roman"/>
          <w:b/>
          <w:sz w:val="24"/>
          <w:szCs w:val="24"/>
        </w:rPr>
        <w:t>I SKYRIUS</w:t>
      </w:r>
    </w:p>
    <w:p>
      <w:pPr>
        <w:pStyle w:val="Normal"/>
        <w:jc w:val="center"/>
        <w:rPr>
          <w:rFonts w:ascii="Times New Roman" w:hAnsi="Times New Roman" w:cs="Times New Roman"/>
          <w:sz w:val="24"/>
          <w:szCs w:val="24"/>
        </w:rPr>
      </w:pPr>
      <w:r>
        <w:rPr>
          <w:rFonts w:cs="Times New Roman" w:ascii="Times New Roman" w:hAnsi="Times New Roman"/>
          <w:b/>
          <w:sz w:val="24"/>
          <w:szCs w:val="24"/>
        </w:rPr>
        <w:t>BENDRA INFORMACIJA APIE PIRKIMĄ</w:t>
      </w:r>
    </w:p>
    <w:p>
      <w:pPr>
        <w:pStyle w:val="Normal"/>
        <w:numPr>
          <w:ilvl w:val="0"/>
          <w:numId w:val="12"/>
        </w:numPr>
        <w:jc w:val="both"/>
        <w:rPr>
          <w:rFonts w:ascii="Times New Roman" w:hAnsi="Times New Roman" w:cs="Times New Roman"/>
          <w:sz w:val="24"/>
          <w:szCs w:val="24"/>
        </w:rPr>
      </w:pPr>
      <w:r>
        <w:rPr>
          <w:rFonts w:cs="Times New Roman" w:ascii="Times New Roman" w:hAnsi="Times New Roman"/>
          <w:sz w:val="24"/>
          <w:szCs w:val="24"/>
        </w:rPr>
        <w:t xml:space="preserve">Perkančioji organizacija – Higienos institutas, valstybės biudžetinė įstaiga, adresas: Studentų g. 45A, 08107, Vilnius, tel. + 370 5 262 4583, el. p. institutas@hi.lt, įmonės kodas 111958286. </w:t>
      </w:r>
    </w:p>
    <w:p>
      <w:pPr>
        <w:pStyle w:val="Normal"/>
        <w:numPr>
          <w:ilvl w:val="0"/>
          <w:numId w:val="13"/>
        </w:numPr>
        <w:jc w:val="both"/>
        <w:rPr>
          <w:rFonts w:ascii="Times New Roman" w:hAnsi="Times New Roman" w:cs="Times New Roman"/>
          <w:sz w:val="24"/>
          <w:szCs w:val="24"/>
        </w:rPr>
      </w:pPr>
      <w:r>
        <w:rPr>
          <w:rFonts w:cs="Times New Roman" w:ascii="Times New Roman" w:hAnsi="Times New Roman"/>
          <w:sz w:val="24"/>
          <w:szCs w:val="24"/>
        </w:rPr>
        <w:t>Pirkimo objektas – nuotolinių mokymų, tema „Užkrečiamųjų ligų valdymas skiepijimais ir pasitikėjimo skiepais didinimas“, parengimo paslaugos (toliau – Paslaugos), kurios apima: mokymų programos, mokymų medžiagos turinio ir nuotolinių mokymų (toliau – e. mokymai), kūrimą.</w:t>
      </w:r>
    </w:p>
    <w:p>
      <w:pPr>
        <w:pStyle w:val="Normal"/>
        <w:numPr>
          <w:ilvl w:val="0"/>
          <w:numId w:val="14"/>
        </w:numPr>
        <w:jc w:val="both"/>
        <w:rPr>
          <w:rFonts w:ascii="Times New Roman" w:hAnsi="Times New Roman" w:cs="Times New Roman"/>
          <w:sz w:val="24"/>
          <w:szCs w:val="24"/>
        </w:rPr>
      </w:pPr>
      <w:r>
        <w:rPr>
          <w:rFonts w:cs="Times New Roman" w:ascii="Times New Roman" w:hAnsi="Times New Roman"/>
          <w:sz w:val="24"/>
          <w:szCs w:val="24"/>
        </w:rPr>
        <w:t xml:space="preserve">Nuotolinių mokymų tikslas – suteikti informaciją sveikatos priežiūros specialistams apie skiepijimo pagrindus, skiepais valdomas ligas, jų profilaktiką ir valdymą, skiepijimo aprėpčių didinimą ir komunikaciją. </w:t>
      </w:r>
    </w:p>
    <w:p>
      <w:pPr>
        <w:pStyle w:val="Normal"/>
        <w:numPr>
          <w:ilvl w:val="0"/>
          <w:numId w:val="15"/>
        </w:numPr>
        <w:jc w:val="both"/>
        <w:rPr>
          <w:rFonts w:ascii="Times New Roman" w:hAnsi="Times New Roman" w:cs="Times New Roman"/>
          <w:sz w:val="24"/>
          <w:szCs w:val="24"/>
        </w:rPr>
      </w:pPr>
      <w:r>
        <w:rPr>
          <w:rFonts w:cs="Times New Roman" w:ascii="Times New Roman" w:hAnsi="Times New Roman"/>
          <w:sz w:val="24"/>
          <w:szCs w:val="24"/>
        </w:rPr>
        <w:t>Mokymų tikslinė grupė (toliau – tikslinė grupė): medicinos gydytojai (visos profesinės kvalifikacijos), bendrosios praktikos slaugytojai (visos specializacijos), išplėstinės praktikos slaugytojai, akušeriai, šeimų lankymo specialistai, visuomenės sveikatos specialistai.</w:t>
      </w:r>
    </w:p>
    <w:p>
      <w:pPr>
        <w:pStyle w:val="Normal"/>
        <w:numPr>
          <w:ilvl w:val="0"/>
          <w:numId w:val="16"/>
        </w:numPr>
        <w:jc w:val="both"/>
        <w:rPr>
          <w:rFonts w:ascii="Times New Roman" w:hAnsi="Times New Roman" w:cs="Times New Roman"/>
          <w:sz w:val="24"/>
          <w:szCs w:val="24"/>
        </w:rPr>
      </w:pPr>
      <w:r>
        <w:rPr>
          <w:rFonts w:cs="Times New Roman" w:ascii="Times New Roman" w:hAnsi="Times New Roman"/>
          <w:sz w:val="24"/>
          <w:szCs w:val="24"/>
        </w:rPr>
        <w:t xml:space="preserve">Paslaugų tiekėjas (toliau – Tiekėjas) turi įgyvendinti Techninėje specifikacijoje numatytus reikalavimus per </w:t>
      </w:r>
      <w:r>
        <w:rPr>
          <w:rFonts w:cs="Times New Roman" w:ascii="Times New Roman" w:hAnsi="Times New Roman"/>
          <w:sz w:val="24"/>
          <w:szCs w:val="24"/>
        </w:rPr>
        <w:t>4</w:t>
      </w:r>
      <w:r>
        <w:rPr>
          <w:rFonts w:cs="Times New Roman" w:ascii="Times New Roman" w:hAnsi="Times New Roman"/>
          <w:sz w:val="24"/>
          <w:szCs w:val="24"/>
        </w:rPr>
        <w:t xml:space="preserve"> (</w:t>
      </w:r>
      <w:r>
        <w:rPr>
          <w:rFonts w:cs="Times New Roman" w:ascii="Times New Roman" w:hAnsi="Times New Roman"/>
          <w:sz w:val="24"/>
          <w:szCs w:val="24"/>
        </w:rPr>
        <w:t>keturis</w:t>
      </w:r>
      <w:r>
        <w:rPr>
          <w:rFonts w:cs="Times New Roman" w:ascii="Times New Roman" w:hAnsi="Times New Roman"/>
          <w:sz w:val="24"/>
          <w:szCs w:val="24"/>
        </w:rPr>
        <w:t>) mėnesius nuo sutarties įsigaliojimo dienos.</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bookmarkStart w:id="7" w:name="_Hlk77258429"/>
      <w:r>
        <w:rPr>
          <w:rFonts w:cs="Times New Roman" w:ascii="Times New Roman" w:hAnsi="Times New Roman"/>
          <w:b/>
          <w:sz w:val="24"/>
          <w:szCs w:val="24"/>
        </w:rPr>
        <w:t>II SKYRIUS</w:t>
      </w:r>
    </w:p>
    <w:p>
      <w:pPr>
        <w:pStyle w:val="Normal"/>
        <w:jc w:val="center"/>
        <w:rPr>
          <w:rFonts w:ascii="Times New Roman" w:hAnsi="Times New Roman" w:cs="Times New Roman"/>
          <w:sz w:val="24"/>
          <w:szCs w:val="24"/>
        </w:rPr>
      </w:pPr>
      <w:r>
        <w:rPr>
          <w:rFonts w:cs="Times New Roman" w:ascii="Times New Roman" w:hAnsi="Times New Roman"/>
          <w:b/>
          <w:sz w:val="24"/>
          <w:szCs w:val="24"/>
        </w:rPr>
        <w:t>BENDRIEJI REIKALAVIMAI NUOTOLINIŲ MOKYMŲ PROGRAMOS RENGIMUI</w:t>
      </w:r>
    </w:p>
    <w:p>
      <w:pPr>
        <w:pStyle w:val="Normal"/>
        <w:jc w:val="both"/>
        <w:rPr>
          <w:rFonts w:ascii="Times New Roman" w:hAnsi="Times New Roman" w:cs="Times New Roman"/>
          <w:b/>
          <w:sz w:val="24"/>
          <w:szCs w:val="24"/>
        </w:rPr>
      </w:pPr>
      <w:r>
        <w:rPr>
          <w:rFonts w:cs="Times New Roman" w:ascii="Times New Roman" w:hAnsi="Times New Roman"/>
          <w:b/>
          <w:sz w:val="24"/>
          <w:szCs w:val="24"/>
        </w:rPr>
      </w:r>
    </w:p>
    <w:p>
      <w:pPr>
        <w:pStyle w:val="Normal"/>
        <w:numPr>
          <w:ilvl w:val="0"/>
          <w:numId w:val="17"/>
        </w:numPr>
        <w:jc w:val="both"/>
        <w:rPr>
          <w:rFonts w:ascii="Times New Roman" w:hAnsi="Times New Roman" w:cs="Times New Roman"/>
          <w:sz w:val="24"/>
          <w:szCs w:val="24"/>
        </w:rPr>
      </w:pPr>
      <w:r>
        <w:rPr>
          <w:rFonts w:cs="Times New Roman" w:ascii="Times New Roman" w:hAnsi="Times New Roman"/>
          <w:sz w:val="24"/>
          <w:szCs w:val="24"/>
        </w:rPr>
        <w:t>Reikalavimai mokymų programos turiniui:</w:t>
      </w:r>
    </w:p>
    <w:p>
      <w:pPr>
        <w:pStyle w:val="Normal"/>
        <w:numPr>
          <w:ilvl w:val="1"/>
          <w:numId w:val="18"/>
        </w:numPr>
        <w:jc w:val="both"/>
        <w:rPr>
          <w:rFonts w:ascii="Times New Roman" w:hAnsi="Times New Roman" w:cs="Times New Roman"/>
          <w:sz w:val="24"/>
          <w:szCs w:val="24"/>
        </w:rPr>
      </w:pPr>
      <w:r>
        <w:rPr>
          <w:rFonts w:cs="Times New Roman" w:ascii="Times New Roman" w:hAnsi="Times New Roman"/>
          <w:sz w:val="24"/>
          <w:szCs w:val="24"/>
        </w:rPr>
        <w:t>Mokymų programa turi būti parengta vadovaujantis Sveikatos priežiūros ir farmacijos specialistų profesinės kvalifikacijos tobulinimo programų ir vienkartinių profesinės kvalifikacijos tobulinimo renginių derinimo taisyklių, patvirtintų Lietuvos Respublikos sveikatos apsaugos ministro 2011 m. birželio 28 d. įsakymu Nr. V-645 „Dėl Sveikatos specialistų tobulinimo programų derinimo taisyklių ir Tobulinimo programų vertinimo komisijos nuostatų patvirtinimo“ (toliau – Taisyklės), nustatyta tvarka;</w:t>
      </w:r>
    </w:p>
    <w:p>
      <w:pPr>
        <w:pStyle w:val="Normal"/>
        <w:numPr>
          <w:ilvl w:val="1"/>
          <w:numId w:val="19"/>
        </w:numPr>
        <w:jc w:val="both"/>
        <w:rPr>
          <w:rFonts w:ascii="Times New Roman" w:hAnsi="Times New Roman" w:cs="Times New Roman"/>
          <w:sz w:val="24"/>
          <w:szCs w:val="24"/>
        </w:rPr>
      </w:pPr>
      <w:r>
        <w:rPr>
          <w:rFonts w:cs="Times New Roman" w:ascii="Times New Roman" w:hAnsi="Times New Roman"/>
          <w:sz w:val="24"/>
          <w:szCs w:val="24"/>
        </w:rPr>
        <w:t>Mokymo programos trukmė 16 val.;</w:t>
      </w:r>
    </w:p>
    <w:p>
      <w:pPr>
        <w:pStyle w:val="Normal"/>
        <w:numPr>
          <w:ilvl w:val="1"/>
          <w:numId w:val="20"/>
        </w:numPr>
        <w:jc w:val="both"/>
        <w:rPr>
          <w:rFonts w:ascii="Times New Roman" w:hAnsi="Times New Roman" w:cs="Times New Roman"/>
          <w:sz w:val="24"/>
          <w:szCs w:val="24"/>
        </w:rPr>
      </w:pPr>
      <w:r>
        <w:rPr>
          <w:rFonts w:cs="Times New Roman" w:ascii="Times New Roman" w:hAnsi="Times New Roman"/>
          <w:sz w:val="24"/>
          <w:szCs w:val="24"/>
        </w:rPr>
        <w:t>Mokymo programą turi sudaryti šios temos:</w:t>
      </w:r>
    </w:p>
    <w:p>
      <w:pPr>
        <w:pStyle w:val="Normal"/>
        <w:numPr>
          <w:ilvl w:val="2"/>
          <w:numId w:val="21"/>
        </w:numPr>
        <w:jc w:val="both"/>
        <w:rPr>
          <w:rFonts w:ascii="Times New Roman" w:hAnsi="Times New Roman" w:cs="Times New Roman"/>
          <w:sz w:val="24"/>
          <w:szCs w:val="24"/>
        </w:rPr>
      </w:pPr>
      <w:r>
        <w:rPr>
          <w:rFonts w:cs="Times New Roman" w:ascii="Times New Roman" w:hAnsi="Times New Roman"/>
          <w:sz w:val="24"/>
          <w:szCs w:val="24"/>
        </w:rPr>
        <w:t>Vakcinomis valdomų ligų epidemiologija ir jų valdymo ir profilaktikos pagrindiniai principai. Pagrindiniai skiepijimo principai: vakcinų rūšys, specifinio imuniteto susidarymas, vakcinų saugumas ir efektyvumas, vakcinų derinimas. Individualaus skiepijimo kalendoriaus sudarymas. Komunikacijos su gyventojais apie vakcinaciją principai (mitai apie skiepijimus, dažniausiai užduodami klausimai, pagrindinės žinutės) (trukmė – 8 val.);</w:t>
      </w:r>
    </w:p>
    <w:p>
      <w:pPr>
        <w:pStyle w:val="Normal"/>
        <w:numPr>
          <w:ilvl w:val="2"/>
          <w:numId w:val="22"/>
        </w:numPr>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Pasitikėjimo skiepais didinimas: bendravimas su abejojančiais dėl skiepijimo tėvais, gyventojais; mitų apie vakcinas paneigimas; įrodymais pagrįstos informacijos pateikimas visuomenei suprantamu būdu; elgsenos teorijų pritaikymas. Skiepijimo aprėpčių didinimui skirtos priemonės </w:t>
        <w:br/>
        <w:t>(trukmė – 4 val.);</w:t>
      </w:r>
    </w:p>
    <w:p>
      <w:pPr>
        <w:pStyle w:val="Normal"/>
        <w:numPr>
          <w:ilvl w:val="2"/>
          <w:numId w:val="23"/>
        </w:numPr>
        <w:jc w:val="both"/>
        <w:rPr>
          <w:rFonts w:ascii="Times New Roman" w:hAnsi="Times New Roman" w:cs="Times New Roman"/>
          <w:sz w:val="24"/>
          <w:szCs w:val="24"/>
        </w:rPr>
      </w:pPr>
      <w:r>
        <w:rPr>
          <w:rFonts w:cs="Times New Roman" w:ascii="Times New Roman" w:hAnsi="Times New Roman"/>
          <w:sz w:val="24"/>
          <w:szCs w:val="24"/>
        </w:rPr>
        <w:t xml:space="preserve">Komunikavimo apie skiepijimus ypatumai: klaidinančios informacijos ir informacijos trūkumo valdymas; komunikacinių žinučių skiepų klausimu rengimas, bendravimas su žiniasklaida </w:t>
        <w:br/>
        <w:t>(trukmė – 4 val.).</w:t>
      </w:r>
    </w:p>
    <w:p>
      <w:pPr>
        <w:pStyle w:val="Normal"/>
        <w:numPr>
          <w:ilvl w:val="1"/>
          <w:numId w:val="24"/>
        </w:numPr>
        <w:jc w:val="both"/>
        <w:rPr>
          <w:rFonts w:ascii="Times New Roman" w:hAnsi="Times New Roman" w:cs="Times New Roman"/>
          <w:sz w:val="24"/>
          <w:szCs w:val="24"/>
        </w:rPr>
      </w:pPr>
      <w:r>
        <w:rPr>
          <w:rFonts w:cs="Times New Roman" w:ascii="Times New Roman" w:hAnsi="Times New Roman"/>
          <w:sz w:val="24"/>
          <w:szCs w:val="24"/>
        </w:rPr>
        <w:t>Mokymo programa turi pasižymėti aiškiai apibrėžtais ir pagrįstais uždaviniais, orientuotais į numatomus rezultatus;</w:t>
      </w:r>
    </w:p>
    <w:p>
      <w:pPr>
        <w:pStyle w:val="Normal"/>
        <w:numPr>
          <w:ilvl w:val="1"/>
          <w:numId w:val="25"/>
        </w:numPr>
        <w:jc w:val="both"/>
        <w:rPr>
          <w:rFonts w:ascii="Times New Roman" w:hAnsi="Times New Roman" w:cs="Times New Roman"/>
          <w:sz w:val="24"/>
          <w:szCs w:val="24"/>
        </w:rPr>
      </w:pPr>
      <w:r>
        <w:rPr>
          <w:rFonts w:cs="Times New Roman" w:ascii="Times New Roman" w:hAnsi="Times New Roman"/>
          <w:sz w:val="24"/>
          <w:szCs w:val="24"/>
        </w:rPr>
        <w:t>Mokymo programoje turi būti nurodytos mokymų dalyvių įgyjamos kompetencijos; </w:t>
      </w:r>
    </w:p>
    <w:p>
      <w:pPr>
        <w:pStyle w:val="Normal"/>
        <w:numPr>
          <w:ilvl w:val="1"/>
          <w:numId w:val="26"/>
        </w:numPr>
        <w:jc w:val="both"/>
        <w:rPr>
          <w:rFonts w:ascii="Times New Roman" w:hAnsi="Times New Roman" w:cs="Times New Roman"/>
          <w:sz w:val="24"/>
          <w:szCs w:val="24"/>
        </w:rPr>
      </w:pPr>
      <w:r>
        <w:rPr>
          <w:rFonts w:cs="Times New Roman" w:ascii="Times New Roman" w:hAnsi="Times New Roman"/>
          <w:sz w:val="24"/>
          <w:szCs w:val="24"/>
        </w:rPr>
        <w:t>Mokymo programoje turi būti numatytos teorinė ir praktinė mokymo dalys; </w:t>
      </w:r>
    </w:p>
    <w:p>
      <w:pPr>
        <w:pStyle w:val="Normal"/>
        <w:numPr>
          <w:ilvl w:val="1"/>
          <w:numId w:val="27"/>
        </w:numPr>
        <w:jc w:val="both"/>
        <w:rPr>
          <w:rFonts w:ascii="Times New Roman" w:hAnsi="Times New Roman" w:cs="Times New Roman"/>
          <w:sz w:val="24"/>
          <w:szCs w:val="24"/>
        </w:rPr>
      </w:pPr>
      <w:r>
        <w:rPr>
          <w:rFonts w:cs="Times New Roman" w:ascii="Times New Roman" w:hAnsi="Times New Roman"/>
          <w:sz w:val="24"/>
          <w:szCs w:val="24"/>
        </w:rPr>
        <w:t>Mokymo programoje turi būti nurodyti šiuolaikiniai ir inovatyvūs mokymo metodai ir priemonės, padedantys įgyti reikiamas kompetencijas; mokymų metu pateikta medžiaga turi būti iliustruota praktinėmis užduotimis savarankiškam darbui bei pavyzdžiais (pritaikytais nuotoliniam mokymui); </w:t>
      </w:r>
    </w:p>
    <w:p>
      <w:pPr>
        <w:pStyle w:val="Normal"/>
        <w:numPr>
          <w:ilvl w:val="1"/>
          <w:numId w:val="28"/>
        </w:numPr>
        <w:jc w:val="both"/>
        <w:rPr>
          <w:rFonts w:ascii="Times New Roman" w:hAnsi="Times New Roman" w:cs="Times New Roman"/>
          <w:sz w:val="24"/>
          <w:szCs w:val="24"/>
        </w:rPr>
      </w:pPr>
      <w:r>
        <w:rPr>
          <w:rFonts w:cs="Times New Roman" w:ascii="Times New Roman" w:hAnsi="Times New Roman"/>
          <w:sz w:val="24"/>
          <w:szCs w:val="24"/>
        </w:rPr>
        <w:t>Mokymo programoje turi būti nurodytas programai rengti naudotos literatūros ir kitų informacinių šaltinių sąrašas. </w:t>
      </w:r>
    </w:p>
    <w:p>
      <w:pPr>
        <w:pStyle w:val="Normal"/>
        <w:numPr>
          <w:ilvl w:val="1"/>
          <w:numId w:val="29"/>
        </w:numPr>
        <w:jc w:val="both"/>
        <w:rPr>
          <w:rFonts w:ascii="Times New Roman" w:hAnsi="Times New Roman" w:cs="Times New Roman"/>
          <w:sz w:val="24"/>
          <w:szCs w:val="24"/>
        </w:rPr>
      </w:pPr>
      <w:r>
        <w:rPr>
          <w:rFonts w:cs="Times New Roman" w:ascii="Times New Roman" w:hAnsi="Times New Roman"/>
          <w:sz w:val="24"/>
          <w:szCs w:val="24"/>
        </w:rPr>
        <w:t>Mokymo programoje turi būti aiškiai suplanuota užsiėmimų struktūra (tematika, trukmė, išdėstyta užsiėmimų medžiaga, pateikiama teorinio ir praktinio mokymo trukmė akademinėmis valandomis);</w:t>
      </w:r>
    </w:p>
    <w:p>
      <w:pPr>
        <w:pStyle w:val="Normal"/>
        <w:numPr>
          <w:ilvl w:val="0"/>
          <w:numId w:val="30"/>
        </w:numPr>
        <w:jc w:val="both"/>
        <w:rPr>
          <w:rFonts w:ascii="Times New Roman" w:hAnsi="Times New Roman" w:cs="Times New Roman"/>
          <w:sz w:val="24"/>
          <w:szCs w:val="24"/>
        </w:rPr>
      </w:pPr>
      <w:r>
        <w:rPr>
          <w:rFonts w:cs="Times New Roman" w:ascii="Times New Roman" w:hAnsi="Times New Roman"/>
          <w:sz w:val="24"/>
          <w:szCs w:val="24"/>
        </w:rPr>
        <w:t>Mokymo programa turi būti parengta ir perduota Perkančiajai organizacijai. Paslaugos tiekėjas Perkančiajai organizacijai pateikia:</w:t>
      </w:r>
    </w:p>
    <w:p>
      <w:pPr>
        <w:pStyle w:val="Normal"/>
        <w:numPr>
          <w:ilvl w:val="1"/>
          <w:numId w:val="31"/>
        </w:numPr>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Profesinės kvalifikacijos tobulinimo programos aprašą, parengtą pagal Taisyklių 2 priede pateiktą formą;</w:t>
      </w:r>
      <w:bookmarkStart w:id="8" w:name="part_39bc2eebaafa48cda81732a68d2579e3"/>
      <w:bookmarkEnd w:id="8"/>
    </w:p>
    <w:p>
      <w:pPr>
        <w:pStyle w:val="Normal"/>
        <w:numPr>
          <w:ilvl w:val="1"/>
          <w:numId w:val="32"/>
        </w:numPr>
        <w:jc w:val="both"/>
        <w:rPr>
          <w:rFonts w:ascii="Times New Roman" w:hAnsi="Times New Roman" w:cs="Times New Roman"/>
          <w:sz w:val="24"/>
          <w:szCs w:val="24"/>
        </w:rPr>
      </w:pPr>
      <w:r>
        <w:rPr>
          <w:rFonts w:cs="Times New Roman" w:ascii="Times New Roman" w:hAnsi="Times New Roman"/>
          <w:sz w:val="24"/>
          <w:szCs w:val="24"/>
        </w:rPr>
        <w:t>Vertinimo rekomendacijas, parengtas pagal Taisyklių 3 priede pateiktą Profesinės kvalifikacijos tobulinimo programos vertinimo rekomendacijos formą;</w:t>
      </w:r>
      <w:bookmarkStart w:id="9" w:name="part_4469ce82a84647fdb191470318708313"/>
      <w:bookmarkEnd w:id="9"/>
    </w:p>
    <w:p>
      <w:pPr>
        <w:pStyle w:val="Normal"/>
        <w:numPr>
          <w:ilvl w:val="1"/>
          <w:numId w:val="33"/>
        </w:numPr>
        <w:jc w:val="both"/>
        <w:rPr>
          <w:rFonts w:ascii="Times New Roman" w:hAnsi="Times New Roman" w:cs="Times New Roman"/>
          <w:sz w:val="24"/>
          <w:szCs w:val="24"/>
        </w:rPr>
      </w:pPr>
      <w:r>
        <w:rPr>
          <w:rFonts w:cs="Times New Roman" w:ascii="Times New Roman" w:hAnsi="Times New Roman"/>
          <w:sz w:val="24"/>
          <w:szCs w:val="24"/>
        </w:rPr>
        <w:t>Vertintojų užpildytą ir pasirašytą Vertintojo nešališkumo deklaraciją ir konfidencialumo pasižadėjimą (Taisyklių 4 priedas);</w:t>
      </w:r>
      <w:bookmarkStart w:id="10" w:name="part_03490e9540074a23a5b18ea3c7c8a89c"/>
      <w:bookmarkEnd w:id="10"/>
    </w:p>
    <w:p>
      <w:pPr>
        <w:pStyle w:val="Normal"/>
        <w:numPr>
          <w:ilvl w:val="1"/>
          <w:numId w:val="34"/>
        </w:numPr>
        <w:jc w:val="both"/>
        <w:rPr>
          <w:rFonts w:ascii="Times New Roman" w:hAnsi="Times New Roman" w:cs="Times New Roman"/>
          <w:sz w:val="24"/>
          <w:szCs w:val="24"/>
        </w:rPr>
      </w:pPr>
      <w:r>
        <w:rPr>
          <w:rFonts w:cs="Times New Roman" w:ascii="Times New Roman" w:hAnsi="Times New Roman"/>
          <w:sz w:val="24"/>
          <w:szCs w:val="24"/>
        </w:rPr>
        <w:t>Dokumentus, patvirtinančius, kad vertintojai atitinka Taisyklių 13 ir (ar) 14 punktuose nustatytus kvalifikacinius reikalavimus (išsilavinimą, kvalifikaciją ir darbo patirtį patvirtinančių dokumentų kopijas).</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b/>
          <w:bCs/>
          <w:sz w:val="24"/>
          <w:szCs w:val="24"/>
        </w:rPr>
        <w:t>III SKYRIUS</w:t>
      </w:r>
    </w:p>
    <w:p>
      <w:pPr>
        <w:pStyle w:val="Normal"/>
        <w:jc w:val="center"/>
        <w:rPr>
          <w:rFonts w:ascii="Times New Roman" w:hAnsi="Times New Roman" w:cs="Times New Roman"/>
          <w:sz w:val="24"/>
          <w:szCs w:val="24"/>
        </w:rPr>
      </w:pPr>
      <w:r>
        <w:rPr>
          <w:rFonts w:cs="Times New Roman" w:ascii="Times New Roman" w:hAnsi="Times New Roman"/>
          <w:b/>
          <w:bCs/>
          <w:sz w:val="24"/>
          <w:szCs w:val="24"/>
        </w:rPr>
        <w:t>REIKALAVIMAI NUOTOLINIŲ MOKYMŲ MEDŽIAGOS TURINIUI</w:t>
      </w:r>
    </w:p>
    <w:p>
      <w:pPr>
        <w:pStyle w:val="Normal"/>
        <w:jc w:val="both"/>
        <w:rPr>
          <w:rFonts w:ascii="Times New Roman" w:hAnsi="Times New Roman" w:cs="Times New Roman"/>
          <w:b/>
          <w:sz w:val="24"/>
          <w:szCs w:val="24"/>
        </w:rPr>
      </w:pPr>
      <w:r>
        <w:rPr>
          <w:rFonts w:cs="Times New Roman" w:ascii="Times New Roman" w:hAnsi="Times New Roman"/>
          <w:b/>
          <w:sz w:val="24"/>
          <w:szCs w:val="24"/>
        </w:rPr>
      </w:r>
    </w:p>
    <w:p>
      <w:pPr>
        <w:pStyle w:val="Normal"/>
        <w:numPr>
          <w:ilvl w:val="0"/>
          <w:numId w:val="35"/>
        </w:numPr>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Reikalavimai nuotolinių mokymų medžiagos turinio kūrimui: </w:t>
      </w:r>
    </w:p>
    <w:p>
      <w:pPr>
        <w:pStyle w:val="Normal"/>
        <w:numPr>
          <w:ilvl w:val="1"/>
          <w:numId w:val="36"/>
        </w:numPr>
        <w:jc w:val="both"/>
        <w:rPr>
          <w:rFonts w:ascii="Times New Roman" w:hAnsi="Times New Roman" w:cs="Times New Roman"/>
          <w:sz w:val="24"/>
          <w:szCs w:val="24"/>
        </w:rPr>
      </w:pPr>
      <w:r>
        <w:rPr>
          <w:rFonts w:cs="Times New Roman" w:ascii="Times New Roman" w:hAnsi="Times New Roman"/>
          <w:sz w:val="24"/>
          <w:szCs w:val="24"/>
        </w:rPr>
        <w:t>Mokymų turinys turi būti parengtas lietuvių kalba; išdėstytas nuosekliai, suprantamai ir aiškiai, esant poreikiui gali būti pateikiami kai kurių vartojamų terminų paaiškinimai; </w:t>
      </w:r>
    </w:p>
    <w:p>
      <w:pPr>
        <w:pStyle w:val="Normal"/>
        <w:numPr>
          <w:ilvl w:val="1"/>
          <w:numId w:val="37"/>
        </w:numPr>
        <w:jc w:val="both"/>
        <w:rPr>
          <w:rFonts w:ascii="Times New Roman" w:hAnsi="Times New Roman" w:cs="Times New Roman"/>
          <w:sz w:val="24"/>
          <w:szCs w:val="24"/>
        </w:rPr>
      </w:pPr>
      <w:r>
        <w:rPr>
          <w:rFonts w:cs="Times New Roman" w:ascii="Times New Roman" w:hAnsi="Times New Roman"/>
          <w:sz w:val="24"/>
          <w:szCs w:val="24"/>
        </w:rPr>
        <w:t>Mokymų turinyje turi būti nurodyti mokymų tikslai, siekiami mokymosi rezultatai; </w:t>
      </w:r>
    </w:p>
    <w:p>
      <w:pPr>
        <w:pStyle w:val="Normal"/>
        <w:numPr>
          <w:ilvl w:val="1"/>
          <w:numId w:val="38"/>
        </w:numPr>
        <w:jc w:val="both"/>
        <w:rPr>
          <w:rFonts w:ascii="Times New Roman" w:hAnsi="Times New Roman" w:cs="Times New Roman"/>
          <w:sz w:val="24"/>
          <w:szCs w:val="24"/>
        </w:rPr>
      </w:pPr>
      <w:r>
        <w:rPr>
          <w:rFonts w:cs="Times New Roman" w:ascii="Times New Roman" w:hAnsi="Times New Roman"/>
          <w:sz w:val="24"/>
          <w:szCs w:val="24"/>
        </w:rPr>
        <w:t>Mokymų turinys turi būti sukurtas taip, kad tikslinėje grupėje nurodyti specialistai gautų pagrindines, aktualias ir svarbias žinias, įgytų įgūdžių bei ugdytų kompetencijas skiepijimo pagrindų, skiepais valdomas ligų, jų profilaktikos ir valdymo, skiepijimo aprėpčių didinimo ir komunikavimo apie skiepijimus srityse;</w:t>
      </w:r>
    </w:p>
    <w:p>
      <w:pPr>
        <w:pStyle w:val="Normal"/>
        <w:numPr>
          <w:ilvl w:val="1"/>
          <w:numId w:val="39"/>
        </w:numPr>
        <w:jc w:val="both"/>
        <w:rPr>
          <w:rFonts w:ascii="Times New Roman" w:hAnsi="Times New Roman" w:cs="Times New Roman"/>
          <w:sz w:val="24"/>
          <w:szCs w:val="24"/>
        </w:rPr>
      </w:pPr>
      <w:r>
        <w:rPr>
          <w:rFonts w:cs="Times New Roman" w:ascii="Times New Roman" w:hAnsi="Times New Roman"/>
          <w:sz w:val="24"/>
          <w:szCs w:val="24"/>
        </w:rPr>
        <w:t>Mokymų turinys turi būti paremtas šiuolaikiniais ir aktualiais literatūros šaltiniais, atitinkančiais tematiką;</w:t>
      </w:r>
    </w:p>
    <w:p>
      <w:pPr>
        <w:pStyle w:val="Normal"/>
        <w:numPr>
          <w:ilvl w:val="1"/>
          <w:numId w:val="40"/>
        </w:numPr>
        <w:jc w:val="both"/>
        <w:rPr>
          <w:rFonts w:ascii="Times New Roman" w:hAnsi="Times New Roman" w:cs="Times New Roman"/>
          <w:sz w:val="24"/>
          <w:szCs w:val="24"/>
        </w:rPr>
      </w:pPr>
      <w:r>
        <w:rPr>
          <w:rFonts w:cs="Times New Roman" w:ascii="Times New Roman" w:hAnsi="Times New Roman"/>
          <w:sz w:val="24"/>
          <w:szCs w:val="24"/>
        </w:rPr>
        <w:t>Mokymų turinys turi turėti aiškią struktūrą (temos turi būti aiškiai atskirtos, identifikuojant, ką kiekvienoje temoje tikslinėje grupėje nurodyti specialistai turi išmokti); </w:t>
      </w:r>
    </w:p>
    <w:p>
      <w:pPr>
        <w:pStyle w:val="Normal"/>
        <w:numPr>
          <w:ilvl w:val="1"/>
          <w:numId w:val="41"/>
        </w:numPr>
        <w:jc w:val="both"/>
        <w:rPr>
          <w:rFonts w:ascii="Times New Roman" w:hAnsi="Times New Roman" w:cs="Times New Roman"/>
          <w:sz w:val="24"/>
          <w:szCs w:val="24"/>
        </w:rPr>
      </w:pPr>
      <w:r>
        <w:rPr>
          <w:rFonts w:cs="Times New Roman" w:ascii="Times New Roman" w:hAnsi="Times New Roman"/>
          <w:sz w:val="24"/>
          <w:szCs w:val="24"/>
        </w:rPr>
        <w:t>Tobulinimo dalykai / temos turi būti išdėstyti nuosekliai, remiantis tobulinimo programos planu;</w:t>
      </w:r>
    </w:p>
    <w:p>
      <w:pPr>
        <w:pStyle w:val="Normal"/>
        <w:numPr>
          <w:ilvl w:val="1"/>
          <w:numId w:val="42"/>
        </w:numPr>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Parengtoje mokymų medžiagoje mokymų temos turi būti pristatytos naudojant tikslingai parinktus mokymo (-si) metodus (paskaita, paskaitos skaidrių demonstravimas, atvejų analizė, įgūdžių formavimo situacijos), orientuotus į siekiamą mokymų tikslą;</w:t>
      </w:r>
    </w:p>
    <w:p>
      <w:pPr>
        <w:pStyle w:val="Normal"/>
        <w:numPr>
          <w:ilvl w:val="1"/>
          <w:numId w:val="43"/>
        </w:numPr>
        <w:jc w:val="both"/>
        <w:rPr>
          <w:rFonts w:ascii="Times New Roman" w:hAnsi="Times New Roman" w:cs="Times New Roman"/>
          <w:sz w:val="24"/>
          <w:szCs w:val="24"/>
        </w:rPr>
      </w:pPr>
      <w:r>
        <w:rPr>
          <w:rFonts w:cs="Times New Roman" w:ascii="Times New Roman" w:hAnsi="Times New Roman"/>
          <w:sz w:val="24"/>
          <w:szCs w:val="24"/>
        </w:rPr>
        <w:t>Mokymų turinys turi būti išsamus, pakankamas savarankiškam mokymuisi, orientuotas į tobulinimo programoje nurodytus rezultatus (ką tikslinėje grupėje nurodyti specialistai turėtų žinoti ir gebėti pasibaigus mokymo procesui); </w:t>
      </w:r>
    </w:p>
    <w:p>
      <w:pPr>
        <w:pStyle w:val="Normal"/>
        <w:numPr>
          <w:ilvl w:val="1"/>
          <w:numId w:val="44"/>
        </w:numPr>
        <w:jc w:val="both"/>
        <w:rPr>
          <w:rFonts w:ascii="Times New Roman" w:hAnsi="Times New Roman" w:cs="Times New Roman"/>
          <w:sz w:val="24"/>
          <w:szCs w:val="24"/>
        </w:rPr>
      </w:pPr>
      <w:r>
        <w:rPr>
          <w:rFonts w:cs="Times New Roman" w:ascii="Times New Roman" w:hAnsi="Times New Roman"/>
          <w:sz w:val="24"/>
          <w:szCs w:val="24"/>
        </w:rPr>
        <w:t>Mokymų turinys turi apimti pasakojamąjį tekstą, skirtą e. mokymų naudotojams, pavyzdinių praktinių užduočių ir žinių patikrinimo testų, pritaikytų e. mokymams ir rekomenduojamų vizualinio turinio sprendimų aprašymą; </w:t>
      </w:r>
    </w:p>
    <w:p>
      <w:pPr>
        <w:pStyle w:val="Normal"/>
        <w:numPr>
          <w:ilvl w:val="1"/>
          <w:numId w:val="45"/>
        </w:numPr>
        <w:jc w:val="both"/>
        <w:rPr>
          <w:rFonts w:ascii="Times New Roman" w:hAnsi="Times New Roman" w:cs="Times New Roman"/>
          <w:sz w:val="24"/>
          <w:szCs w:val="24"/>
        </w:rPr>
      </w:pPr>
      <w:r>
        <w:rPr>
          <w:rFonts w:cs="Times New Roman" w:ascii="Times New Roman" w:hAnsi="Times New Roman"/>
          <w:sz w:val="24"/>
          <w:szCs w:val="24"/>
        </w:rPr>
        <w:t>Parengtoje mokymų medžiagoje naudojami metodiniai ištekliai (paruošti pranešimai (metodinė medžiaga), dalomoji medžiaga mokymo dalyviams (skaitmeniniu formatu), praktinių užduočių medžiaga, videopaskaita) turi būti pakankami atskleisti mokymų programos turinį pagal pateiktą valandų skaičiaus kriterijų;</w:t>
      </w:r>
    </w:p>
    <w:p>
      <w:pPr>
        <w:pStyle w:val="Normal"/>
        <w:numPr>
          <w:ilvl w:val="1"/>
          <w:numId w:val="46"/>
        </w:numPr>
        <w:jc w:val="both"/>
        <w:rPr>
          <w:rFonts w:ascii="Times New Roman" w:hAnsi="Times New Roman" w:cs="Times New Roman"/>
          <w:sz w:val="24"/>
          <w:szCs w:val="24"/>
        </w:rPr>
      </w:pPr>
      <w:r>
        <w:rPr>
          <w:rFonts w:cs="Times New Roman" w:ascii="Times New Roman" w:hAnsi="Times New Roman"/>
          <w:sz w:val="24"/>
          <w:szCs w:val="24"/>
        </w:rPr>
        <w:t>Kiekvienos mokymo temos pabaigoje turi būti mokymų medžiagos santrauka PDF formatu (iki 5 psl.), savikontrolės testas ir / ar užduotys žinių įvertinimui (su pateiktais teisingais atsakymais). </w:t>
      </w:r>
    </w:p>
    <w:p>
      <w:pPr>
        <w:pStyle w:val="Normal"/>
        <w:numPr>
          <w:ilvl w:val="1"/>
          <w:numId w:val="47"/>
        </w:numPr>
        <w:jc w:val="both"/>
        <w:rPr>
          <w:rFonts w:ascii="Times New Roman" w:hAnsi="Times New Roman" w:cs="Times New Roman"/>
          <w:sz w:val="24"/>
          <w:szCs w:val="24"/>
        </w:rPr>
      </w:pPr>
      <w:r>
        <w:rPr>
          <w:rFonts w:cs="Times New Roman" w:ascii="Times New Roman" w:hAnsi="Times New Roman"/>
          <w:sz w:val="24"/>
          <w:szCs w:val="24"/>
        </w:rPr>
        <w:t>Mokymų pabaigoje turi būti baigiamasis žinių vertinimo testas (iki 20 klausimų, su pateiktais teisingais atsakymais);</w:t>
      </w:r>
    </w:p>
    <w:p>
      <w:pPr>
        <w:pStyle w:val="Normal"/>
        <w:numPr>
          <w:ilvl w:val="1"/>
          <w:numId w:val="48"/>
        </w:numPr>
        <w:jc w:val="both"/>
        <w:rPr>
          <w:rFonts w:ascii="Times New Roman" w:hAnsi="Times New Roman" w:cs="Times New Roman"/>
          <w:sz w:val="24"/>
          <w:szCs w:val="24"/>
        </w:rPr>
      </w:pPr>
      <w:r>
        <w:rPr>
          <w:rFonts w:cs="Times New Roman" w:ascii="Times New Roman" w:hAnsi="Times New Roman"/>
          <w:sz w:val="24"/>
          <w:szCs w:val="24"/>
        </w:rPr>
        <w:t>Kiekvienos mokymo temos pabaigoje turi būti nurodytas literatūros sąrašas, rekomenduojami / papildomi literatūros šaltiniai, norintiems daugiau pasigilinti į temą.</w:t>
      </w:r>
    </w:p>
    <w:p>
      <w:pPr>
        <w:pStyle w:val="Normal"/>
        <w:numPr>
          <w:ilvl w:val="0"/>
          <w:numId w:val="49"/>
        </w:numPr>
        <w:jc w:val="both"/>
        <w:rPr>
          <w:rFonts w:ascii="Times New Roman" w:hAnsi="Times New Roman" w:cs="Times New Roman"/>
          <w:sz w:val="24"/>
          <w:szCs w:val="24"/>
        </w:rPr>
      </w:pPr>
      <w:r>
        <w:rPr>
          <w:rFonts w:cs="Times New Roman" w:ascii="Times New Roman" w:hAnsi="Times New Roman"/>
          <w:sz w:val="24"/>
          <w:szCs w:val="24"/>
        </w:rPr>
        <w:t>Parengtos mokymų medžiagos turinyje pateikiama informacija neturi prieštarauti galiojantiems Lietuvos Respublikos teisėms aktams.</w:t>
      </w:r>
    </w:p>
    <w:p>
      <w:pPr>
        <w:pStyle w:val="Normal"/>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jc w:val="center"/>
        <w:rPr>
          <w:rFonts w:ascii="Times New Roman" w:hAnsi="Times New Roman" w:cs="Times New Roman"/>
          <w:sz w:val="24"/>
          <w:szCs w:val="24"/>
        </w:rPr>
      </w:pPr>
      <w:r>
        <w:rPr>
          <w:rFonts w:cs="Times New Roman" w:ascii="Times New Roman" w:hAnsi="Times New Roman"/>
          <w:b/>
          <w:bCs/>
          <w:sz w:val="24"/>
          <w:szCs w:val="24"/>
        </w:rPr>
        <w:t>IV SKYRIUS</w:t>
      </w:r>
    </w:p>
    <w:p>
      <w:pPr>
        <w:pStyle w:val="Normal"/>
        <w:jc w:val="center"/>
        <w:rPr>
          <w:rFonts w:ascii="Times New Roman" w:hAnsi="Times New Roman" w:cs="Times New Roman"/>
          <w:sz w:val="24"/>
          <w:szCs w:val="24"/>
        </w:rPr>
      </w:pPr>
      <w:r>
        <w:rPr>
          <w:rFonts w:cs="Times New Roman" w:ascii="Times New Roman" w:hAnsi="Times New Roman"/>
          <w:b/>
          <w:bCs/>
          <w:sz w:val="24"/>
          <w:szCs w:val="24"/>
        </w:rPr>
        <w:t>REIKALAVIMAI NUOTOLINIŲ E. MOKYMŲ KŪRIMUI</w:t>
      </w:r>
    </w:p>
    <w:p>
      <w:pPr>
        <w:pStyle w:val="Normal"/>
        <w:jc w:val="both"/>
        <w:rPr>
          <w:rFonts w:ascii="Times New Roman" w:hAnsi="Times New Roman" w:cs="Times New Roman"/>
          <w:b/>
          <w:sz w:val="24"/>
          <w:szCs w:val="24"/>
        </w:rPr>
      </w:pPr>
      <w:r>
        <w:rPr>
          <w:rFonts w:cs="Times New Roman" w:ascii="Times New Roman" w:hAnsi="Times New Roman"/>
          <w:b/>
          <w:sz w:val="24"/>
          <w:szCs w:val="24"/>
        </w:rPr>
      </w:r>
    </w:p>
    <w:p>
      <w:pPr>
        <w:pStyle w:val="Normal"/>
        <w:numPr>
          <w:ilvl w:val="0"/>
          <w:numId w:val="50"/>
        </w:numPr>
        <w:jc w:val="both"/>
        <w:rPr>
          <w:rFonts w:ascii="Times New Roman" w:hAnsi="Times New Roman" w:cs="Times New Roman"/>
          <w:sz w:val="24"/>
          <w:szCs w:val="24"/>
        </w:rPr>
      </w:pPr>
      <w:r>
        <w:rPr>
          <w:rFonts w:cs="Times New Roman" w:ascii="Times New Roman" w:hAnsi="Times New Roman"/>
          <w:sz w:val="24"/>
          <w:szCs w:val="24"/>
        </w:rPr>
        <w:t xml:space="preserve">Nuotolinių e. mokymų kūrimą apima: </w:t>
      </w:r>
    </w:p>
    <w:p>
      <w:pPr>
        <w:pStyle w:val="Normal"/>
        <w:numPr>
          <w:ilvl w:val="1"/>
          <w:numId w:val="51"/>
        </w:numPr>
        <w:tabs>
          <w:tab w:val="clear" w:pos="720"/>
          <w:tab w:val="left" w:pos="709" w:leader="none"/>
        </w:tabs>
        <w:jc w:val="both"/>
        <w:rPr>
          <w:rFonts w:ascii="Times New Roman" w:hAnsi="Times New Roman" w:cs="Times New Roman"/>
          <w:sz w:val="24"/>
          <w:szCs w:val="24"/>
        </w:rPr>
      </w:pPr>
      <w:r>
        <w:rPr>
          <w:rFonts w:cs="Times New Roman" w:ascii="Times New Roman" w:hAnsi="Times New Roman"/>
          <w:sz w:val="24"/>
          <w:szCs w:val="24"/>
        </w:rPr>
        <w:t>E. mokymų kūrimo planavimą (koncepcijos išgryninimą, e. mokymų kūrimo plano parengimą ir pan.);</w:t>
      </w:r>
    </w:p>
    <w:p>
      <w:pPr>
        <w:pStyle w:val="Normal"/>
        <w:numPr>
          <w:ilvl w:val="1"/>
          <w:numId w:val="52"/>
        </w:numPr>
        <w:tabs>
          <w:tab w:val="clear" w:pos="720"/>
          <w:tab w:val="left" w:pos="709" w:leader="none"/>
        </w:tabs>
        <w:jc w:val="both"/>
        <w:rPr>
          <w:rFonts w:ascii="Times New Roman" w:hAnsi="Times New Roman" w:cs="Times New Roman"/>
          <w:sz w:val="24"/>
          <w:szCs w:val="24"/>
        </w:rPr>
      </w:pPr>
      <w:r>
        <w:rPr>
          <w:rFonts w:cs="Times New Roman" w:ascii="Times New Roman" w:hAnsi="Times New Roman"/>
          <w:sz w:val="24"/>
          <w:szCs w:val="24"/>
        </w:rPr>
        <w:t>E. mokymų turinio kūrimą (scenarijaus rengimą, tekstų, testų, užduočių paruošimą ir pan.);</w:t>
      </w:r>
    </w:p>
    <w:p>
      <w:pPr>
        <w:pStyle w:val="Normal"/>
        <w:numPr>
          <w:ilvl w:val="1"/>
          <w:numId w:val="53"/>
        </w:numPr>
        <w:jc w:val="both"/>
        <w:rPr>
          <w:rFonts w:ascii="Times New Roman" w:hAnsi="Times New Roman" w:cs="Times New Roman"/>
          <w:sz w:val="24"/>
          <w:szCs w:val="24"/>
        </w:rPr>
      </w:pPr>
      <w:r>
        <w:rPr>
          <w:rFonts w:cs="Times New Roman" w:ascii="Times New Roman" w:hAnsi="Times New Roman"/>
          <w:sz w:val="24"/>
          <w:szCs w:val="24"/>
        </w:rPr>
        <w:t>E. mokymų gamybą (grafinių elementų parinkimą, įgarsinimo, maketavimo / montavimo darbus, video mokymų ir kitų elementų integravimą);</w:t>
      </w:r>
    </w:p>
    <w:p>
      <w:pPr>
        <w:pStyle w:val="Normal"/>
        <w:numPr>
          <w:ilvl w:val="1"/>
          <w:numId w:val="54"/>
        </w:numPr>
        <w:jc w:val="both"/>
        <w:rPr>
          <w:rFonts w:ascii="Times New Roman" w:hAnsi="Times New Roman" w:cs="Times New Roman"/>
          <w:sz w:val="24"/>
          <w:szCs w:val="24"/>
        </w:rPr>
      </w:pPr>
      <w:r>
        <w:rPr>
          <w:rFonts w:cs="Times New Roman" w:ascii="Times New Roman" w:hAnsi="Times New Roman"/>
          <w:sz w:val="24"/>
          <w:szCs w:val="24"/>
        </w:rPr>
        <w:t>E. mokymų testavimą.</w:t>
      </w:r>
    </w:p>
    <w:p>
      <w:pPr>
        <w:pStyle w:val="Normal"/>
        <w:numPr>
          <w:ilvl w:val="0"/>
          <w:numId w:val="55"/>
        </w:numPr>
        <w:jc w:val="both"/>
        <w:rPr>
          <w:rFonts w:ascii="Times New Roman" w:hAnsi="Times New Roman" w:cs="Times New Roman"/>
          <w:sz w:val="24"/>
          <w:szCs w:val="24"/>
        </w:rPr>
      </w:pPr>
      <w:r>
        <w:rPr>
          <w:rFonts w:cs="Times New Roman" w:ascii="Times New Roman" w:hAnsi="Times New Roman"/>
          <w:sz w:val="24"/>
          <w:szCs w:val="24"/>
        </w:rPr>
        <w:t xml:space="preserve">Parengtuose e. mokymuose turi būti: </w:t>
      </w:r>
    </w:p>
    <w:p>
      <w:pPr>
        <w:pStyle w:val="Normal"/>
        <w:numPr>
          <w:ilvl w:val="1"/>
          <w:numId w:val="56"/>
        </w:numPr>
        <w:jc w:val="both"/>
        <w:rPr>
          <w:rFonts w:ascii="Times New Roman" w:hAnsi="Times New Roman" w:cs="Times New Roman"/>
          <w:sz w:val="24"/>
          <w:szCs w:val="24"/>
        </w:rPr>
      </w:pPr>
      <w:r>
        <w:rPr>
          <w:rFonts w:cs="Times New Roman" w:ascii="Times New Roman" w:hAnsi="Times New Roman"/>
          <w:sz w:val="24"/>
          <w:szCs w:val="24"/>
        </w:rPr>
        <w:t xml:space="preserve">pateiktas grafinis apipavidalinimas (ikonos, nuotraukos, iliustracijos ir kt.), nepažeidžiant </w:t>
        <w:br/>
        <w:t>29 p. reikalavimų;</w:t>
      </w:r>
    </w:p>
    <w:p>
      <w:pPr>
        <w:pStyle w:val="Normal"/>
        <w:numPr>
          <w:ilvl w:val="1"/>
          <w:numId w:val="57"/>
        </w:numPr>
        <w:jc w:val="both"/>
        <w:rPr>
          <w:rFonts w:ascii="Times New Roman" w:hAnsi="Times New Roman" w:cs="Times New Roman"/>
          <w:sz w:val="24"/>
          <w:szCs w:val="24"/>
        </w:rPr>
      </w:pPr>
      <w:r>
        <w:rPr>
          <w:rFonts w:cs="Times New Roman" w:ascii="Times New Roman" w:hAnsi="Times New Roman"/>
          <w:sz w:val="24"/>
          <w:szCs w:val="24"/>
        </w:rPr>
        <w:t>savikontrolės testai ir / ar užduotys, baigiamasis žinių vertinimo testas pritaikyti virtualiai mokymosi aplinkai Moodle arba lygiavertei šiai sistemai platformai, užtikrinančiai panašias funkcionalumo ir naudojimo galimybes. Jei pasirinkami testo tipo klausimai, jie gali būti su vienu arba keliais atsakymo variantais, „True / False“, „Drag-and-drop” pratimai ir pan.;</w:t>
      </w:r>
    </w:p>
    <w:p>
      <w:pPr>
        <w:pStyle w:val="Normal"/>
        <w:numPr>
          <w:ilvl w:val="1"/>
          <w:numId w:val="58"/>
        </w:numPr>
        <w:jc w:val="both"/>
        <w:rPr>
          <w:rFonts w:ascii="Times New Roman" w:hAnsi="Times New Roman" w:cs="Times New Roman"/>
          <w:sz w:val="24"/>
          <w:szCs w:val="24"/>
        </w:rPr>
      </w:pPr>
      <w:r>
        <w:rPr>
          <w:rFonts w:cs="Times New Roman" w:ascii="Times New Roman" w:hAnsi="Times New Roman"/>
          <w:sz w:val="24"/>
          <w:szCs w:val="24"/>
        </w:rPr>
        <w:t>naudojamas kokybiškas, be pašalinių garsų ar trikdžių vaizdo medžiagos įgarsinimas, užtikrinant sklandų mokymosi procesą. Vaizdo įraše matomas lektorius, pristatantis dėstomą temą;</w:t>
      </w:r>
    </w:p>
    <w:p>
      <w:pPr>
        <w:pStyle w:val="Normal"/>
        <w:numPr>
          <w:ilvl w:val="1"/>
          <w:numId w:val="59"/>
        </w:numPr>
        <w:jc w:val="both"/>
        <w:rPr>
          <w:rFonts w:ascii="Times New Roman" w:hAnsi="Times New Roman" w:cs="Times New Roman"/>
          <w:sz w:val="24"/>
          <w:szCs w:val="24"/>
        </w:rPr>
      </w:pPr>
      <w:r>
        <w:rPr>
          <w:rFonts w:cs="Times New Roman" w:ascii="Times New Roman" w:hAnsi="Times New Roman"/>
          <w:sz w:val="24"/>
          <w:szCs w:val="24"/>
        </w:rPr>
        <w:t>vaizdo įrašai ir kita e. mokymų medžiaga suglaudinta optimaliam kokybės ir failo dydžio santykiui;</w:t>
      </w:r>
    </w:p>
    <w:p>
      <w:pPr>
        <w:pStyle w:val="Normal"/>
        <w:numPr>
          <w:ilvl w:val="1"/>
          <w:numId w:val="60"/>
        </w:numPr>
        <w:jc w:val="both"/>
        <w:rPr>
          <w:rFonts w:ascii="Times New Roman" w:hAnsi="Times New Roman" w:cs="Times New Roman"/>
          <w:sz w:val="24"/>
          <w:szCs w:val="24"/>
        </w:rPr>
      </w:pPr>
      <w:r>
        <w:rPr>
          <w:rFonts w:cs="Times New Roman" w:ascii="Times New Roman" w:hAnsi="Times New Roman"/>
          <w:sz w:val="24"/>
          <w:szCs w:val="24"/>
        </w:rPr>
        <w:t>naudojama taisyklinga lietuvių kalba visam e. mokymų turiniui.</w:t>
      </w:r>
    </w:p>
    <w:p>
      <w:pPr>
        <w:pStyle w:val="Normal"/>
        <w:numPr>
          <w:ilvl w:val="0"/>
          <w:numId w:val="61"/>
        </w:numPr>
        <w:jc w:val="both"/>
        <w:rPr>
          <w:rFonts w:ascii="Times New Roman" w:hAnsi="Times New Roman" w:cs="Times New Roman"/>
          <w:sz w:val="24"/>
          <w:szCs w:val="24"/>
        </w:rPr>
      </w:pPr>
      <w:r>
        <w:rPr>
          <w:rFonts w:cs="Times New Roman" w:ascii="Times New Roman" w:hAnsi="Times New Roman"/>
          <w:sz w:val="24"/>
          <w:szCs w:val="24"/>
        </w:rPr>
        <w:t>Užtikrinti aktyvų įsitraukimą ir efektyvų mokymąsi e. mokymo turinys turi būti pateiktas šiomis formomis:</w:t>
      </w:r>
    </w:p>
    <w:p>
      <w:pPr>
        <w:pStyle w:val="Normal"/>
        <w:numPr>
          <w:ilvl w:val="1"/>
          <w:numId w:val="62"/>
        </w:numPr>
        <w:jc w:val="both"/>
        <w:rPr>
          <w:rFonts w:ascii="Times New Roman" w:hAnsi="Times New Roman" w:cs="Times New Roman"/>
          <w:sz w:val="24"/>
          <w:szCs w:val="24"/>
        </w:rPr>
      </w:pPr>
      <w:r>
        <w:rPr>
          <w:rFonts w:cs="Times New Roman" w:ascii="Times New Roman" w:hAnsi="Times New Roman"/>
          <w:sz w:val="24"/>
          <w:szCs w:val="24"/>
        </w:rPr>
        <w:t>vaizdo medžiaga – išlaikyti dėmesį, paaiškinti sudėtingas temas vizualiai ir interaktyviai;</w:t>
      </w:r>
    </w:p>
    <w:p>
      <w:pPr>
        <w:pStyle w:val="Normal"/>
        <w:numPr>
          <w:ilvl w:val="1"/>
          <w:numId w:val="63"/>
        </w:numPr>
        <w:jc w:val="both"/>
        <w:rPr>
          <w:rFonts w:ascii="Times New Roman" w:hAnsi="Times New Roman" w:cs="Times New Roman"/>
          <w:sz w:val="24"/>
          <w:szCs w:val="24"/>
        </w:rPr>
      </w:pPr>
      <w:r>
        <w:rPr>
          <w:rFonts w:cs="Times New Roman" w:ascii="Times New Roman" w:hAnsi="Times New Roman"/>
          <w:sz w:val="24"/>
          <w:szCs w:val="24"/>
        </w:rPr>
        <w:t xml:space="preserve">skaidrės – struktūruotas turinys, aiškūs pagrindiniai punktai, lengvai peržiūrima informacija; </w:t>
      </w:r>
    </w:p>
    <w:p>
      <w:pPr>
        <w:pStyle w:val="Normal"/>
        <w:numPr>
          <w:ilvl w:val="1"/>
          <w:numId w:val="64"/>
        </w:numPr>
        <w:jc w:val="both"/>
        <w:rPr>
          <w:rFonts w:ascii="Times New Roman" w:hAnsi="Times New Roman" w:cs="Times New Roman"/>
          <w:sz w:val="24"/>
          <w:szCs w:val="24"/>
        </w:rPr>
      </w:pPr>
      <w:r>
        <w:rPr>
          <w:rFonts w:cs="Times New Roman" w:ascii="Times New Roman" w:hAnsi="Times New Roman"/>
          <w:sz w:val="24"/>
          <w:szCs w:val="24"/>
        </w:rPr>
        <w:t>tekstiniai failai – suteikti gilesnį supratimą ir papildomą informaciją, leidžia gilintis į specifines detales;</w:t>
      </w:r>
    </w:p>
    <w:p>
      <w:pPr>
        <w:pStyle w:val="Normal"/>
        <w:numPr>
          <w:ilvl w:val="1"/>
          <w:numId w:val="65"/>
        </w:numPr>
        <w:jc w:val="both"/>
        <w:rPr>
          <w:rFonts w:ascii="Times New Roman" w:hAnsi="Times New Roman" w:cs="Times New Roman"/>
          <w:sz w:val="24"/>
          <w:szCs w:val="24"/>
        </w:rPr>
      </w:pPr>
      <w:r>
        <w:rPr>
          <w:rFonts w:cs="Times New Roman" w:ascii="Times New Roman" w:hAnsi="Times New Roman"/>
          <w:sz w:val="24"/>
          <w:szCs w:val="24"/>
        </w:rPr>
        <w:t>interaktyvus turinys – testai, atvejų analizės, užduotys, skatinantys aktyvų dalyvavimą, padedantys geriau įsisavinti informaciją ir įtvirtinti žinias.</w:t>
      </w:r>
    </w:p>
    <w:p>
      <w:pPr>
        <w:pStyle w:val="Normal"/>
        <w:numPr>
          <w:ilvl w:val="0"/>
          <w:numId w:val="66"/>
        </w:numPr>
        <w:jc w:val="both"/>
        <w:rPr>
          <w:rFonts w:ascii="Times New Roman" w:hAnsi="Times New Roman" w:cs="Times New Roman"/>
          <w:sz w:val="24"/>
          <w:szCs w:val="24"/>
        </w:rPr>
      </w:pPr>
      <w:r>
        <w:rPr>
          <w:rFonts w:cs="Times New Roman" w:ascii="Times New Roman" w:hAnsi="Times New Roman"/>
          <w:sz w:val="24"/>
          <w:szCs w:val="24"/>
        </w:rPr>
        <w:t>Galimi e. mokymų turinio pateikimo formatai (suderinami su virtualia mokymosi aplinka Moodle arba lygiaverte šiai sistemai platforma, užtikrinančia panašias funkcionalumo ir naudojimo galimybes):</w:t>
      </w:r>
    </w:p>
    <w:p>
      <w:pPr>
        <w:pStyle w:val="Normal"/>
        <w:numPr>
          <w:ilvl w:val="1"/>
          <w:numId w:val="67"/>
        </w:numPr>
        <w:jc w:val="both"/>
        <w:rPr>
          <w:rFonts w:ascii="Times New Roman" w:hAnsi="Times New Roman" w:cs="Times New Roman"/>
          <w:sz w:val="24"/>
          <w:szCs w:val="24"/>
        </w:rPr>
      </w:pPr>
      <w:r>
        <w:rPr>
          <w:rFonts w:cs="Times New Roman" w:ascii="Times New Roman" w:hAnsi="Times New Roman"/>
          <w:sz w:val="24"/>
          <w:szCs w:val="24"/>
        </w:rPr>
        <w:t>PDF – mokymo medžiaga, infografikai ar vizualizuoti teoriniai aspektai, papildoma informacija;</w:t>
      </w:r>
    </w:p>
    <w:p>
      <w:pPr>
        <w:pStyle w:val="Normal"/>
        <w:numPr>
          <w:ilvl w:val="1"/>
          <w:numId w:val="68"/>
        </w:numPr>
        <w:jc w:val="both"/>
        <w:rPr>
          <w:rFonts w:ascii="Times New Roman" w:hAnsi="Times New Roman" w:cs="Times New Roman"/>
          <w:sz w:val="24"/>
          <w:szCs w:val="24"/>
        </w:rPr>
      </w:pPr>
      <w:r>
        <w:rPr>
          <w:rFonts w:cs="Times New Roman" w:ascii="Times New Roman" w:hAnsi="Times New Roman"/>
          <w:sz w:val="24"/>
          <w:szCs w:val="24"/>
        </w:rPr>
        <w:t>MP4 – vaizdo paskaitos, animuoti vaizdo įrašai, demonstracijos, praktiniai pavyzdžiai;</w:t>
      </w:r>
    </w:p>
    <w:p>
      <w:pPr>
        <w:pStyle w:val="Normal"/>
        <w:numPr>
          <w:ilvl w:val="1"/>
          <w:numId w:val="69"/>
        </w:numPr>
        <w:jc w:val="both"/>
        <w:rPr>
          <w:rFonts w:ascii="Times New Roman" w:hAnsi="Times New Roman" w:cs="Times New Roman"/>
          <w:sz w:val="24"/>
          <w:szCs w:val="24"/>
        </w:rPr>
      </w:pPr>
      <w:r>
        <w:rPr>
          <w:rFonts w:cs="Times New Roman" w:ascii="Times New Roman" w:hAnsi="Times New Roman"/>
          <w:sz w:val="24"/>
          <w:szCs w:val="24"/>
        </w:rPr>
        <w:t>PPTX – skaidrių rinkinys interaktyviems pristatymams;</w:t>
      </w:r>
    </w:p>
    <w:p>
      <w:pPr>
        <w:pStyle w:val="Normal"/>
        <w:numPr>
          <w:ilvl w:val="1"/>
          <w:numId w:val="70"/>
        </w:numPr>
        <w:jc w:val="both"/>
        <w:rPr>
          <w:rFonts w:ascii="Times New Roman" w:hAnsi="Times New Roman" w:cs="Times New Roman"/>
          <w:sz w:val="24"/>
          <w:szCs w:val="24"/>
        </w:rPr>
      </w:pPr>
      <w:r>
        <w:rPr>
          <w:rFonts w:cs="Times New Roman" w:ascii="Times New Roman" w:hAnsi="Times New Roman"/>
          <w:sz w:val="24"/>
          <w:szCs w:val="24"/>
        </w:rPr>
        <w:t>JPEG, PNG, GIF, SVG – paveikslėliai, infografikai;</w:t>
      </w:r>
    </w:p>
    <w:p>
      <w:pPr>
        <w:pStyle w:val="Normal"/>
        <w:numPr>
          <w:ilvl w:val="1"/>
          <w:numId w:val="71"/>
        </w:numPr>
        <w:jc w:val="both"/>
        <w:rPr>
          <w:rFonts w:ascii="Times New Roman" w:hAnsi="Times New Roman" w:cs="Times New Roman"/>
          <w:sz w:val="24"/>
          <w:szCs w:val="24"/>
        </w:rPr>
      </w:pPr>
      <w:r>
        <w:rPr>
          <w:rFonts w:cs="Times New Roman" w:ascii="Times New Roman" w:hAnsi="Times New Roman"/>
          <w:sz w:val="24"/>
          <w:szCs w:val="24"/>
        </w:rPr>
        <w:t>H5P – interaktyvūs turinio elementai, papildantys mokymų turinį (užduotys, interaktyvūs vaizdo įrašai ir prezentacijos);</w:t>
      </w:r>
    </w:p>
    <w:p>
      <w:pPr>
        <w:pStyle w:val="Normal"/>
        <w:numPr>
          <w:ilvl w:val="1"/>
          <w:numId w:val="72"/>
        </w:numPr>
        <w:jc w:val="both"/>
        <w:rPr>
          <w:rFonts w:ascii="Times New Roman" w:hAnsi="Times New Roman" w:cs="Times New Roman"/>
          <w:sz w:val="24"/>
          <w:szCs w:val="24"/>
        </w:rPr>
      </w:pPr>
      <w:r>
        <w:rPr>
          <w:rFonts w:cs="Times New Roman" w:ascii="Times New Roman" w:hAnsi="Times New Roman"/>
          <w:sz w:val="24"/>
          <w:szCs w:val="24"/>
        </w:rPr>
        <w:t>SCORM – standartizuotas mokymo turinio formatas, leidžiantis integruoti mokymo medžiagą į mokymosi valdymo sistemas;</w:t>
      </w:r>
    </w:p>
    <w:p>
      <w:pPr>
        <w:pStyle w:val="Normal"/>
        <w:numPr>
          <w:ilvl w:val="1"/>
          <w:numId w:val="73"/>
        </w:numPr>
        <w:jc w:val="both"/>
        <w:rPr>
          <w:rFonts w:ascii="Times New Roman" w:hAnsi="Times New Roman" w:cs="Times New Roman"/>
          <w:sz w:val="24"/>
          <w:szCs w:val="24"/>
        </w:rPr>
      </w:pPr>
      <w:r>
        <w:rPr>
          <w:rFonts w:cs="Times New Roman" w:ascii="Times New Roman" w:hAnsi="Times New Roman"/>
          <w:sz w:val="24"/>
          <w:szCs w:val="24"/>
        </w:rPr>
        <w:t>Kiti interaktyvūs e. mokymų kūrimo formatai, kurie suderinami su virtualia mokymosi aplinka Moodle arba lygiaverte šiai sistemai platforma, užtikrinančia panašias funkcionalumo ir naudojimo galimybes.</w:t>
      </w:r>
    </w:p>
    <w:p>
      <w:pPr>
        <w:pStyle w:val="Normal"/>
        <w:numPr>
          <w:ilvl w:val="0"/>
          <w:numId w:val="74"/>
        </w:numPr>
        <w:jc w:val="both"/>
        <w:rPr>
          <w:rFonts w:ascii="Times New Roman" w:hAnsi="Times New Roman" w:cs="Times New Roman"/>
          <w:sz w:val="24"/>
          <w:szCs w:val="24"/>
        </w:rPr>
      </w:pPr>
      <w:r>
        <w:rPr>
          <w:rFonts w:cs="Times New Roman" w:ascii="Times New Roman" w:hAnsi="Times New Roman"/>
          <w:sz w:val="24"/>
          <w:szCs w:val="24"/>
        </w:rPr>
        <w:t>Visose mokymų medžiagos temose / dalyse turi būti naudojamos tokios pačios technologijos, kurios tarpusavyje turi derėti technologiškai ir funkciškai.</w:t>
      </w:r>
    </w:p>
    <w:p>
      <w:pPr>
        <w:pStyle w:val="Normal"/>
        <w:numPr>
          <w:ilvl w:val="0"/>
          <w:numId w:val="75"/>
        </w:numPr>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E. mokymų turinys turi būti estetiškas: derėti fonas, iliustracijos ir tekstas, harmoningai išdėstyti elementai, pasižymėti vientisa, stilinga grafika, šriftu, spalvomis, vaizdais ir kitais daugialypės terpės elementais.</w:t>
      </w:r>
    </w:p>
    <w:p>
      <w:pPr>
        <w:pStyle w:val="Normal"/>
        <w:numPr>
          <w:ilvl w:val="0"/>
          <w:numId w:val="76"/>
        </w:numPr>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E. mokymai turi būti tinkamai atvaizduojami nepriklausomai nuo įrenginio (kompiuterio, mobilaus įrenginio, planšetinio kompiuterio). </w:t>
      </w:r>
    </w:p>
    <w:p>
      <w:pPr>
        <w:pStyle w:val="Normal"/>
        <w:numPr>
          <w:ilvl w:val="0"/>
          <w:numId w:val="77"/>
        </w:numPr>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Tiekėjas kurdamas mokymų turinį, dizainą, mokymų funkcionalumą privalo juos suderinti su Perkančiąja organizacija.</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b/>
          <w:bCs/>
          <w:sz w:val="24"/>
          <w:szCs w:val="24"/>
        </w:rPr>
        <w:t>IV SKYRIUS</w:t>
      </w:r>
    </w:p>
    <w:p>
      <w:pPr>
        <w:pStyle w:val="Normal"/>
        <w:jc w:val="center"/>
        <w:rPr>
          <w:rFonts w:ascii="Times New Roman" w:hAnsi="Times New Roman" w:cs="Times New Roman"/>
          <w:sz w:val="24"/>
          <w:szCs w:val="24"/>
        </w:rPr>
      </w:pPr>
      <w:r>
        <w:rPr>
          <w:rFonts w:cs="Times New Roman" w:ascii="Times New Roman" w:hAnsi="Times New Roman"/>
          <w:b/>
          <w:bCs/>
          <w:sz w:val="24"/>
          <w:szCs w:val="24"/>
        </w:rPr>
        <w:t>MOKYMŲ PROGRAMOS, MOKYMŲ MEDŽIAGOS IR E. MOKYMŲ RENGIMO TVARKA</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78"/>
        </w:numPr>
        <w:jc w:val="both"/>
        <w:rPr>
          <w:rFonts w:ascii="Times New Roman" w:hAnsi="Times New Roman" w:cs="Times New Roman"/>
          <w:sz w:val="24"/>
          <w:szCs w:val="24"/>
        </w:rPr>
      </w:pPr>
      <w:r>
        <w:rPr>
          <w:rFonts w:cs="Times New Roman" w:ascii="Times New Roman" w:hAnsi="Times New Roman"/>
          <w:sz w:val="24"/>
          <w:szCs w:val="24"/>
        </w:rPr>
        <w:t>Pasirašius paslaugų teikimo sutartį Tiekėjas ne vėliau kaip per 10 darbo dienų turi pateikti Perkančiajai organizacijai derinti paslaugų vykdymo planą, kuriame turi būti nurodytas planuojamas galutinis paslaugų suteikimo terminas, atskiri Paslaugų teikimo etapai, jų apimtys bei kita Tiekėjui ir Perkančiajai organizacijai svarbi informacija.</w:t>
      </w:r>
    </w:p>
    <w:p>
      <w:pPr>
        <w:pStyle w:val="Normal"/>
        <w:numPr>
          <w:ilvl w:val="0"/>
          <w:numId w:val="79"/>
        </w:numPr>
        <w:jc w:val="both"/>
        <w:rPr>
          <w:rFonts w:ascii="Times New Roman" w:hAnsi="Times New Roman" w:cs="Times New Roman"/>
          <w:sz w:val="24"/>
          <w:szCs w:val="24"/>
        </w:rPr>
      </w:pPr>
      <w:r>
        <w:rPr>
          <w:rFonts w:cs="Times New Roman" w:ascii="Times New Roman" w:hAnsi="Times New Roman"/>
          <w:sz w:val="24"/>
          <w:szCs w:val="24"/>
        </w:rPr>
        <w:t>Paslaugų vykdymo planą turi sudaryti šie mokymų kūrimo etapai:</w:t>
      </w:r>
    </w:p>
    <w:p>
      <w:pPr>
        <w:pStyle w:val="Normal"/>
        <w:numPr>
          <w:ilvl w:val="1"/>
          <w:numId w:val="80"/>
        </w:numPr>
        <w:jc w:val="both"/>
        <w:rPr>
          <w:rFonts w:ascii="Times New Roman" w:hAnsi="Times New Roman" w:cs="Times New Roman"/>
          <w:sz w:val="24"/>
          <w:szCs w:val="24"/>
        </w:rPr>
      </w:pPr>
      <w:r>
        <w:rPr>
          <w:rFonts w:cs="Times New Roman" w:ascii="Times New Roman" w:hAnsi="Times New Roman"/>
          <w:sz w:val="24"/>
          <w:szCs w:val="24"/>
        </w:rPr>
        <w:t>paslaugų vykdymo koncepcijos parengimas (detalus Perkančiosios organizacijos poreikio išsiaiškinimas, išgryninant mokymo tikslą, siektinus rezultatus, tikslinę auditoriją, mokymų temas);</w:t>
      </w:r>
    </w:p>
    <w:p>
      <w:pPr>
        <w:pStyle w:val="Normal"/>
        <w:numPr>
          <w:ilvl w:val="1"/>
          <w:numId w:val="81"/>
        </w:numPr>
        <w:jc w:val="both"/>
        <w:rPr>
          <w:rFonts w:ascii="Times New Roman" w:hAnsi="Times New Roman" w:cs="Times New Roman"/>
          <w:sz w:val="24"/>
          <w:szCs w:val="24"/>
        </w:rPr>
      </w:pPr>
      <w:r>
        <w:rPr>
          <w:rFonts w:cs="Times New Roman" w:ascii="Times New Roman" w:hAnsi="Times New Roman"/>
          <w:sz w:val="24"/>
          <w:szCs w:val="24"/>
        </w:rPr>
        <w:t>mokymų programos parengimas;</w:t>
      </w:r>
    </w:p>
    <w:p>
      <w:pPr>
        <w:pStyle w:val="Normal"/>
        <w:numPr>
          <w:ilvl w:val="1"/>
          <w:numId w:val="82"/>
        </w:numPr>
        <w:jc w:val="both"/>
        <w:rPr>
          <w:rFonts w:ascii="Times New Roman" w:hAnsi="Times New Roman" w:cs="Times New Roman"/>
          <w:sz w:val="24"/>
          <w:szCs w:val="24"/>
        </w:rPr>
      </w:pPr>
      <w:r>
        <w:rPr>
          <w:rFonts w:cs="Times New Roman" w:ascii="Times New Roman" w:hAnsi="Times New Roman"/>
          <w:sz w:val="24"/>
          <w:szCs w:val="24"/>
        </w:rPr>
        <w:t>mokymų medžiagos scenarijaus sukūrimas pagal patvirtintą mokymų programą (turinio struktūros parengimas, mokymų medžiagos pateikimo būdų (taip pat suderinant kokia forma (tekstinė, vaizdo ar kt.) medžiaga bus pateikiama) bei testų ir / ar užduočių ir baigiamojo vertinimo priemonių nustatymas);</w:t>
      </w:r>
    </w:p>
    <w:p>
      <w:pPr>
        <w:pStyle w:val="Normal"/>
        <w:numPr>
          <w:ilvl w:val="1"/>
          <w:numId w:val="83"/>
        </w:numPr>
        <w:jc w:val="both"/>
        <w:rPr>
          <w:rFonts w:ascii="Times New Roman" w:hAnsi="Times New Roman" w:cs="Times New Roman"/>
          <w:sz w:val="24"/>
          <w:szCs w:val="24"/>
        </w:rPr>
      </w:pPr>
      <w:r>
        <w:rPr>
          <w:rFonts w:cs="Times New Roman" w:ascii="Times New Roman" w:hAnsi="Times New Roman"/>
          <w:sz w:val="24"/>
          <w:szCs w:val="24"/>
        </w:rPr>
        <w:t>E. mokymų grafinio dizaino parengimas;</w:t>
      </w:r>
    </w:p>
    <w:p>
      <w:pPr>
        <w:pStyle w:val="Normal"/>
        <w:numPr>
          <w:ilvl w:val="1"/>
          <w:numId w:val="84"/>
        </w:numPr>
        <w:jc w:val="both"/>
        <w:rPr>
          <w:rFonts w:ascii="Times New Roman" w:hAnsi="Times New Roman" w:cs="Times New Roman"/>
          <w:sz w:val="24"/>
          <w:szCs w:val="24"/>
        </w:rPr>
      </w:pPr>
      <w:r>
        <w:rPr>
          <w:rFonts w:cs="Times New Roman" w:ascii="Times New Roman" w:hAnsi="Times New Roman"/>
          <w:sz w:val="24"/>
          <w:szCs w:val="24"/>
        </w:rPr>
        <w:t>E. mokymų techninis išpildymas;</w:t>
      </w:r>
    </w:p>
    <w:p>
      <w:pPr>
        <w:pStyle w:val="Normal"/>
        <w:numPr>
          <w:ilvl w:val="1"/>
          <w:numId w:val="85"/>
        </w:numPr>
        <w:jc w:val="both"/>
        <w:rPr>
          <w:rFonts w:ascii="Times New Roman" w:hAnsi="Times New Roman" w:cs="Times New Roman"/>
          <w:sz w:val="24"/>
          <w:szCs w:val="24"/>
        </w:rPr>
      </w:pPr>
      <w:r>
        <w:rPr>
          <w:rFonts w:cs="Times New Roman" w:ascii="Times New Roman" w:hAnsi="Times New Roman"/>
          <w:sz w:val="24"/>
          <w:szCs w:val="24"/>
        </w:rPr>
        <w:t>E. mokymų testavimas ir klaidų šalinimas;</w:t>
      </w:r>
    </w:p>
    <w:p>
      <w:pPr>
        <w:pStyle w:val="Normal"/>
        <w:numPr>
          <w:ilvl w:val="1"/>
          <w:numId w:val="86"/>
        </w:numPr>
        <w:jc w:val="both"/>
        <w:rPr>
          <w:rFonts w:ascii="Times New Roman" w:hAnsi="Times New Roman" w:cs="Times New Roman"/>
          <w:sz w:val="24"/>
          <w:szCs w:val="24"/>
        </w:rPr>
      </w:pPr>
      <w:r>
        <w:rPr>
          <w:rFonts w:cs="Times New Roman" w:ascii="Times New Roman" w:hAnsi="Times New Roman"/>
          <w:sz w:val="24"/>
          <w:szCs w:val="24"/>
        </w:rPr>
        <w:t>E. mokymų perdavimas Perkančiajai organizacijai.</w:t>
      </w:r>
    </w:p>
    <w:p>
      <w:pPr>
        <w:pStyle w:val="Normal"/>
        <w:numPr>
          <w:ilvl w:val="0"/>
          <w:numId w:val="87"/>
        </w:numPr>
        <w:jc w:val="both"/>
        <w:rPr>
          <w:rFonts w:ascii="Times New Roman" w:hAnsi="Times New Roman" w:cs="Times New Roman"/>
          <w:sz w:val="24"/>
          <w:szCs w:val="24"/>
        </w:rPr>
      </w:pPr>
      <w:r>
        <w:rPr>
          <w:rFonts w:cs="Times New Roman" w:ascii="Times New Roman" w:hAnsi="Times New Roman"/>
          <w:sz w:val="24"/>
          <w:szCs w:val="24"/>
        </w:rPr>
        <w:t>Tiekėjas pradeda teikti paslaugą gavęs Perkančiosios organizacijos pritarimą raštu.</w:t>
      </w:r>
    </w:p>
    <w:p>
      <w:pPr>
        <w:pStyle w:val="Normal"/>
        <w:numPr>
          <w:ilvl w:val="0"/>
          <w:numId w:val="88"/>
        </w:numPr>
        <w:jc w:val="both"/>
        <w:rPr>
          <w:rFonts w:ascii="Times New Roman" w:hAnsi="Times New Roman" w:cs="Times New Roman"/>
          <w:sz w:val="24"/>
          <w:szCs w:val="24"/>
        </w:rPr>
      </w:pPr>
      <w:r>
        <w:rPr>
          <w:rFonts w:cs="Times New Roman" w:ascii="Times New Roman" w:hAnsi="Times New Roman"/>
          <w:sz w:val="24"/>
          <w:szCs w:val="24"/>
        </w:rPr>
        <w:t>Tiekėjas atsakingas už visą nuotolinių mokymų parengimo paslaugos proceso valdymą, darbų organizavimą ir atlikimą.</w:t>
      </w:r>
    </w:p>
    <w:p>
      <w:pPr>
        <w:pStyle w:val="Normal"/>
        <w:numPr>
          <w:ilvl w:val="0"/>
          <w:numId w:val="89"/>
        </w:numPr>
        <w:jc w:val="both"/>
        <w:rPr>
          <w:rFonts w:ascii="Times New Roman" w:hAnsi="Times New Roman" w:cs="Times New Roman"/>
          <w:sz w:val="24"/>
          <w:szCs w:val="24"/>
        </w:rPr>
      </w:pPr>
      <w:r>
        <w:rPr>
          <w:rFonts w:cs="Times New Roman" w:ascii="Times New Roman" w:hAnsi="Times New Roman"/>
          <w:sz w:val="24"/>
          <w:szCs w:val="24"/>
        </w:rPr>
        <w:t>Teikėjas korekcijas pagal Perkančiosios organizacijos pateiktas pastabas viso nuotolinių mokymų parengimo paslaugos proceso metu turi atlikti ne vėliau kaip per 5 darbo dienas nuo pastabų pateikimo.</w:t>
      </w:r>
    </w:p>
    <w:p>
      <w:pPr>
        <w:pStyle w:val="Normal"/>
        <w:numPr>
          <w:ilvl w:val="0"/>
          <w:numId w:val="90"/>
        </w:numPr>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Sukurtiems e. mokymams turi būti suteikiama garantija techniniams nesklandumams ir trūkumams šalinti – neribotai per 12 mėnesių nuo Paslaugų priėmimo–perdavimo akto pasirašymo dienos, jei tai susiję su Tiekėjo technine klaida arba neatitinka techninės specifikacijos, kitų reikalavimų, kurie buvo pateikti ir suderinti e. mokymų kūrimo metu.</w:t>
      </w:r>
      <w:bookmarkEnd w:id="7"/>
    </w:p>
    <w:p>
      <w:pPr>
        <w:pStyle w:val="Normal"/>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jc w:val="center"/>
        <w:rPr>
          <w:rFonts w:ascii="Times New Roman" w:hAnsi="Times New Roman" w:cs="Times New Roman"/>
          <w:sz w:val="24"/>
          <w:szCs w:val="24"/>
        </w:rPr>
      </w:pPr>
      <w:r>
        <w:rPr>
          <w:rFonts w:cs="Times New Roman" w:ascii="Times New Roman" w:hAnsi="Times New Roman"/>
          <w:b/>
          <w:bCs/>
          <w:sz w:val="24"/>
          <w:szCs w:val="24"/>
        </w:rPr>
        <w:t>V SKYRIUS</w:t>
      </w:r>
    </w:p>
    <w:p>
      <w:pPr>
        <w:pStyle w:val="Normal"/>
        <w:jc w:val="center"/>
        <w:rPr>
          <w:rFonts w:ascii="Times New Roman" w:hAnsi="Times New Roman" w:cs="Times New Roman"/>
          <w:sz w:val="24"/>
          <w:szCs w:val="24"/>
        </w:rPr>
      </w:pPr>
      <w:r>
        <w:rPr>
          <w:rFonts w:cs="Times New Roman" w:ascii="Times New Roman" w:hAnsi="Times New Roman"/>
          <w:b/>
          <w:bCs/>
          <w:sz w:val="24"/>
          <w:szCs w:val="24"/>
        </w:rPr>
        <w:t>BENDRI REIKALAVIMAI PIRKIMUI</w:t>
      </w:r>
    </w:p>
    <w:p>
      <w:pPr>
        <w:pStyle w:val="Normal"/>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numPr>
          <w:ilvl w:val="0"/>
          <w:numId w:val="91"/>
        </w:numPr>
        <w:jc w:val="both"/>
        <w:rPr>
          <w:rFonts w:ascii="Times New Roman" w:hAnsi="Times New Roman" w:cs="Times New Roman"/>
          <w:sz w:val="24"/>
          <w:szCs w:val="24"/>
        </w:rPr>
      </w:pPr>
      <w:r>
        <w:rPr>
          <w:rFonts w:cs="Times New Roman" w:ascii="Times New Roman" w:hAnsi="Times New Roman"/>
          <w:sz w:val="24"/>
          <w:szCs w:val="24"/>
        </w:rPr>
        <w:t xml:space="preserve">Tiekėjas turi paskirti atsakingą asmenį, į kurį Perkančioji organizacija galėtų kreiptis dėl teikiamos Paslaugos. </w:t>
      </w:r>
    </w:p>
    <w:p>
      <w:pPr>
        <w:pStyle w:val="Normal"/>
        <w:numPr>
          <w:ilvl w:val="0"/>
          <w:numId w:val="92"/>
        </w:numPr>
        <w:jc w:val="both"/>
        <w:rPr>
          <w:rFonts w:ascii="Times New Roman" w:hAnsi="Times New Roman" w:cs="Times New Roman"/>
          <w:sz w:val="24"/>
          <w:szCs w:val="24"/>
        </w:rPr>
      </w:pPr>
      <w:r>
        <w:rPr>
          <w:rFonts w:cs="Times New Roman" w:ascii="Times New Roman" w:hAnsi="Times New Roman"/>
          <w:sz w:val="24"/>
          <w:szCs w:val="24"/>
        </w:rPr>
        <w:t>Jeigu tiekėjas, teikdamas Paslaugą, pasinaudoja trečiųjų asmenų intelektine nuosavybe, įskaitant, bet tuo neapsiribojant, autorių teises, licencijas, patentus, brėžinius, modelius, prekių ženklus, kuri integruojama ar kitaip susiejama su Paslaugų rezultatu, tai teikėjas užtikrina ir garantuoja savo sąskaita, kad nebus pažeistos šių trečiųjų asmenų teisės.</w:t>
      </w:r>
    </w:p>
    <w:p>
      <w:pPr>
        <w:pStyle w:val="Normal"/>
        <w:numPr>
          <w:ilvl w:val="0"/>
          <w:numId w:val="93"/>
        </w:numPr>
        <w:jc w:val="both"/>
        <w:rPr>
          <w:rFonts w:ascii="Times New Roman" w:hAnsi="Times New Roman" w:cs="Times New Roman"/>
          <w:sz w:val="24"/>
          <w:szCs w:val="24"/>
        </w:rPr>
      </w:pPr>
      <w:r>
        <w:rPr>
          <w:rFonts w:cs="Times New Roman" w:ascii="Times New Roman" w:hAnsi="Times New Roman"/>
          <w:sz w:val="24"/>
          <w:szCs w:val="24"/>
        </w:rPr>
        <w:t>Tiekėjas užtikrina ir atsako, kad jo suteiktos Paslaugos ir jų rezultatas nepažeis trečiųjų asmenų intelektinės nuosavybės teisių ir, kad Perkančioji organizacija nepatirs jokių teisinių išlaidų ar nuostolių dėl reikalavimų arba įsipareigojimų, susijusių su intelektinės nuosavybės teisėmis į Sutarties dalyką.</w:t>
      </w:r>
    </w:p>
    <w:p>
      <w:pPr>
        <w:pStyle w:val="Normal"/>
        <w:numPr>
          <w:ilvl w:val="0"/>
          <w:numId w:val="94"/>
        </w:numPr>
        <w:jc w:val="both"/>
        <w:rPr>
          <w:rFonts w:ascii="Times New Roman" w:hAnsi="Times New Roman" w:cs="Times New Roman"/>
          <w:sz w:val="24"/>
          <w:szCs w:val="24"/>
        </w:rPr>
      </w:pPr>
      <w:r>
        <w:rPr>
          <w:rFonts w:cs="Times New Roman" w:ascii="Times New Roman" w:hAnsi="Times New Roman"/>
          <w:sz w:val="24"/>
          <w:szCs w:val="24"/>
        </w:rPr>
        <w:t>Paslauga bus laikoma suteikta tinkamai Perkančiajai organizacijai pasirašius Paslaugų priėmimo–perdavimo aktą.</w:t>
      </w:r>
    </w:p>
    <w:p>
      <w:pPr>
        <w:pStyle w:val="Normal"/>
        <w:numPr>
          <w:ilvl w:val="0"/>
          <w:numId w:val="95"/>
        </w:numPr>
        <w:jc w:val="both"/>
        <w:rPr>
          <w:rFonts w:ascii="Times New Roman" w:hAnsi="Times New Roman" w:cs="Times New Roman"/>
          <w:sz w:val="24"/>
          <w:szCs w:val="24"/>
        </w:rPr>
      </w:pPr>
      <w:r>
        <w:rPr>
          <w:rFonts w:cs="Times New Roman" w:ascii="Times New Roman" w:hAnsi="Times New Roman"/>
          <w:sz w:val="24"/>
          <w:szCs w:val="24"/>
        </w:rPr>
        <w:t xml:space="preserve">Nuo Perkančiosios organizacijos galutinio atsiskaitymo su Tiekėju dienos sukurtos Paslaugos intelektinė nuosavybė perduodama Perkančiajai organizacijai neterminuotai ir su galimybe jomis naudotis be apribojimų. Perkančiajai organizacijai suteikiama teisė naudotis minėtais rezultatais bet kokia forma, daryti kopijas, platinti, daryti pakeitimus ar kitaip disponuoti. Tiekėjas patvirtina, kad perduotos autorių turtinės teisės į jo sukurtus paslaugų rezultatus yra įskaičiuotos į pateikto pasiūlymo kainą už suteiktas paslaugas. </w:t>
      </w:r>
    </w:p>
    <w:p>
      <w:pPr>
        <w:pStyle w:val="Normal"/>
        <w:numPr>
          <w:ilvl w:val="0"/>
          <w:numId w:val="96"/>
        </w:numPr>
        <w:jc w:val="both"/>
        <w:rPr>
          <w:rFonts w:ascii="Times New Roman" w:hAnsi="Times New Roman" w:cs="Times New Roman"/>
          <w:sz w:val="24"/>
          <w:szCs w:val="24"/>
        </w:rPr>
      </w:pPr>
      <w:r>
        <w:rPr>
          <w:rFonts w:cs="Times New Roman" w:ascii="Times New Roman" w:hAnsi="Times New Roman"/>
          <w:sz w:val="24"/>
          <w:szCs w:val="24"/>
        </w:rPr>
        <w:t>Minimalūs aplinkos apsaugos kriterijai, kurie taikomi paslaugoms -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b/>
          <w:bCs/>
          <w:sz w:val="24"/>
          <w:szCs w:val="24"/>
        </w:rPr>
        <w:t>VII SKYRIUS</w:t>
      </w:r>
    </w:p>
    <w:p>
      <w:pPr>
        <w:pStyle w:val="Normal"/>
        <w:jc w:val="center"/>
        <w:rPr>
          <w:rFonts w:ascii="Times New Roman" w:hAnsi="Times New Roman" w:cs="Times New Roman"/>
          <w:sz w:val="24"/>
          <w:szCs w:val="24"/>
        </w:rPr>
      </w:pPr>
      <w:r>
        <w:rPr>
          <w:rFonts w:cs="Times New Roman" w:ascii="Times New Roman" w:hAnsi="Times New Roman"/>
          <w:b/>
          <w:bCs/>
          <w:sz w:val="24"/>
          <w:szCs w:val="24"/>
        </w:rPr>
        <w:t>ASMENS DUOMENŲ TVARKYMAS</w:t>
      </w:r>
    </w:p>
    <w:p>
      <w:pPr>
        <w:pStyle w:val="Normal"/>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numPr>
          <w:ilvl w:val="0"/>
          <w:numId w:val="97"/>
        </w:numPr>
        <w:jc w:val="both"/>
        <w:rPr>
          <w:rFonts w:ascii="Times New Roman" w:hAnsi="Times New Roman" w:cs="Times New Roman"/>
          <w:sz w:val="24"/>
          <w:szCs w:val="24"/>
        </w:rPr>
      </w:pPr>
      <w:r>
        <w:rPr>
          <w:rFonts w:cs="Times New Roman" w:ascii="Times New Roman" w:hAnsi="Times New Roman"/>
          <w:sz w:val="24"/>
          <w:szCs w:val="24"/>
        </w:rPr>
        <w:t>Perkančioji organizacija, kaip duomenų valdytojas, tvarkys pasiūlyme nurodytus bei pirkimo procedūrų metu iš Tiekėjo gautus duomenų subjektų – fizinių asmenų –Tiekėjo arba jo įgaliotų asmenų, darbuotojų, subtiekėjų, partnerių, kitų asmenų duomenis (vardas, pavardė, pareigos, telefono ryšio numeris, elektroninio pašto adresas, atitiktį kvalifikaciniams reikalavimams patvirtinantys duomenys, kiti Perkančiajai organizacijai Tiekėjo pateikti būtini duomenys) viešųjų pirkimų organizavimo ir vykdymo tikslu vadovaudamasi Reglamento (ES) 2016/679 6 straipsnio 1 dalies c punktu, įgyvendindama pareigas, įtvirtintas Lietuvos Respublikos viešųjų pirkimų įstatyme ir kituose viešuosius pirkimus reglamentuojančiuose teisės aktuose, bei saugos juos pirkimų organizavimo ir vykdymo laikotarpiu bei 10 metų pirkimo procedūroms pasibaigus.</w:t>
      </w:r>
    </w:p>
    <w:p>
      <w:pPr>
        <w:pStyle w:val="Normal"/>
        <w:numPr>
          <w:ilvl w:val="0"/>
          <w:numId w:val="98"/>
        </w:numPr>
        <w:jc w:val="both"/>
        <w:rPr>
          <w:rFonts w:ascii="Times New Roman" w:hAnsi="Times New Roman" w:cs="Times New Roman"/>
          <w:sz w:val="24"/>
          <w:szCs w:val="24"/>
        </w:rPr>
      </w:pPr>
      <w:r>
        <w:rPr>
          <w:rFonts w:cs="Times New Roman" w:ascii="Times New Roman" w:hAnsi="Times New Roman"/>
          <w:sz w:val="24"/>
          <w:szCs w:val="24"/>
        </w:rPr>
        <w:t>Perkančioji organizacija tvarkys Tiekėjo, kurio pasiūlymas bus pripažintas laimėjusiu ir su kuriuo bus sudaryta Sutartis, pateiktus fizinių asmenų – Tiekėjo arba jo įgaliotų asmenų, darbuotojų,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pPr>
        <w:pStyle w:val="Normal"/>
        <w:numPr>
          <w:ilvl w:val="0"/>
          <w:numId w:val="99"/>
        </w:numPr>
        <w:jc w:val="both"/>
        <w:rPr>
          <w:rFonts w:ascii="Times New Roman" w:hAnsi="Times New Roman" w:cs="Times New Roman"/>
          <w:sz w:val="24"/>
          <w:szCs w:val="24"/>
        </w:rPr>
      </w:pPr>
      <w:r>
        <w:rPr>
          <w:rFonts w:cs="Times New Roman" w:ascii="Times New Roman" w:hAnsi="Times New Roman"/>
          <w:sz w:val="24"/>
          <w:szCs w:val="24"/>
        </w:rPr>
        <w:t>Kilus ginčams dėl viešųjų pirkimų organizavimo ar Sutarties vykdymo, Perkančioji organizacija gali tvarkyti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Normal"/>
        <w:numPr>
          <w:ilvl w:val="0"/>
          <w:numId w:val="100"/>
        </w:numPr>
        <w:jc w:val="both"/>
        <w:rPr>
          <w:rFonts w:ascii="Times New Roman" w:hAnsi="Times New Roman" w:cs="Times New Roman"/>
          <w:sz w:val="24"/>
          <w:szCs w:val="24"/>
        </w:rPr>
      </w:pPr>
      <w:r>
        <w:rPr>
          <w:rFonts w:cs="Times New Roman" w:ascii="Times New Roman" w:hAnsi="Times New Roman"/>
          <w:sz w:val="24"/>
          <w:szCs w:val="24"/>
        </w:rPr>
        <w:t xml:space="preserve">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Perkančiosios organizacijos dokumentacijos plane numatytais terminais.  </w:t>
      </w:r>
    </w:p>
    <w:p>
      <w:pPr>
        <w:pStyle w:val="Normal"/>
        <w:numPr>
          <w:ilvl w:val="0"/>
          <w:numId w:val="101"/>
        </w:numPr>
        <w:jc w:val="both"/>
        <w:rPr>
          <w:rFonts w:ascii="Times New Roman" w:hAnsi="Times New Roman" w:cs="Times New Roman"/>
          <w:sz w:val="24"/>
          <w:szCs w:val="24"/>
        </w:rPr>
      </w:pPr>
      <w:r>
        <w:rPr>
          <w:rFonts w:cs="Times New Roman" w:ascii="Times New Roman" w:hAnsi="Times New Roman"/>
          <w:sz w:val="24"/>
          <w:szCs w:val="24"/>
        </w:rPr>
        <w:t>Tuo atveju, kai nurodytų asmenų duomenys bus pateikiami finansiniuose dokumentuose, Perkančioji organizacija juos tvarkys finansinės apskaitos tikslu  vadovaudamasi Reglamento (ES) 2016/679 6 straipsnio 1 dalies c punktu, įgyvendindama pareigas, įtvirtintas Lietuvos Respublikos finansinės apskaitos įstatyme, kituose teisės aktuose.</w:t>
      </w:r>
    </w:p>
    <w:p>
      <w:pPr>
        <w:pStyle w:val="Normal"/>
        <w:numPr>
          <w:ilvl w:val="0"/>
          <w:numId w:val="102"/>
        </w:numPr>
        <w:jc w:val="both"/>
        <w:rPr>
          <w:rFonts w:ascii="Times New Roman" w:hAnsi="Times New Roman" w:cs="Times New Roman"/>
          <w:sz w:val="24"/>
          <w:szCs w:val="24"/>
        </w:rPr>
      </w:pPr>
      <w:r>
        <w:rPr>
          <w:rFonts w:cs="Times New Roman" w:ascii="Times New Roman" w:hAnsi="Times New Roman"/>
          <w:sz w:val="24"/>
          <w:szCs w:val="24"/>
        </w:rPr>
        <w:t>Asmens duomenų pateikimas yra privalomas. Nepateikus asmens duomenų Tiekėjo pasiūlymas negalės būti vertinamas bei nebus galima sudaryti ir vykdyti Sutarties.</w:t>
      </w:r>
    </w:p>
    <w:p>
      <w:pPr>
        <w:pStyle w:val="Normal"/>
        <w:numPr>
          <w:ilvl w:val="0"/>
          <w:numId w:val="103"/>
        </w:numPr>
        <w:jc w:val="both"/>
        <w:rPr>
          <w:rFonts w:ascii="Times New Roman" w:hAnsi="Times New Roman" w:cs="Times New Roman"/>
          <w:sz w:val="24"/>
          <w:szCs w:val="24"/>
        </w:rPr>
      </w:pPr>
      <w:r>
        <w:rPr>
          <w:rFonts w:cs="Times New Roman" w:ascii="Times New Roman" w:hAnsi="Times New Roman"/>
          <w:sz w:val="24"/>
          <w:szCs w:val="24"/>
        </w:rPr>
        <w:t xml:space="preserve">Asmens duomenis Perkančioji organizacija gali teikti Viešųjų pirkimų tarnybai, teismams, kitoms ginčus nagrinėjančioms institucijoms, bankams ar kitoms mokėjimo įstaigoms (atliekant mokėjimus už paslaugas), paslaugų teikėjams, teikiantiems Perkančiajai organizacijai informacinių technologijų infrastruktūros, programinės įrangos ir jų priežiūros bei administravimo, elektroninių ryšių, auditorių, teisines, konsultavimo, duomenų apsaugos pareigūno bei kitas paslaugas. Laimėjusio Tiekėjo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Normal"/>
        <w:numPr>
          <w:ilvl w:val="0"/>
          <w:numId w:val="104"/>
        </w:numPr>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Tiekėjas arba jo įgalioti asmenys, darbuotojai, subtiekėjai, partneriai, kiti asmenys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Perkančiosios organizacijos intereso; 7) teisę į duomenų perkeliamumą, tuo atveju, kai asmens duomenys tvarkomi sutarties sudarymo ir vykdymo pagrindu; 8) teisę pateikti skundą Valstybinei duomenų apsaugos inspekcijai, kurios kontaktai skelbiami čia: </w:t>
      </w:r>
      <w:hyperlink r:id="rId2">
        <w:r>
          <w:rPr>
            <w:rStyle w:val="Hyperlink"/>
            <w:rFonts w:cs="Times New Roman" w:ascii="Times New Roman" w:hAnsi="Times New Roman"/>
            <w:sz w:val="24"/>
            <w:szCs w:val="24"/>
          </w:rPr>
          <w:t>https://vdai.lrv.lt/</w:t>
        </w:r>
      </w:hyperlink>
      <w:r>
        <w:rPr>
          <w:rFonts w:cs="Times New Roman" w:ascii="Times New Roman" w:hAnsi="Times New Roman"/>
          <w:sz w:val="24"/>
          <w:szCs w:val="24"/>
        </w:rPr>
        <w:t xml:space="preserve">. </w:t>
      </w:r>
    </w:p>
    <w:p>
      <w:pPr>
        <w:pStyle w:val="Normal"/>
        <w:numPr>
          <w:ilvl w:val="0"/>
          <w:numId w:val="105"/>
        </w:numPr>
        <w:jc w:val="both"/>
        <w:rPr>
          <w:rFonts w:ascii="Times New Roman" w:hAnsi="Times New Roman" w:cs="Times New Roman"/>
          <w:sz w:val="24"/>
          <w:szCs w:val="24"/>
        </w:rPr>
      </w:pPr>
      <w:r>
        <w:rPr>
          <w:rFonts w:cs="Times New Roman" w:ascii="Times New Roman" w:hAnsi="Times New Roman"/>
          <w:sz w:val="24"/>
          <w:szCs w:val="24"/>
        </w:rPr>
        <w:t xml:space="preserve">Duomenų subjektai prašymus dėl aukščiau nurodytų savo teisių įgyvendinimo, taip pat kitus skundus/prašymus dėl asmens duomenų tvarkymo gali pateikti Perkančiajai organizacijai paštu adresu Studentų g. 45A, Vilnius, el. paštu </w:t>
      </w:r>
      <w:hyperlink r:id="rId3">
        <w:r>
          <w:rPr>
            <w:rStyle w:val="Hyperlink"/>
            <w:rFonts w:cs="Times New Roman" w:ascii="Times New Roman" w:hAnsi="Times New Roman"/>
            <w:sz w:val="24"/>
            <w:szCs w:val="24"/>
          </w:rPr>
          <w:t>institutas@hi.lt</w:t>
        </w:r>
      </w:hyperlink>
      <w:r>
        <w:rPr>
          <w:rFonts w:cs="Times New Roman" w:ascii="Times New Roman" w:hAnsi="Times New Roman"/>
          <w:sz w:val="24"/>
          <w:szCs w:val="24"/>
        </w:rPr>
        <w:t xml:space="preserve"> arba jos duomenų apsaugos pareigūnui el. paštu info@adaekspertai.lt. </w:t>
      </w:r>
    </w:p>
    <w:p>
      <w:pPr>
        <w:pStyle w:val="Normal"/>
        <w:numPr>
          <w:ilvl w:val="0"/>
          <w:numId w:val="106"/>
        </w:numPr>
        <w:jc w:val="both"/>
        <w:rPr>
          <w:rFonts w:ascii="Times New Roman" w:hAnsi="Times New Roman" w:cs="Times New Roman"/>
          <w:sz w:val="24"/>
          <w:szCs w:val="24"/>
        </w:rPr>
      </w:pPr>
      <w:r>
        <w:rPr>
          <w:rFonts w:cs="Times New Roman" w:ascii="Times New Roman" w:hAnsi="Times New Roman"/>
          <w:sz w:val="24"/>
          <w:szCs w:val="24"/>
        </w:rPr>
        <w:t>Daugiau informacijos apie Perkančiosios organizacijos atliekamą asmens duomenų tvarkymą galima rasti jos interneto svetainėje adresu https://www.hi.lt/asmens-duomenu-apsauga/.</w:t>
      </w:r>
    </w:p>
    <w:p>
      <w:pPr>
        <w:pStyle w:val="Normal"/>
        <w:numPr>
          <w:ilvl w:val="0"/>
          <w:numId w:val="107"/>
        </w:numPr>
        <w:jc w:val="both"/>
        <w:rPr>
          <w:rFonts w:ascii="Times New Roman" w:hAnsi="Times New Roman" w:cs="Times New Roman"/>
          <w:sz w:val="24"/>
          <w:szCs w:val="24"/>
        </w:rPr>
      </w:pPr>
      <w:r>
        <w:rPr>
          <w:rFonts w:cs="Times New Roman" w:ascii="Times New Roman" w:hAnsi="Times New Roman"/>
          <w:sz w:val="24"/>
          <w:szCs w:val="24"/>
        </w:rPr>
        <w:t xml:space="preserve">Tiekėjas, prieš teikdamas pasiūlymą ir prieš sudarydamas Sutartį, nurodytus fizinius asmenis privalo supažindinti su 30-39 punktuose pateikta informacija apie Perkančiosios organizacijos vykdomą asmens duomenų tvarkymą. </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160"/>
        <w:jc w:val="center"/>
        <w:rPr>
          <w:rFonts w:ascii="Times New Roman" w:hAnsi="Times New Roman" w:cs="Times New Roman"/>
          <w:sz w:val="24"/>
          <w:szCs w:val="24"/>
        </w:rPr>
      </w:pPr>
      <w:r>
        <w:rPr>
          <w:rFonts w:cs="Times New Roman" w:ascii="Times New Roman" w:hAnsi="Times New Roman"/>
          <w:b/>
          <w:sz w:val="24"/>
          <w:szCs w:val="24"/>
        </w:rPr>
        <w:t>______________________</w:t>
      </w:r>
    </w:p>
    <w:sectPr>
      <w:type w:val="nextPage"/>
      <w:pgSz w:w="11906" w:h="16838"/>
      <w:pgMar w:left="1701" w:right="567" w:gutter="0" w:header="0" w:top="1701"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2"/>
      <w:numFmt w:val="decimal"/>
      <w:lvlText w:val="%1"/>
      <w:lvlJc w:val="left"/>
      <w:pPr>
        <w:tabs>
          <w:tab w:val="num" w:pos="0"/>
        </w:tabs>
        <w:ind w:left="360" w:hanging="360"/>
      </w:pPr>
      <w:rPr>
        <w:rFonts w:eastAsia="Calibri" w:cs="" w:cstheme="minorBidi"/>
        <w:color w:themeColor="text1" w:val="000000"/>
      </w:rPr>
    </w:lvl>
    <w:lvl w:ilvl="1">
      <w:start w:val="1"/>
      <w:numFmt w:val="decimal"/>
      <w:lvlText w:val="%1.%2"/>
      <w:lvlJc w:val="left"/>
      <w:pPr>
        <w:tabs>
          <w:tab w:val="num" w:pos="0"/>
        </w:tabs>
        <w:ind w:left="360" w:hanging="360"/>
      </w:pPr>
      <w:rPr>
        <w:rFonts w:eastAsia="Calibri" w:cs="" w:cstheme="minorBidi"/>
        <w:color w:themeColor="text1" w:val="000000"/>
      </w:rPr>
    </w:lvl>
    <w:lvl w:ilvl="2">
      <w:start w:val="1"/>
      <w:numFmt w:val="decimal"/>
      <w:lvlText w:val="%1.%2.%3"/>
      <w:lvlJc w:val="left"/>
      <w:pPr>
        <w:tabs>
          <w:tab w:val="num" w:pos="0"/>
        </w:tabs>
        <w:ind w:left="720" w:hanging="720"/>
      </w:pPr>
      <w:rPr>
        <w:rFonts w:eastAsia="Calibri" w:cs="" w:cstheme="minorBidi"/>
        <w:color w:themeColor="text1" w:val="000000"/>
      </w:rPr>
    </w:lvl>
    <w:lvl w:ilvl="3">
      <w:start w:val="1"/>
      <w:numFmt w:val="decimal"/>
      <w:lvlText w:val="%1.%2.%3.%4"/>
      <w:lvlJc w:val="left"/>
      <w:pPr>
        <w:tabs>
          <w:tab w:val="num" w:pos="0"/>
        </w:tabs>
        <w:ind w:left="720" w:hanging="720"/>
      </w:pPr>
      <w:rPr>
        <w:rFonts w:eastAsia="Calibri" w:cs="" w:cstheme="minorBidi"/>
        <w:color w:themeColor="text1" w:val="000000"/>
      </w:rPr>
    </w:lvl>
    <w:lvl w:ilvl="4">
      <w:start w:val="1"/>
      <w:numFmt w:val="decimal"/>
      <w:lvlText w:val="%1.%2.%3.%4.%5"/>
      <w:lvlJc w:val="left"/>
      <w:pPr>
        <w:tabs>
          <w:tab w:val="num" w:pos="0"/>
        </w:tabs>
        <w:ind w:left="1080" w:hanging="1080"/>
      </w:pPr>
      <w:rPr>
        <w:rFonts w:eastAsia="Calibri" w:cs="" w:cstheme="minorBidi"/>
        <w:color w:themeColor="text1" w:val="000000"/>
      </w:rPr>
    </w:lvl>
    <w:lvl w:ilvl="5">
      <w:start w:val="1"/>
      <w:numFmt w:val="decimal"/>
      <w:lvlText w:val="%1.%2.%3.%4.%5.%6"/>
      <w:lvlJc w:val="left"/>
      <w:pPr>
        <w:tabs>
          <w:tab w:val="num" w:pos="0"/>
        </w:tabs>
        <w:ind w:left="1080" w:hanging="1080"/>
      </w:pPr>
      <w:rPr>
        <w:rFonts w:eastAsia="Calibri" w:cs="" w:cstheme="minorBidi"/>
        <w:color w:themeColor="text1" w:val="000000"/>
      </w:rPr>
    </w:lvl>
    <w:lvl w:ilvl="6">
      <w:start w:val="1"/>
      <w:numFmt w:val="decimal"/>
      <w:lvlText w:val="%1.%2.%3.%4.%5.%6.%7"/>
      <w:lvlJc w:val="left"/>
      <w:pPr>
        <w:tabs>
          <w:tab w:val="num" w:pos="0"/>
        </w:tabs>
        <w:ind w:left="1080" w:hanging="1080"/>
      </w:pPr>
      <w:rPr>
        <w:rFonts w:eastAsia="Calibri" w:cs="" w:cstheme="minorBidi"/>
        <w:color w:themeColor="text1" w:val="000000"/>
      </w:rPr>
    </w:lvl>
    <w:lvl w:ilvl="7">
      <w:start w:val="1"/>
      <w:numFmt w:val="decimal"/>
      <w:lvlText w:val="%1.%2.%3.%4.%5.%6.%7.%8"/>
      <w:lvlJc w:val="left"/>
      <w:pPr>
        <w:tabs>
          <w:tab w:val="num" w:pos="0"/>
        </w:tabs>
        <w:ind w:left="1440" w:hanging="1440"/>
      </w:pPr>
      <w:rPr>
        <w:rFonts w:eastAsia="Calibri" w:cs="" w:cstheme="minorBidi"/>
        <w:color w:themeColor="text1" w:val="000000"/>
      </w:rPr>
    </w:lvl>
    <w:lvl w:ilvl="8">
      <w:start w:val="1"/>
      <w:numFmt w:val="decimal"/>
      <w:lvlText w:val="%1.%2.%3.%4.%5.%6.%7.%8.%9"/>
      <w:lvlJc w:val="left"/>
      <w:pPr>
        <w:tabs>
          <w:tab w:val="num" w:pos="0"/>
        </w:tabs>
        <w:ind w:left="1440" w:hanging="1440"/>
      </w:pPr>
      <w:rPr>
        <w:rFonts w:eastAsia="Calibri" w:cs="" w:cstheme="minorBidi"/>
        <w:color w:themeColor="text1" w:val="000000"/>
      </w:rPr>
    </w:lvl>
  </w:abstractNum>
  <w:abstractNum w:abstractNumId="3">
    <w:lvl w:ilvl="0">
      <w:start w:val="2"/>
      <w:numFmt w:val="decimal"/>
      <w:lvlText w:val="%1"/>
      <w:lvlJc w:val="left"/>
      <w:pPr>
        <w:tabs>
          <w:tab w:val="num" w:pos="0"/>
        </w:tabs>
        <w:ind w:left="360" w:hanging="360"/>
      </w:pPr>
      <w:rPr>
        <w:rFonts w:eastAsia="Calibri" w:cs="" w:cstheme="minorBidi"/>
        <w:color w:themeColor="text1" w:val="000000"/>
      </w:rPr>
    </w:lvl>
    <w:lvl w:ilvl="1">
      <w:start w:val="1"/>
      <w:numFmt w:val="decimal"/>
      <w:lvlText w:val="%1.%2"/>
      <w:lvlJc w:val="left"/>
      <w:pPr>
        <w:tabs>
          <w:tab w:val="num" w:pos="0"/>
        </w:tabs>
        <w:ind w:left="360" w:hanging="360"/>
      </w:pPr>
      <w:rPr>
        <w:rFonts w:eastAsia="Calibri" w:cs="" w:cstheme="minorBidi"/>
        <w:color w:themeColor="text1" w:val="000000"/>
      </w:rPr>
    </w:lvl>
    <w:lvl w:ilvl="2">
      <w:start w:val="1"/>
      <w:numFmt w:val="decimal"/>
      <w:lvlText w:val="%1.%2.%3"/>
      <w:lvlJc w:val="left"/>
      <w:pPr>
        <w:tabs>
          <w:tab w:val="num" w:pos="0"/>
        </w:tabs>
        <w:ind w:left="720" w:hanging="720"/>
      </w:pPr>
      <w:rPr>
        <w:rFonts w:eastAsia="Calibri" w:cs="" w:cstheme="minorBidi"/>
        <w:color w:themeColor="text1" w:val="000000"/>
      </w:rPr>
    </w:lvl>
    <w:lvl w:ilvl="3">
      <w:start w:val="1"/>
      <w:numFmt w:val="decimal"/>
      <w:lvlText w:val="%1.%2.%3.%4"/>
      <w:lvlJc w:val="left"/>
      <w:pPr>
        <w:tabs>
          <w:tab w:val="num" w:pos="0"/>
        </w:tabs>
        <w:ind w:left="720" w:hanging="720"/>
      </w:pPr>
      <w:rPr>
        <w:rFonts w:eastAsia="Calibri" w:cs="" w:cstheme="minorBidi"/>
        <w:color w:themeColor="text1" w:val="000000"/>
      </w:rPr>
    </w:lvl>
    <w:lvl w:ilvl="4">
      <w:start w:val="1"/>
      <w:numFmt w:val="decimal"/>
      <w:lvlText w:val="%1.%2.%3.%4.%5"/>
      <w:lvlJc w:val="left"/>
      <w:pPr>
        <w:tabs>
          <w:tab w:val="num" w:pos="0"/>
        </w:tabs>
        <w:ind w:left="1080" w:hanging="1080"/>
      </w:pPr>
      <w:rPr>
        <w:rFonts w:eastAsia="Calibri" w:cs="" w:cstheme="minorBidi"/>
        <w:color w:themeColor="text1" w:val="000000"/>
      </w:rPr>
    </w:lvl>
    <w:lvl w:ilvl="5">
      <w:start w:val="1"/>
      <w:numFmt w:val="decimal"/>
      <w:lvlText w:val="%1.%2.%3.%4.%5.%6"/>
      <w:lvlJc w:val="left"/>
      <w:pPr>
        <w:tabs>
          <w:tab w:val="num" w:pos="0"/>
        </w:tabs>
        <w:ind w:left="1080" w:hanging="1080"/>
      </w:pPr>
      <w:rPr>
        <w:rFonts w:eastAsia="Calibri" w:cs="" w:cstheme="minorBidi"/>
        <w:color w:themeColor="text1" w:val="000000"/>
      </w:rPr>
    </w:lvl>
    <w:lvl w:ilvl="6">
      <w:start w:val="1"/>
      <w:numFmt w:val="decimal"/>
      <w:lvlText w:val="%1.%2.%3.%4.%5.%6.%7"/>
      <w:lvlJc w:val="left"/>
      <w:pPr>
        <w:tabs>
          <w:tab w:val="num" w:pos="0"/>
        </w:tabs>
        <w:ind w:left="1080" w:hanging="1080"/>
      </w:pPr>
      <w:rPr>
        <w:rFonts w:eastAsia="Calibri" w:cs="" w:cstheme="minorBidi"/>
        <w:color w:themeColor="text1" w:val="000000"/>
      </w:rPr>
    </w:lvl>
    <w:lvl w:ilvl="7">
      <w:start w:val="1"/>
      <w:numFmt w:val="decimal"/>
      <w:lvlText w:val="%1.%2.%3.%4.%5.%6.%7.%8"/>
      <w:lvlJc w:val="left"/>
      <w:pPr>
        <w:tabs>
          <w:tab w:val="num" w:pos="0"/>
        </w:tabs>
        <w:ind w:left="1440" w:hanging="1440"/>
      </w:pPr>
      <w:rPr>
        <w:rFonts w:eastAsia="Calibri" w:cs="" w:cstheme="minorBidi"/>
        <w:color w:themeColor="text1" w:val="000000"/>
      </w:rPr>
    </w:lvl>
    <w:lvl w:ilvl="8">
      <w:start w:val="1"/>
      <w:numFmt w:val="decimal"/>
      <w:lvlText w:val="%1.%2.%3.%4.%5.%6.%7.%8.%9"/>
      <w:lvlJc w:val="left"/>
      <w:pPr>
        <w:tabs>
          <w:tab w:val="num" w:pos="0"/>
        </w:tabs>
        <w:ind w:left="1440" w:hanging="1440"/>
      </w:pPr>
      <w:rPr>
        <w:rFonts w:eastAsia="Calibri" w:cs="" w:cstheme="minorBidi"/>
        <w:color w:themeColor="text1" w:val="000000"/>
      </w:rPr>
    </w:lvl>
  </w:abstractNum>
  <w:abstractNum w:abstractNumId="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3"/>
    <w:lvlOverride w:ilvl="0">
      <w:startOverride w:val="2"/>
    </w:lvlOverride>
  </w:num>
  <w:num w:numId="7">
    <w:abstractNumId w:val="3"/>
  </w:num>
  <w:num w:numId="8">
    <w:abstractNumId w:val="3"/>
  </w:num>
  <w:num w:numId="9">
    <w:abstractNumId w:val="3"/>
  </w:num>
  <w:num w:numId="10">
    <w:abstractNumId w:val="3"/>
  </w:num>
  <w:num w:numId="11">
    <w:abstractNumId w:val="3"/>
  </w:num>
  <w:num w:numId="12">
    <w:abstractNumId w:val="4"/>
    <w:lvlOverride w:ilvl="0">
      <w:startOverride w:val="1"/>
    </w:lvlOverride>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4"/>
  </w:num>
  <w:num w:numId="46">
    <w:abstractNumId w:val="4"/>
  </w:num>
  <w:num w:numId="47">
    <w:abstractNumId w:val="4"/>
  </w:num>
  <w:num w:numId="48">
    <w:abstractNumId w:val="4"/>
  </w:num>
  <w:num w:numId="49">
    <w:abstractNumId w:val="4"/>
  </w:num>
  <w:num w:numId="50">
    <w:abstractNumId w:val="4"/>
  </w:num>
  <w:num w:numId="51">
    <w:abstractNumId w:val="4"/>
  </w:num>
  <w:num w:numId="52">
    <w:abstractNumId w:val="4"/>
  </w:num>
  <w:num w:numId="53">
    <w:abstractNumId w:val="4"/>
  </w:num>
  <w:num w:numId="54">
    <w:abstractNumId w:val="4"/>
  </w:num>
  <w:num w:numId="55">
    <w:abstractNumId w:val="4"/>
  </w:num>
  <w:num w:numId="56">
    <w:abstractNumId w:val="4"/>
  </w:num>
  <w:num w:numId="57">
    <w:abstractNumId w:val="4"/>
  </w:num>
  <w:num w:numId="58">
    <w:abstractNumId w:val="4"/>
  </w:num>
  <w:num w:numId="59">
    <w:abstractNumId w:val="4"/>
  </w:num>
  <w:num w:numId="60">
    <w:abstractNumId w:val="4"/>
  </w:num>
  <w:num w:numId="61">
    <w:abstractNumId w:val="4"/>
  </w:num>
  <w:num w:numId="62">
    <w:abstractNumId w:val="4"/>
  </w:num>
  <w:num w:numId="63">
    <w:abstractNumId w:val="4"/>
  </w:num>
  <w:num w:numId="64">
    <w:abstractNumId w:val="4"/>
  </w:num>
  <w:num w:numId="65">
    <w:abstractNumId w:val="4"/>
  </w:num>
  <w:num w:numId="66">
    <w:abstractNumId w:val="4"/>
  </w:num>
  <w:num w:numId="67">
    <w:abstractNumId w:val="4"/>
  </w:num>
  <w:num w:numId="68">
    <w:abstractNumId w:val="4"/>
  </w:num>
  <w:num w:numId="69">
    <w:abstractNumId w:val="4"/>
  </w:num>
  <w:num w:numId="70">
    <w:abstractNumId w:val="4"/>
  </w:num>
  <w:num w:numId="71">
    <w:abstractNumId w:val="4"/>
  </w:num>
  <w:num w:numId="72">
    <w:abstractNumId w:val="4"/>
  </w:num>
  <w:num w:numId="73">
    <w:abstractNumId w:val="4"/>
  </w:num>
  <w:num w:numId="74">
    <w:abstractNumId w:val="4"/>
  </w:num>
  <w:num w:numId="75">
    <w:abstractNumId w:val="4"/>
  </w:num>
  <w:num w:numId="76">
    <w:abstractNumId w:val="4"/>
  </w:num>
  <w:num w:numId="77">
    <w:abstractNumId w:val="4"/>
  </w:num>
  <w:num w:numId="78">
    <w:abstractNumId w:val="4"/>
  </w:num>
  <w:num w:numId="79">
    <w:abstractNumId w:val="4"/>
  </w:num>
  <w:num w:numId="80">
    <w:abstractNumId w:val="4"/>
  </w:num>
  <w:num w:numId="81">
    <w:abstractNumId w:val="4"/>
  </w:num>
  <w:num w:numId="82">
    <w:abstractNumId w:val="4"/>
  </w:num>
  <w:num w:numId="83">
    <w:abstractNumId w:val="4"/>
  </w:num>
  <w:num w:numId="84">
    <w:abstractNumId w:val="4"/>
  </w:num>
  <w:num w:numId="85">
    <w:abstractNumId w:val="4"/>
  </w:num>
  <w:num w:numId="86">
    <w:abstractNumId w:val="4"/>
  </w:num>
  <w:num w:numId="87">
    <w:abstractNumId w:val="4"/>
  </w:num>
  <w:num w:numId="88">
    <w:abstractNumId w:val="4"/>
  </w:num>
  <w:num w:numId="89">
    <w:abstractNumId w:val="4"/>
  </w:num>
  <w:num w:numId="90">
    <w:abstractNumId w:val="4"/>
  </w:num>
  <w:num w:numId="91">
    <w:abstractNumId w:val="4"/>
  </w:num>
  <w:num w:numId="92">
    <w:abstractNumId w:val="4"/>
  </w:num>
  <w:num w:numId="93">
    <w:abstractNumId w:val="4"/>
  </w:num>
  <w:num w:numId="94">
    <w:abstractNumId w:val="4"/>
  </w:num>
  <w:num w:numId="95">
    <w:abstractNumId w:val="4"/>
  </w:num>
  <w:num w:numId="96">
    <w:abstractNumId w:val="4"/>
  </w:num>
  <w:num w:numId="97">
    <w:abstractNumId w:val="4"/>
  </w:num>
  <w:num w:numId="98">
    <w:abstractNumId w:val="4"/>
  </w:num>
  <w:num w:numId="99">
    <w:abstractNumId w:val="4"/>
  </w:num>
  <w:num w:numId="100">
    <w:abstractNumId w:val="4"/>
  </w:num>
  <w:num w:numId="101">
    <w:abstractNumId w:val="4"/>
  </w:num>
  <w:num w:numId="102">
    <w:abstractNumId w:val="4"/>
  </w:num>
  <w:num w:numId="103">
    <w:abstractNumId w:val="4"/>
  </w:num>
  <w:num w:numId="104">
    <w:abstractNumId w:val="4"/>
  </w:num>
  <w:num w:numId="105">
    <w:abstractNumId w:val="4"/>
  </w:num>
  <w:num w:numId="106">
    <w:abstractNumId w:val="4"/>
  </w:num>
  <w:num w:numId="107">
    <w:abstractNumId w:val="4"/>
  </w:num>
</w:numbering>
</file>

<file path=word/settings.xml><?xml version="1.0" encoding="utf-8"?>
<w:settings xmlns:w="http://schemas.openxmlformats.org/wordprocessingml/2006/main">
  <w:zoom w:percent="100"/>
  <w:trackRevisions/>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lt-LT" w:eastAsia="en-US" w:bidi="ar-SA"/>
      <w14:ligatures w14:val="standardContextual"/>
    </w:rPr>
  </w:style>
  <w:style w:type="paragraph" w:styleId="Heading1">
    <w:name w:val="Heading 1"/>
    <w:basedOn w:val="Normal"/>
    <w:next w:val="Normal"/>
    <w:link w:val="Antrat1Diagrama"/>
    <w:uiPriority w:val="9"/>
    <w:qFormat/>
    <w:rsid w:val="001f11aa"/>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Antrat2Diagrama"/>
    <w:uiPriority w:val="9"/>
    <w:unhideWhenUsed/>
    <w:qFormat/>
    <w:rsid w:val="001f11aa"/>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Antrat3Diagrama"/>
    <w:uiPriority w:val="9"/>
    <w:semiHidden/>
    <w:unhideWhenUsed/>
    <w:qFormat/>
    <w:rsid w:val="001f11aa"/>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Antrat4Diagrama"/>
    <w:uiPriority w:val="9"/>
    <w:semiHidden/>
    <w:unhideWhenUsed/>
    <w:qFormat/>
    <w:rsid w:val="001f11aa"/>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Antrat5Diagrama"/>
    <w:uiPriority w:val="9"/>
    <w:semiHidden/>
    <w:unhideWhenUsed/>
    <w:qFormat/>
    <w:rsid w:val="001f11aa"/>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Antrat6Diagrama"/>
    <w:uiPriority w:val="9"/>
    <w:semiHidden/>
    <w:unhideWhenUsed/>
    <w:qFormat/>
    <w:rsid w:val="001f11aa"/>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Antrat7Diagrama"/>
    <w:uiPriority w:val="9"/>
    <w:semiHidden/>
    <w:unhideWhenUsed/>
    <w:qFormat/>
    <w:rsid w:val="001f11aa"/>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Antrat8Diagrama"/>
    <w:uiPriority w:val="9"/>
    <w:semiHidden/>
    <w:unhideWhenUsed/>
    <w:qFormat/>
    <w:rsid w:val="001f11aa"/>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Antrat9Diagrama"/>
    <w:uiPriority w:val="9"/>
    <w:semiHidden/>
    <w:unhideWhenUsed/>
    <w:qFormat/>
    <w:rsid w:val="001f11aa"/>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Antrat1Diagrama" w:customStyle="1">
    <w:name w:val="Antraštė 1 Diagrama"/>
    <w:basedOn w:val="DefaultParagraphFont"/>
    <w:link w:val="Heading1"/>
    <w:uiPriority w:val="9"/>
    <w:qFormat/>
    <w:rsid w:val="001f11aa"/>
    <w:rPr>
      <w:rFonts w:ascii="Calibri Light" w:hAnsi="Calibri Light" w:eastAsia="" w:cs="" w:asciiTheme="majorHAnsi" w:cstheme="majorBidi" w:eastAsiaTheme="majorEastAsia" w:hAnsiTheme="majorHAnsi"/>
      <w:color w:themeColor="accent1" w:themeShade="bf" w:val="2F5496"/>
      <w:sz w:val="40"/>
      <w:szCs w:val="40"/>
      <w:lang w:val="lt-LT"/>
    </w:rPr>
  </w:style>
  <w:style w:type="character" w:styleId="Antrat2Diagrama" w:customStyle="1">
    <w:name w:val="Antraštė 2 Diagrama"/>
    <w:basedOn w:val="DefaultParagraphFont"/>
    <w:link w:val="Heading2"/>
    <w:uiPriority w:val="9"/>
    <w:qFormat/>
    <w:rsid w:val="001f11aa"/>
    <w:rPr>
      <w:rFonts w:ascii="Calibri Light" w:hAnsi="Calibri Light" w:eastAsia="" w:cs="" w:asciiTheme="majorHAnsi" w:cstheme="majorBidi" w:eastAsiaTheme="majorEastAsia" w:hAnsiTheme="majorHAnsi"/>
      <w:color w:themeColor="accent1" w:themeShade="bf" w:val="2F5496"/>
      <w:sz w:val="32"/>
      <w:szCs w:val="32"/>
      <w:lang w:val="lt-LT"/>
    </w:rPr>
  </w:style>
  <w:style w:type="character" w:styleId="Antrat3Diagrama" w:customStyle="1">
    <w:name w:val="Antraštė 3 Diagrama"/>
    <w:basedOn w:val="DefaultParagraphFont"/>
    <w:link w:val="Heading3"/>
    <w:uiPriority w:val="9"/>
    <w:semiHidden/>
    <w:qFormat/>
    <w:rsid w:val="001f11aa"/>
    <w:rPr>
      <w:rFonts w:eastAsia="" w:cs="" w:cstheme="majorBidi" w:eastAsiaTheme="majorEastAsia"/>
      <w:color w:themeColor="accent1" w:themeShade="bf" w:val="2F5496"/>
      <w:sz w:val="28"/>
      <w:szCs w:val="28"/>
      <w:lang w:val="lt-LT"/>
    </w:rPr>
  </w:style>
  <w:style w:type="character" w:styleId="Antrat4Diagrama" w:customStyle="1">
    <w:name w:val="Antraštė 4 Diagrama"/>
    <w:basedOn w:val="DefaultParagraphFont"/>
    <w:link w:val="Heading4"/>
    <w:uiPriority w:val="9"/>
    <w:semiHidden/>
    <w:qFormat/>
    <w:rsid w:val="001f11aa"/>
    <w:rPr>
      <w:rFonts w:eastAsia="" w:cs="" w:cstheme="majorBidi" w:eastAsiaTheme="majorEastAsia"/>
      <w:i/>
      <w:iCs/>
      <w:color w:themeColor="accent1" w:themeShade="bf" w:val="2F5496"/>
      <w:lang w:val="lt-LT"/>
    </w:rPr>
  </w:style>
  <w:style w:type="character" w:styleId="Antrat5Diagrama" w:customStyle="1">
    <w:name w:val="Antraštė 5 Diagrama"/>
    <w:basedOn w:val="DefaultParagraphFont"/>
    <w:link w:val="Heading5"/>
    <w:uiPriority w:val="9"/>
    <w:semiHidden/>
    <w:qFormat/>
    <w:rsid w:val="001f11aa"/>
    <w:rPr>
      <w:rFonts w:eastAsia="" w:cs="" w:cstheme="majorBidi" w:eastAsiaTheme="majorEastAsia"/>
      <w:color w:themeColor="accent1" w:themeShade="bf" w:val="2F5496"/>
      <w:lang w:val="lt-LT"/>
    </w:rPr>
  </w:style>
  <w:style w:type="character" w:styleId="Antrat6Diagrama" w:customStyle="1">
    <w:name w:val="Antraštė 6 Diagrama"/>
    <w:basedOn w:val="DefaultParagraphFont"/>
    <w:link w:val="Heading6"/>
    <w:uiPriority w:val="9"/>
    <w:semiHidden/>
    <w:qFormat/>
    <w:rsid w:val="001f11aa"/>
    <w:rPr>
      <w:rFonts w:eastAsia="" w:cs="" w:cstheme="majorBidi" w:eastAsiaTheme="majorEastAsia"/>
      <w:i/>
      <w:iCs/>
      <w:color w:themeColor="text1" w:themeTint="a6" w:val="595959"/>
      <w:lang w:val="lt-LT"/>
    </w:rPr>
  </w:style>
  <w:style w:type="character" w:styleId="Antrat7Diagrama" w:customStyle="1">
    <w:name w:val="Antraštė 7 Diagrama"/>
    <w:basedOn w:val="DefaultParagraphFont"/>
    <w:link w:val="Heading7"/>
    <w:uiPriority w:val="9"/>
    <w:semiHidden/>
    <w:qFormat/>
    <w:rsid w:val="001f11aa"/>
    <w:rPr>
      <w:rFonts w:eastAsia="" w:cs="" w:cstheme="majorBidi" w:eastAsiaTheme="majorEastAsia"/>
      <w:color w:themeColor="text1" w:themeTint="a6" w:val="595959"/>
      <w:lang w:val="lt-LT"/>
    </w:rPr>
  </w:style>
  <w:style w:type="character" w:styleId="Antrat8Diagrama" w:customStyle="1">
    <w:name w:val="Antraštė 8 Diagrama"/>
    <w:basedOn w:val="DefaultParagraphFont"/>
    <w:link w:val="Heading8"/>
    <w:uiPriority w:val="9"/>
    <w:semiHidden/>
    <w:qFormat/>
    <w:rsid w:val="001f11aa"/>
    <w:rPr>
      <w:rFonts w:eastAsia="" w:cs="" w:cstheme="majorBidi" w:eastAsiaTheme="majorEastAsia"/>
      <w:i/>
      <w:iCs/>
      <w:color w:themeColor="text1" w:themeTint="d8" w:val="272727"/>
      <w:lang w:val="lt-LT"/>
    </w:rPr>
  </w:style>
  <w:style w:type="character" w:styleId="Antrat9Diagrama" w:customStyle="1">
    <w:name w:val="Antraštė 9 Diagrama"/>
    <w:basedOn w:val="DefaultParagraphFont"/>
    <w:link w:val="Heading9"/>
    <w:uiPriority w:val="9"/>
    <w:semiHidden/>
    <w:qFormat/>
    <w:rsid w:val="001f11aa"/>
    <w:rPr>
      <w:rFonts w:eastAsia="" w:cs="" w:cstheme="majorBidi" w:eastAsiaTheme="majorEastAsia"/>
      <w:color w:themeColor="text1" w:themeTint="d8" w:val="272727"/>
      <w:lang w:val="lt-LT"/>
    </w:rPr>
  </w:style>
  <w:style w:type="character" w:styleId="PavadinimasDiagrama" w:customStyle="1">
    <w:name w:val="Pavadinimas Diagrama"/>
    <w:basedOn w:val="DefaultParagraphFont"/>
    <w:link w:val="Title"/>
    <w:uiPriority w:val="10"/>
    <w:qFormat/>
    <w:rsid w:val="001f11aa"/>
    <w:rPr>
      <w:rFonts w:ascii="Calibri Light" w:hAnsi="Calibri Light" w:eastAsia="" w:cs="" w:asciiTheme="majorHAnsi" w:cstheme="majorBidi" w:eastAsiaTheme="majorEastAsia" w:hAnsiTheme="majorHAnsi"/>
      <w:spacing w:val="-10"/>
      <w:kern w:val="2"/>
      <w:sz w:val="56"/>
      <w:szCs w:val="56"/>
      <w:lang w:val="lt-LT"/>
    </w:rPr>
  </w:style>
  <w:style w:type="character" w:styleId="PaantratDiagrama" w:customStyle="1">
    <w:name w:val="Paantraštė Diagrama"/>
    <w:basedOn w:val="DefaultParagraphFont"/>
    <w:link w:val="Subtitle"/>
    <w:uiPriority w:val="11"/>
    <w:qFormat/>
    <w:rsid w:val="001f11aa"/>
    <w:rPr>
      <w:rFonts w:eastAsia="" w:cs="" w:cstheme="majorBidi" w:eastAsiaTheme="majorEastAsia"/>
      <w:color w:themeColor="text1" w:themeTint="a6" w:val="595959"/>
      <w:spacing w:val="15"/>
      <w:sz w:val="28"/>
      <w:szCs w:val="28"/>
      <w:lang w:val="lt-LT"/>
    </w:rPr>
  </w:style>
  <w:style w:type="character" w:styleId="CitataDiagrama" w:customStyle="1">
    <w:name w:val="Citata Diagrama"/>
    <w:basedOn w:val="DefaultParagraphFont"/>
    <w:link w:val="Quote"/>
    <w:uiPriority w:val="29"/>
    <w:qFormat/>
    <w:rsid w:val="001f11aa"/>
    <w:rPr>
      <w:i/>
      <w:iCs/>
      <w:color w:themeColor="text1" w:themeTint="bf" w:val="404040"/>
      <w:lang w:val="lt-LT"/>
    </w:rPr>
  </w:style>
  <w:style w:type="character" w:styleId="IntenseEmphasis">
    <w:name w:val="Intense Emphasis"/>
    <w:basedOn w:val="DefaultParagraphFont"/>
    <w:uiPriority w:val="21"/>
    <w:qFormat/>
    <w:rsid w:val="001f11aa"/>
    <w:rPr>
      <w:i/>
      <w:iCs/>
      <w:color w:themeColor="accent1" w:themeShade="bf" w:val="2F5496"/>
    </w:rPr>
  </w:style>
  <w:style w:type="character" w:styleId="IskirtacitataDiagrama" w:customStyle="1">
    <w:name w:val="Išskirta citata Diagrama"/>
    <w:basedOn w:val="DefaultParagraphFont"/>
    <w:link w:val="IntenseQuote"/>
    <w:uiPriority w:val="30"/>
    <w:qFormat/>
    <w:rsid w:val="001f11aa"/>
    <w:rPr>
      <w:i/>
      <w:iCs/>
      <w:color w:themeColor="accent1" w:themeShade="bf" w:val="2F5496"/>
      <w:lang w:val="lt-LT"/>
    </w:rPr>
  </w:style>
  <w:style w:type="character" w:styleId="IntenseReference">
    <w:name w:val="Intense Reference"/>
    <w:basedOn w:val="DefaultParagraphFont"/>
    <w:uiPriority w:val="32"/>
    <w:qFormat/>
    <w:rsid w:val="001f11aa"/>
    <w:rPr>
      <w:b/>
      <w:bCs/>
      <w:smallCaps/>
      <w:color w:themeColor="accent1" w:themeShade="bf" w:val="2F5496"/>
      <w:spacing w:val="5"/>
    </w:rPr>
  </w:style>
  <w:style w:type="character" w:styleId="Hyperlink">
    <w:name w:val="Hyperlink"/>
    <w:basedOn w:val="DefaultParagraphFont"/>
    <w:uiPriority w:val="99"/>
    <w:unhideWhenUsed/>
    <w:rsid w:val="00aa4324"/>
    <w:rPr>
      <w:color w:themeColor="hyperlink" w:val="0563C1"/>
      <w:u w:val="single"/>
    </w:rPr>
  </w:style>
  <w:style w:type="character" w:styleId="UnresolvedMention">
    <w:name w:val="Unresolved Mention"/>
    <w:basedOn w:val="DefaultParagraphFont"/>
    <w:uiPriority w:val="99"/>
    <w:semiHidden/>
    <w:unhideWhenUsed/>
    <w:qFormat/>
    <w:rsid w:val="00aa4324"/>
    <w:rPr>
      <w:color w:val="605E5C"/>
      <w:shd w:fill="E1DFDD" w:val="clear"/>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PavadinimasDiagrama"/>
    <w:uiPriority w:val="10"/>
    <w:qFormat/>
    <w:rsid w:val="001f11aa"/>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PaantratDiagrama"/>
    <w:uiPriority w:val="11"/>
    <w:qFormat/>
    <w:rsid w:val="001f11aa"/>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taDiagrama"/>
    <w:uiPriority w:val="29"/>
    <w:qFormat/>
    <w:rsid w:val="001f11aa"/>
    <w:pPr>
      <w:spacing w:before="160" w:after="160"/>
      <w:jc w:val="center"/>
    </w:pPr>
    <w:rPr>
      <w:i/>
      <w:iCs/>
      <w:color w:themeColor="text1" w:themeTint="bf" w:val="404040"/>
    </w:rPr>
  </w:style>
  <w:style w:type="paragraph" w:styleId="ListParagraph">
    <w:name w:val="List Paragraph"/>
    <w:basedOn w:val="Normal"/>
    <w:uiPriority w:val="34"/>
    <w:qFormat/>
    <w:rsid w:val="001f11aa"/>
    <w:pPr>
      <w:spacing w:before="0" w:after="160"/>
      <w:ind w:left="720"/>
      <w:contextualSpacing/>
    </w:pPr>
    <w:rPr/>
  </w:style>
  <w:style w:type="paragraph" w:styleId="IntenseQuote">
    <w:name w:val="Intense Quote"/>
    <w:basedOn w:val="Normal"/>
    <w:next w:val="Normal"/>
    <w:link w:val="IskirtacitataDiagrama"/>
    <w:uiPriority w:val="30"/>
    <w:qFormat/>
    <w:rsid w:val="001f11aa"/>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S1lygis" w:customStyle="1">
    <w:name w:val="_S 1 lygis"/>
    <w:basedOn w:val="Normal"/>
    <w:qFormat/>
    <w:rsid w:val="00aa4324"/>
    <w:pPr>
      <w:numPr>
        <w:ilvl w:val="0"/>
        <w:numId w:val="1"/>
      </w:numPr>
      <w:suppressAutoHyphens w:val="true"/>
      <w:spacing w:lineRule="auto" w:line="240" w:before="240" w:after="240"/>
    </w:pPr>
    <w:rPr>
      <w:rFonts w:ascii="Times New Roman" w:hAnsi="Times New Roman" w:eastAsia="Times New Roman" w:cs="Times New Roman"/>
      <w:b/>
      <w:kern w:val="0"/>
      <w:sz w:val="24"/>
      <w:szCs w:val="24"/>
      <w:lang w:eastAsia="lt-LT"/>
      <w14:ligatures w14:val="none"/>
    </w:rPr>
  </w:style>
  <w:style w:type="paragraph" w:styleId="S2lygis" w:customStyle="1">
    <w:name w:val="_S 2 lygis"/>
    <w:basedOn w:val="Normal"/>
    <w:qFormat/>
    <w:rsid w:val="00aa4324"/>
    <w:pPr>
      <w:numPr>
        <w:ilvl w:val="1"/>
        <w:numId w:val="1"/>
      </w:numPr>
      <w:suppressAutoHyphens w:val="true"/>
      <w:spacing w:lineRule="auto" w:line="240" w:before="120" w:after="120"/>
      <w:jc w:val="both"/>
    </w:pPr>
    <w:rPr>
      <w:rFonts w:ascii="Times New Roman" w:hAnsi="Times New Roman" w:eastAsia="Times New Roman" w:cs="Times New Roman"/>
      <w:kern w:val="0"/>
      <w:sz w:val="24"/>
      <w:szCs w:val="24"/>
      <w:lang w:eastAsia="lt-LT"/>
      <w14:ligatures w14:val="none"/>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LibreOffice/7.6.4.1$Windows_X86_64 LibreOffice_project/e19e193f88cd6c0525a17fb7a176ed8e6a3e2aa1</Application>
  <AppVersion>15.0000</AppVersion>
  <Pages>9</Pages>
  <Words>2645</Words>
  <Characters>19378</Characters>
  <CharactersWithSpaces>21868</CharactersWithSpaces>
  <Paragraphs>120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2025-04-02T04:35:00Z</dcterms:created>
  <dc:creator>Juratė Miceikienė</dc:creator>
  <dc:description/>
  <dc:language>en-US</dc:language>
  <cp:lastModifiedBy/>
  <dcterms:modified xsi:type="dcterms:W3CDTF">2025-06-25T13:42:27Z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