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050B61" w14:paraId="79FAECB4"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77BF1E50" w14:textId="77777777" w:rsidR="00735D34" w:rsidRPr="00050B61" w:rsidRDefault="001E7A02" w:rsidP="00DA52C1">
            <w:pPr>
              <w:spacing w:after="0" w:line="240" w:lineRule="auto"/>
              <w:jc w:val="center"/>
              <w:rPr>
                <w:sz w:val="22"/>
              </w:rPr>
            </w:pPr>
            <w:r w:rsidRPr="00050B61">
              <w:rPr>
                <w:rFonts w:ascii="Calibri Light" w:hAnsi="Calibri Light" w:cs="Calibri Light"/>
                <w:b/>
                <w:color w:val="FFFFFF"/>
                <w:sz w:val="22"/>
              </w:rPr>
              <w:t xml:space="preserve">IŠTEKLIŲ AGENTŪRA </w:t>
            </w:r>
            <w:r w:rsidR="00735D34" w:rsidRPr="00050B61">
              <w:rPr>
                <w:rFonts w:ascii="Calibri Light" w:hAnsi="Calibri Light" w:cs="Calibri Light"/>
                <w:b/>
                <w:color w:val="FFFFFF"/>
                <w:sz w:val="22"/>
              </w:rPr>
              <w:t xml:space="preserve"> &gt; PIRKIMO DOKUMENTAI &gt; TECHNINĖ SPECIFIKACIJA</w:t>
            </w:r>
          </w:p>
        </w:tc>
      </w:tr>
    </w:tbl>
    <w:p w14:paraId="2A57A928" w14:textId="77777777" w:rsidR="00735D34" w:rsidRPr="00050B61"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050B61" w14:paraId="48858F3D"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00012F70" w14:textId="7032D16E" w:rsidR="00735D34" w:rsidRPr="00050B61"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Calibri Light" w:hAnsi="Calibri Light" w:cs="Calibri Light"/>
                      <w:b/>
                      <w:bCs/>
                      <w:sz w:val="22"/>
                      <w:szCs w:val="20"/>
                    </w:rPr>
                    <w:alias w:val="Įrašomas pirkimo pavadinimas ir Nr."/>
                    <w:tag w:val="Įrašomas pirkimo pavadinimas ir Nr."/>
                    <w:id w:val="-1311480434"/>
                    <w:placeholder>
                      <w:docPart w:val="15C7A8614ABC443BABB1C9FF0C4382F7"/>
                    </w:placeholder>
                    <w:text/>
                  </w:sdtPr>
                  <w:sdtContent>
                    <w:r w:rsidR="001C5CB9" w:rsidRPr="00050B61">
                      <w:rPr>
                        <w:rFonts w:ascii="Calibri Light" w:hAnsi="Calibri Light" w:cs="Calibri Light"/>
                        <w:b/>
                        <w:bCs/>
                        <w:sz w:val="22"/>
                        <w:szCs w:val="20"/>
                      </w:rPr>
                      <w:t>Individualūs dalykinės anglų kalbos mokymai (PPR-575)</w:t>
                    </w:r>
                  </w:sdtContent>
                </w:sdt>
              </w:sdtContent>
            </w:sdt>
          </w:p>
        </w:tc>
      </w:tr>
    </w:tbl>
    <w:p w14:paraId="31F9A278" w14:textId="77777777" w:rsidR="006B52C7" w:rsidRPr="00050B61" w:rsidRDefault="006B52C7" w:rsidP="006B52C7">
      <w:pPr>
        <w:pStyle w:val="Pagrindinistekstas"/>
        <w:spacing w:before="73" w:line="360" w:lineRule="auto"/>
        <w:ind w:hanging="1"/>
        <w:jc w:val="both"/>
        <w:rPr>
          <w:w w:val="105"/>
          <w:sz w:val="24"/>
          <w:szCs w:val="24"/>
        </w:rPr>
      </w:pPr>
    </w:p>
    <w:p w14:paraId="47F657A0" w14:textId="77777777" w:rsidR="00255EED" w:rsidRPr="00050B61" w:rsidRDefault="00255EED" w:rsidP="00255EED">
      <w:pPr>
        <w:pStyle w:val="Pavadinimas"/>
        <w:spacing w:line="360" w:lineRule="auto"/>
      </w:pPr>
    </w:p>
    <w:p w14:paraId="508C6A18" w14:textId="77777777" w:rsidR="00255EED" w:rsidRPr="00050B61" w:rsidRDefault="00255EED" w:rsidP="00255EED">
      <w:pPr>
        <w:pStyle w:val="Pavadinimas"/>
        <w:numPr>
          <w:ilvl w:val="0"/>
          <w:numId w:val="5"/>
        </w:numPr>
        <w:spacing w:line="276" w:lineRule="auto"/>
        <w:ind w:left="-142" w:firstLine="862"/>
        <w:jc w:val="both"/>
        <w:rPr>
          <w:b w:val="0"/>
          <w:bCs w:val="0"/>
        </w:rPr>
      </w:pPr>
      <w:r w:rsidRPr="00050B61">
        <w:t xml:space="preserve">Pirkimo objektas </w:t>
      </w:r>
      <w:r w:rsidRPr="00050B61">
        <w:rPr>
          <w:b w:val="0"/>
        </w:rPr>
        <w:t>–</w:t>
      </w:r>
      <w:r w:rsidRPr="00050B61">
        <w:rPr>
          <w:b w:val="0"/>
          <w:bCs w:val="0"/>
        </w:rPr>
        <w:t xml:space="preserve"> Individualūs dalykinės anglų kalbos mokymai.</w:t>
      </w:r>
    </w:p>
    <w:p w14:paraId="35CEF3CF" w14:textId="77777777" w:rsidR="00255EED" w:rsidRPr="00050B61" w:rsidRDefault="00255EED" w:rsidP="00255EED">
      <w:pPr>
        <w:pStyle w:val="Pavadinimas"/>
        <w:numPr>
          <w:ilvl w:val="0"/>
          <w:numId w:val="5"/>
        </w:numPr>
        <w:spacing w:line="276" w:lineRule="auto"/>
        <w:ind w:left="-142" w:firstLine="862"/>
        <w:jc w:val="both"/>
        <w:rPr>
          <w:b w:val="0"/>
          <w:bCs w:val="0"/>
        </w:rPr>
      </w:pPr>
      <w:r w:rsidRPr="00050B61">
        <w:t>Perkančioji organizacija</w:t>
      </w:r>
      <w:r w:rsidRPr="00050B61">
        <w:rPr>
          <w:b w:val="0"/>
          <w:bCs w:val="0"/>
        </w:rPr>
        <w:t>: Lietuvos Respublikos vidaus reikalų ministerija.</w:t>
      </w:r>
    </w:p>
    <w:p w14:paraId="5F6C24EA" w14:textId="77777777" w:rsidR="00255EED" w:rsidRPr="00050B61" w:rsidRDefault="00255EED" w:rsidP="00255EED">
      <w:pPr>
        <w:pStyle w:val="Pavadinimas"/>
        <w:numPr>
          <w:ilvl w:val="0"/>
          <w:numId w:val="5"/>
        </w:numPr>
        <w:spacing w:line="276" w:lineRule="auto"/>
        <w:ind w:left="0" w:firstLine="709"/>
        <w:jc w:val="both"/>
        <w:rPr>
          <w:b w:val="0"/>
          <w:bCs w:val="0"/>
        </w:rPr>
      </w:pPr>
      <w:r w:rsidRPr="00050B61">
        <w:t>Finansavimo šaltiniai</w:t>
      </w:r>
      <w:r w:rsidRPr="00050B61">
        <w:rPr>
          <w:b w:val="0"/>
          <w:bCs w:val="0"/>
        </w:rPr>
        <w:t>:</w:t>
      </w:r>
    </w:p>
    <w:p w14:paraId="52D1013E"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bookmarkStart w:id="0" w:name="_Hlk195525278"/>
      <w:r w:rsidRPr="00050B61">
        <w:t xml:space="preserve">iš programos 01-010 „Vidaus reikalų ministerijos valdymo programa“ priemonės 01-010-11-01-03 „Administruoti 2021–2027 m. Europos Sąjungos struktūrinę paramą“, finansavimo šaltinis </w:t>
      </w:r>
      <w:r w:rsidRPr="00050B61">
        <w:rPr>
          <w:bCs/>
        </w:rPr>
        <w:t>1.3.2.8.2</w:t>
      </w:r>
      <w:r w:rsidRPr="00050B61">
        <w:t>;</w:t>
      </w:r>
    </w:p>
    <w:p w14:paraId="3729985E"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r w:rsidRPr="00050B61">
        <w:t>iš programos 07-018 „</w:t>
      </w:r>
      <w:bookmarkStart w:id="1" w:name="_Hlk189489467"/>
      <w:r w:rsidRPr="00050B61">
        <w:t>Viešojo saugumo stiprinimas ir plėtra</w:t>
      </w:r>
      <w:bookmarkEnd w:id="1"/>
      <w:r w:rsidRPr="00050B61">
        <w:t xml:space="preserve">“ priemonės 07-018-11-01-01 „Valdyti Sienų valdymo ir vizų priemonės programos 2021–2027 m. įgyvendinimą ir kompensuoti negautus mokesčius už vizas“  finansavimo šaltinis 1.3.3.1.56; </w:t>
      </w:r>
    </w:p>
    <w:p w14:paraId="51C716C1"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r w:rsidRPr="00050B61">
        <w:t>iš programos 07-018 „Viešojo saugumo stiprinimas ir plėtra“ priemonės 07-018-11-01-02 „Valdyti Vidaus saugumo fondo 2021–2027 m. programą“ finansavimo šaltinis 1.3.3.1.55;</w:t>
      </w:r>
    </w:p>
    <w:p w14:paraId="5DC0C453"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r w:rsidRPr="00050B61">
        <w:t xml:space="preserve">iš programos </w:t>
      </w:r>
      <w:r w:rsidRPr="00050B61">
        <w:rPr>
          <w:iCs/>
        </w:rPr>
        <w:t>01-005 „Europos teritorinio bendradarbiavimo tikslo programa“ priemonės 01-005-11-01-05 (TP) „Administruoti 2021-2027 metų INTERREG programų įgyvendinimą”  finansavimo šaltinis 1.2.3.1.63</w:t>
      </w:r>
      <w:r w:rsidRPr="00050B61">
        <w:t>;</w:t>
      </w:r>
    </w:p>
    <w:p w14:paraId="473898AA"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r w:rsidRPr="00050B61">
        <w:t xml:space="preserve">iš programos </w:t>
      </w:r>
      <w:r w:rsidRPr="00050B61">
        <w:rPr>
          <w:iCs/>
        </w:rPr>
        <w:t>01-005 „Europos teritorinio bendradarbiavimo tikslo programa“ priemonės 01-005-11-01-03 (TP) „Vykdyti 2021-2027 m. INTERREG Lietuvos ir Lenkijos bendradarbiavimo per sieną programos vadovaujančiosios institucijos funkcijas”  finansavimo šaltinis 1.3.3.1.63;</w:t>
      </w:r>
    </w:p>
    <w:p w14:paraId="61459CE7" w14:textId="77777777" w:rsidR="00255EED" w:rsidRPr="00050B61" w:rsidRDefault="00255EED" w:rsidP="00255EED">
      <w:pPr>
        <w:numPr>
          <w:ilvl w:val="1"/>
          <w:numId w:val="5"/>
        </w:numPr>
        <w:suppressAutoHyphens w:val="0"/>
        <w:autoSpaceDN/>
        <w:spacing w:after="0" w:line="240" w:lineRule="auto"/>
        <w:ind w:left="0" w:firstLine="709"/>
        <w:jc w:val="both"/>
        <w:textAlignment w:val="auto"/>
      </w:pPr>
      <w:r w:rsidRPr="00050B61">
        <w:t>iš</w:t>
      </w:r>
      <w:r w:rsidRPr="00050B61">
        <w:rPr>
          <w:iCs/>
        </w:rPr>
        <w:t xml:space="preserve"> </w:t>
      </w:r>
      <w:r w:rsidRPr="00050B61">
        <w:t>programos 01-010-11-01-01 finansavimo šaltinis 1.1.1.1.1 (valstybės biudžeto) lėšų.</w:t>
      </w:r>
    </w:p>
    <w:bookmarkEnd w:id="0"/>
    <w:p w14:paraId="46A14061" w14:textId="77777777" w:rsidR="00255EED" w:rsidRPr="00050B61" w:rsidRDefault="00255EED" w:rsidP="00255EED">
      <w:pPr>
        <w:pStyle w:val="Pavadinimas"/>
        <w:numPr>
          <w:ilvl w:val="0"/>
          <w:numId w:val="5"/>
        </w:numPr>
        <w:spacing w:line="276" w:lineRule="auto"/>
        <w:ind w:left="-142" w:firstLine="862"/>
        <w:jc w:val="both"/>
        <w:rPr>
          <w:b w:val="0"/>
          <w:bCs w:val="0"/>
        </w:rPr>
      </w:pPr>
      <w:r w:rsidRPr="00050B61">
        <w:rPr>
          <w:bCs w:val="0"/>
        </w:rPr>
        <w:t>Reikalavimai pirkimo objektui:</w:t>
      </w:r>
    </w:p>
    <w:p w14:paraId="332FA9BF" w14:textId="77777777" w:rsidR="00255EED" w:rsidRPr="00050B61" w:rsidRDefault="00255EED" w:rsidP="00255EED">
      <w:pPr>
        <w:pStyle w:val="Pavadinimas"/>
        <w:numPr>
          <w:ilvl w:val="1"/>
          <w:numId w:val="5"/>
        </w:numPr>
        <w:spacing w:line="276" w:lineRule="auto"/>
        <w:ind w:left="1418" w:hanging="709"/>
        <w:jc w:val="both"/>
        <w:rPr>
          <w:b w:val="0"/>
          <w:bCs w:val="0"/>
        </w:rPr>
      </w:pPr>
      <w:r w:rsidRPr="00050B61">
        <w:rPr>
          <w:b w:val="0"/>
          <w:bCs w:val="0"/>
        </w:rPr>
        <w:t>individualių dalykinės anglų kalbos mokymų dalyvių skaičius:</w:t>
      </w:r>
    </w:p>
    <w:tbl>
      <w:tblPr>
        <w:tblStyle w:val="Lentelstinklelis"/>
        <w:tblW w:w="8925" w:type="dxa"/>
        <w:tblInd w:w="709" w:type="dxa"/>
        <w:tblLook w:val="04A0" w:firstRow="1" w:lastRow="0" w:firstColumn="1" w:lastColumn="0" w:noHBand="0" w:noVBand="1"/>
      </w:tblPr>
      <w:tblGrid>
        <w:gridCol w:w="8925"/>
      </w:tblGrid>
      <w:tr w:rsidR="00255EED" w:rsidRPr="00050B61" w14:paraId="18082BD9" w14:textId="77777777" w:rsidTr="000C40FB">
        <w:tc>
          <w:tcPr>
            <w:tcW w:w="8925" w:type="dxa"/>
          </w:tcPr>
          <w:p w14:paraId="468FDC6D" w14:textId="77777777" w:rsidR="00255EED" w:rsidRPr="00050B61" w:rsidRDefault="00255EED" w:rsidP="00255EED">
            <w:pPr>
              <w:pStyle w:val="Pavadinimas"/>
              <w:numPr>
                <w:ilvl w:val="0"/>
                <w:numId w:val="6"/>
              </w:numPr>
              <w:spacing w:line="276" w:lineRule="auto"/>
              <w:jc w:val="both"/>
              <w:rPr>
                <w:b w:val="0"/>
                <w:bCs w:val="0"/>
              </w:rPr>
            </w:pPr>
            <w:r w:rsidRPr="00050B61">
              <w:rPr>
                <w:b w:val="0"/>
                <w:bCs w:val="0"/>
              </w:rPr>
              <w:t xml:space="preserve">ES fondų investicijų veiksmų programos administravimas – iki </w:t>
            </w:r>
            <w:r w:rsidRPr="00050B61">
              <w:rPr>
                <w:bCs w:val="0"/>
              </w:rPr>
              <w:t>8</w:t>
            </w:r>
          </w:p>
        </w:tc>
      </w:tr>
      <w:tr w:rsidR="00255EED" w:rsidRPr="00050B61" w14:paraId="2F405DDE" w14:textId="77777777" w:rsidTr="000C40FB">
        <w:tc>
          <w:tcPr>
            <w:tcW w:w="8925" w:type="dxa"/>
          </w:tcPr>
          <w:p w14:paraId="0C86ED0A" w14:textId="77777777" w:rsidR="00255EED" w:rsidRPr="00050B61" w:rsidRDefault="00255EED" w:rsidP="00255EED">
            <w:pPr>
              <w:pStyle w:val="Pavadinimas"/>
              <w:numPr>
                <w:ilvl w:val="0"/>
                <w:numId w:val="6"/>
              </w:numPr>
              <w:spacing w:line="276" w:lineRule="auto"/>
              <w:jc w:val="both"/>
              <w:rPr>
                <w:b w:val="0"/>
                <w:bCs w:val="0"/>
              </w:rPr>
            </w:pPr>
            <w:r w:rsidRPr="00050B61">
              <w:rPr>
                <w:b w:val="0"/>
                <w:bCs w:val="0"/>
              </w:rPr>
              <w:t>Vidaus saugumo srities finansuojamų programų administravimas –</w:t>
            </w:r>
            <w:r w:rsidRPr="00050B61">
              <w:rPr>
                <w:bCs w:val="0"/>
              </w:rPr>
              <w:t xml:space="preserve"> </w:t>
            </w:r>
            <w:r w:rsidRPr="00050B61">
              <w:rPr>
                <w:b w:val="0"/>
              </w:rPr>
              <w:t>iki</w:t>
            </w:r>
            <w:r w:rsidRPr="00050B61">
              <w:rPr>
                <w:bCs w:val="0"/>
              </w:rPr>
              <w:t xml:space="preserve"> 5</w:t>
            </w:r>
          </w:p>
        </w:tc>
      </w:tr>
      <w:tr w:rsidR="00255EED" w:rsidRPr="00050B61" w14:paraId="539502F2" w14:textId="77777777" w:rsidTr="000C40FB">
        <w:tc>
          <w:tcPr>
            <w:tcW w:w="8925" w:type="dxa"/>
          </w:tcPr>
          <w:p w14:paraId="535DE131" w14:textId="77777777" w:rsidR="00255EED" w:rsidRPr="00050B61" w:rsidRDefault="00255EED" w:rsidP="00255EED">
            <w:pPr>
              <w:pStyle w:val="Pavadinimas"/>
              <w:numPr>
                <w:ilvl w:val="0"/>
                <w:numId w:val="6"/>
              </w:numPr>
              <w:spacing w:line="276" w:lineRule="auto"/>
              <w:jc w:val="both"/>
              <w:rPr>
                <w:b w:val="0"/>
                <w:bCs w:val="0"/>
              </w:rPr>
            </w:pPr>
            <w:r w:rsidRPr="00050B61">
              <w:rPr>
                <w:b w:val="0"/>
                <w:bCs w:val="0"/>
              </w:rPr>
              <w:t xml:space="preserve">Europos teritorinio bendradarbiavimo tikslo programų administravimas – iki </w:t>
            </w:r>
            <w:r w:rsidRPr="00050B61">
              <w:rPr>
                <w:bCs w:val="0"/>
              </w:rPr>
              <w:t>4</w:t>
            </w:r>
          </w:p>
        </w:tc>
      </w:tr>
      <w:tr w:rsidR="00255EED" w:rsidRPr="00050B61" w14:paraId="66D91802" w14:textId="77777777" w:rsidTr="000C40FB">
        <w:tc>
          <w:tcPr>
            <w:tcW w:w="8925" w:type="dxa"/>
          </w:tcPr>
          <w:p w14:paraId="169ED835" w14:textId="77777777" w:rsidR="00255EED" w:rsidRPr="00050B61" w:rsidRDefault="00255EED" w:rsidP="000C40FB">
            <w:pPr>
              <w:pStyle w:val="Pavadinimas"/>
              <w:spacing w:line="276" w:lineRule="auto"/>
              <w:ind w:left="360"/>
              <w:jc w:val="both"/>
              <w:rPr>
                <w:bCs w:val="0"/>
              </w:rPr>
            </w:pPr>
            <w:r w:rsidRPr="00050B61">
              <w:rPr>
                <w:bCs w:val="0"/>
              </w:rPr>
              <w:t>Iš viso: iki 17</w:t>
            </w:r>
          </w:p>
        </w:tc>
      </w:tr>
    </w:tbl>
    <w:p w14:paraId="317AEBC1"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 xml:space="preserve">individualių dalykinės anglų kalbos mokymų trukmė – </w:t>
      </w:r>
      <w:r w:rsidRPr="00050B61">
        <w:rPr>
          <w:bCs w:val="0"/>
          <w:u w:val="single"/>
        </w:rPr>
        <w:t xml:space="preserve">iki 45 akademinių valandų kiekvienam dalyviui atskirai, viso iki </w:t>
      </w:r>
      <w:r w:rsidRPr="00050B61">
        <w:rPr>
          <w:u w:val="single"/>
        </w:rPr>
        <w:t>765 akademinių valandų visiems mokymų dalyviams</w:t>
      </w:r>
      <w:r w:rsidRPr="00050B61">
        <w:rPr>
          <w:b w:val="0"/>
          <w:bCs w:val="0"/>
        </w:rPr>
        <w:t>;</w:t>
      </w:r>
    </w:p>
    <w:p w14:paraId="53B31B96"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numatomas mokymų intensyvumas – 2 kartai per savaitę (4 akademinės valandos),</w:t>
      </w:r>
      <w:r w:rsidRPr="00050B61">
        <w:t xml:space="preserve">  </w:t>
      </w:r>
      <w:r w:rsidRPr="00050B61">
        <w:rPr>
          <w:b w:val="0"/>
        </w:rPr>
        <w:t>tačiau mokymų intensyvumas gali keistis mokymų dalyviui pageidaujant;</w:t>
      </w:r>
    </w:p>
    <w:p w14:paraId="1936267B"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mokymų metu pagrindinis akcentas turi būti teikiamas Lietuvos pirmininkavimo ES Tarybai pasirengimui, taip pat turi būti dėstoma dalykinė anglų kalba, kurią, atsižvelgiant į mokymų dalyvių funkcijas, būtų galima pritaikyti administruojant 2021–2027 m. Europos Sąjungos fondų investicijų programą, Lietuvos Respublikos vidaus saugumo srities finansuojamas programas, bei Europos teritorinio bendradarbiavimo tikslo programas (tame tarpe sutarčių rengimui, deryboms, pasisakymų rengimui, oficialių kalbų ir raštų rašymui ir kt.). Diskusijų temos turi būti detalizuotos mokymų pradžioje arba pagal poreikį mokymų eigoje; mokymų metu turi būti lavinami kalbos suvokimo, klausymo, rašymo ir ypatingai kalbėjimo įgūdžiai, atsižvelgiant į dalyvio lygį ir poreikį. Mokymai turi būti vykdomi anglų kalba;</w:t>
      </w:r>
    </w:p>
    <w:p w14:paraId="4D6F001E"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mokymų metu neturėtų būti remiamasi vadovėliu, mokymų platformomis ar kitais iš anksto paruoštais mokymų resursais. Mokymų medžiaga turėtų būti ruošiama individualiai kiekvienam mokymų dalyviui, atsižvelgiant į kiekvieno mokymų dalyvio poreikius, kuri po mokymų lieka mokymo dalyviui;</w:t>
      </w:r>
    </w:p>
    <w:p w14:paraId="36646B05" w14:textId="2B97A8F8"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lastRenderedPageBreak/>
        <w:t xml:space="preserve">paslaugų teikėjas įsipareigoja pradėti teikti paslaugas ne vėliau kaip per vieną savaitę nuo paslaugų teikimo sutarties </w:t>
      </w:r>
      <w:r w:rsidR="00C30FD2">
        <w:rPr>
          <w:b w:val="0"/>
          <w:bCs w:val="0"/>
        </w:rPr>
        <w:t>įsigaliojimo</w:t>
      </w:r>
      <w:r w:rsidRPr="00050B61">
        <w:rPr>
          <w:b w:val="0"/>
          <w:bCs w:val="0"/>
        </w:rPr>
        <w:t xml:space="preserve"> dienos  ir teikti sutarties reikalavimus atitinkančias paslaugas iki kol bus išnaudota 4.2 papunktyje nurodyta mokymų trukmė, bet ne ilgiau kaip </w:t>
      </w:r>
      <w:r w:rsidRPr="00050B61">
        <w:t>iki 2025 m. gruodžio 15 d.</w:t>
      </w:r>
      <w:r w:rsidRPr="00050B61">
        <w:rPr>
          <w:b w:val="0"/>
          <w:bCs w:val="0"/>
        </w:rPr>
        <w:t>, nuotoliniu būdu arba Lietuvos Respublikos vidaus reikalų ministerijos (Šventaragio g. 2, Vilnius) patalpose, ar derinant nuotolinius ir kontaktinius mokymus vienų mokymų metu, atsižvelgiant į kiekvieno mokymų dalyvio pageidavimus, pagal iš anksto su perkančiąja organizacija suderintą grafiką. Abipusiu sutarimu mokymų grafikas gali būti keičiamas;</w:t>
      </w:r>
    </w:p>
    <w:p w14:paraId="456A7CC7"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tikslus mokymų laikas derinamas su kiekvienu mokymų dalyviu atskirai. Atsižvelgiant į mokymų dalyvių užimtumą bei jų darbo dieną, mokymų dalyviams pageidaujant, turi būti sudarytos sąlygos kiekvieno mokymų susitikimo metu lanksčiai derinti sekančio susitikimo laiką;</w:t>
      </w:r>
    </w:p>
    <w:p w14:paraId="2141AF98"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jei suplanuotu laiku, dėl objektyvių priežasčių, mokymų dalyvis negali dalyvauti mokymuose, paslaugų teikėjas privalo mokymus perkelti į kitą perkančiajai organizacijai priimtiną laiką. Perkančioji organizacija apie neįvyksiančius mokymus privalo informuoti paslaugų teikėją ne vėliau kaip prieš 1 (vieną) darbo dieną</w:t>
      </w:r>
      <w:r w:rsidRPr="00050B61" w:rsidDel="00694B05">
        <w:rPr>
          <w:b w:val="0"/>
          <w:bCs w:val="0"/>
        </w:rPr>
        <w:t xml:space="preserve"> </w:t>
      </w:r>
      <w:r w:rsidRPr="00050B61">
        <w:rPr>
          <w:b w:val="0"/>
          <w:bCs w:val="0"/>
        </w:rPr>
        <w:t>iki planuotų mokymų pradžios, dalyvio ligos atveju – iškart gavus informaciją apie dalyvio nedarbingumo pažymėjimą. Kitais atvejais, pavėlavus pranešti apie negalėjimą dalyvauti mokymuose, bus laikoma, kad mokymai įvyko ir už juos bus atsiskaityta nustatyta tvarka;</w:t>
      </w:r>
    </w:p>
    <w:p w14:paraId="6FFA10C4"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perkančioji organizacija atsiskaitys už mokymų dalyvio lankytas valandas pagal paslaugų teikėjo pildomus mokymų lankomumo sąrašus;</w:t>
      </w:r>
    </w:p>
    <w:p w14:paraId="09B44844"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rPr>
        <w:t>mokymų pradžioje paslaugų teikėjas privalo atlikti mokymų dalyvių anglų kalbos žinių lygio nustatymą, kuris turi būti atliekamas testo raštu ir pokalbio anglų kalba pagalba, vertinant visus kalbinius įgūdžius. Kalbos lygio patikrinimo metu paslaugų teikėjas privalės aptarti kiekvieno mokymų dalyvio lūkesčius mokymų turiniui. Mokymų dalyvių lūkesčiai periodiškai turės būti aptariami ir mokymų eigoje, atitinkamai į juos reaguojant ir koreguojant mokymų turinį;</w:t>
      </w:r>
    </w:p>
    <w:p w14:paraId="64450309"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dalyviui, baigusiam mokymus, įteiktas pažymėjimas (-ai), liudijantis (-</w:t>
      </w:r>
      <w:proofErr w:type="spellStart"/>
      <w:r w:rsidRPr="00050B61">
        <w:rPr>
          <w:b w:val="0"/>
          <w:bCs w:val="0"/>
        </w:rPr>
        <w:t>ys</w:t>
      </w:r>
      <w:proofErr w:type="spellEnd"/>
      <w:r w:rsidRPr="00050B61">
        <w:rPr>
          <w:b w:val="0"/>
          <w:bCs w:val="0"/>
        </w:rPr>
        <w:t xml:space="preserve">) apie atitinkamo anglų kalbos mokymo kurso išklausymą. Mokymų pabaigoje mokymų dalyvis atlieka valstybės tarnautojų anglų kalbos lygio nustatymo testą ir gauna pažymėjimą su pasiektu lygiu. </w:t>
      </w:r>
      <w:r w:rsidRPr="00050B61">
        <w:rPr>
          <w:b w:val="0"/>
        </w:rPr>
        <w:t>Lygio nustatymo testavimų kaina turi būti įtraukta į pasiūlymo kainą;</w:t>
      </w:r>
    </w:p>
    <w:p w14:paraId="46926229"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mokymams tinkamai organizuoti ir vykdyti reikalingomis priemonėmis ir įranga privalo pasirūpinti paslaugų teikėjas;</w:t>
      </w:r>
    </w:p>
    <w:p w14:paraId="78CC9C54"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paslaugų teikėjas nedelsdamas (ne vėliau kaip per 1 darbo dieną) raštu privalo informuoti perkančiąją organizaciją, jei laiku negali suteikti paslaugų;</w:t>
      </w:r>
    </w:p>
    <w:p w14:paraId="5C962FC2" w14:textId="77777777"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 xml:space="preserve">perkančioji organizacija paslaugų teikėjui pateikia mokymų dalyvių sąrašą, o visą tolimesnį administracinį ir organizacinį darbą bei komunikaciją su kiekvienu dalyviu, organizuojant mokymus, atlieka paslaugų teikėjas. Paslaugų teikėjas į kainos pasiūlymą turi įtraukti visas su tuo susijusias išlaidas. </w:t>
      </w:r>
    </w:p>
    <w:p w14:paraId="5AC7E0BF" w14:textId="3BC4E742" w:rsidR="00255EED" w:rsidRPr="00050B61" w:rsidRDefault="00255EED" w:rsidP="00255EED">
      <w:pPr>
        <w:pStyle w:val="Pavadinimas"/>
        <w:numPr>
          <w:ilvl w:val="1"/>
          <w:numId w:val="5"/>
        </w:numPr>
        <w:spacing w:line="276" w:lineRule="auto"/>
        <w:ind w:left="0" w:firstLine="709"/>
        <w:jc w:val="both"/>
        <w:rPr>
          <w:b w:val="0"/>
          <w:bCs w:val="0"/>
        </w:rPr>
      </w:pPr>
      <w:r w:rsidRPr="00050B61">
        <w:rPr>
          <w:b w:val="0"/>
          <w:bCs w:val="0"/>
        </w:rPr>
        <w:t>paslaugų teikėjas privalo užpildyti tiekėjo deklaraciją pagal pridedamą deklaracijos formą (priedas)</w:t>
      </w:r>
      <w:r w:rsidRPr="00050B61">
        <w:rPr>
          <w:b w:val="0"/>
          <w:bCs w:val="0"/>
          <w:lang w:eastAsia="lt-LT"/>
        </w:rPr>
        <w:t>. Jeigu priede nurodytos formos deklaraciją paslaugų teikėjas yra pateikęs anksčiau dalyvautuose viešuosiuose pirkimuose, pakartotinai teikti nebereikia.</w:t>
      </w:r>
    </w:p>
    <w:p w14:paraId="24F7D195" w14:textId="77777777" w:rsidR="0046367D" w:rsidRPr="00050B61" w:rsidRDefault="0046367D" w:rsidP="0046367D">
      <w:pPr>
        <w:rPr>
          <w:b/>
          <w:szCs w:val="24"/>
        </w:rPr>
      </w:pPr>
    </w:p>
    <w:p w14:paraId="5E00F6D9" w14:textId="77777777" w:rsidR="00A84670" w:rsidRDefault="00A84670" w:rsidP="00A84670">
      <w:pPr>
        <w:rPr>
          <w:rFonts w:ascii="Aptos" w:eastAsiaTheme="minorHAnsi" w:hAnsi="Aptos"/>
          <w:szCs w:val="24"/>
        </w:rPr>
      </w:pPr>
    </w:p>
    <w:p w14:paraId="3B3DE401" w14:textId="77777777" w:rsidR="006028AB" w:rsidRDefault="006028AB" w:rsidP="00A84670">
      <w:pPr>
        <w:rPr>
          <w:rFonts w:ascii="Aptos" w:eastAsiaTheme="minorHAnsi" w:hAnsi="Aptos"/>
          <w:szCs w:val="24"/>
        </w:rPr>
      </w:pPr>
    </w:p>
    <w:p w14:paraId="34CA162D" w14:textId="77777777" w:rsidR="006028AB" w:rsidRDefault="006028AB" w:rsidP="006028AB">
      <w:pPr>
        <w:jc w:val="center"/>
        <w:rPr>
          <w:rFonts w:eastAsia="Times New Roman"/>
          <w:b/>
          <w:lang w:eastAsia="lt-LT"/>
        </w:rPr>
      </w:pPr>
    </w:p>
    <w:p w14:paraId="47C198E2" w14:textId="77777777" w:rsidR="006028AB" w:rsidRDefault="006028AB" w:rsidP="006028AB">
      <w:pPr>
        <w:jc w:val="right"/>
        <w:rPr>
          <w:lang w:eastAsia="lt-LT"/>
        </w:rPr>
      </w:pPr>
      <w:r>
        <w:rPr>
          <w:lang w:eastAsia="lt-LT"/>
        </w:rPr>
        <w:lastRenderedPageBreak/>
        <w:t>Anglų kalbos individualių mokymo paslaugų</w:t>
      </w:r>
    </w:p>
    <w:p w14:paraId="6912FC74" w14:textId="77777777" w:rsidR="006028AB" w:rsidRDefault="006028AB" w:rsidP="006028AB">
      <w:pPr>
        <w:jc w:val="right"/>
        <w:rPr>
          <w:lang w:eastAsia="lt-LT"/>
        </w:rPr>
      </w:pPr>
      <w:r>
        <w:rPr>
          <w:lang w:eastAsia="lt-LT"/>
        </w:rPr>
        <w:t>techninės specifikacijos</w:t>
      </w:r>
    </w:p>
    <w:p w14:paraId="186BCCA1" w14:textId="77777777" w:rsidR="006028AB" w:rsidRDefault="006028AB" w:rsidP="006028AB">
      <w:pPr>
        <w:jc w:val="right"/>
        <w:rPr>
          <w:lang w:eastAsia="lt-LT"/>
        </w:rPr>
      </w:pPr>
      <w:r>
        <w:rPr>
          <w:lang w:eastAsia="lt-LT"/>
        </w:rPr>
        <w:t>priedas</w:t>
      </w:r>
    </w:p>
    <w:p w14:paraId="7A95F1D5" w14:textId="77777777" w:rsidR="006028AB" w:rsidRDefault="006028AB" w:rsidP="006028AB">
      <w:pPr>
        <w:jc w:val="center"/>
        <w:rPr>
          <w:b/>
          <w:lang w:eastAsia="lt-LT"/>
        </w:rPr>
      </w:pPr>
    </w:p>
    <w:p w14:paraId="656B852B" w14:textId="77777777" w:rsidR="006028AB" w:rsidRDefault="006028AB" w:rsidP="006028AB">
      <w:pPr>
        <w:jc w:val="center"/>
        <w:rPr>
          <w:b/>
          <w:lang w:eastAsia="lt-LT"/>
        </w:rPr>
      </w:pPr>
    </w:p>
    <w:p w14:paraId="68E0A826" w14:textId="77777777" w:rsidR="006028AB" w:rsidRDefault="006028AB" w:rsidP="006028AB">
      <w:pPr>
        <w:jc w:val="center"/>
        <w:rPr>
          <w:b/>
          <w:lang w:eastAsia="lt-LT"/>
        </w:rPr>
      </w:pPr>
    </w:p>
    <w:p w14:paraId="0D9F985E" w14:textId="77777777" w:rsidR="006028AB" w:rsidRDefault="006028AB" w:rsidP="006028AB">
      <w:pPr>
        <w:jc w:val="center"/>
        <w:rPr>
          <w:b/>
          <w:lang w:eastAsia="lt-LT"/>
        </w:rPr>
      </w:pPr>
    </w:p>
    <w:p w14:paraId="3EA50A77" w14:textId="77777777" w:rsidR="006028AB" w:rsidRDefault="006028AB" w:rsidP="006028AB">
      <w:pPr>
        <w:rPr>
          <w:b/>
          <w:lang w:eastAsia="lt-LT"/>
        </w:rPr>
      </w:pPr>
    </w:p>
    <w:p w14:paraId="5C8F5989" w14:textId="77777777" w:rsidR="006028AB" w:rsidRDefault="006028AB" w:rsidP="006028AB">
      <w:pPr>
        <w:jc w:val="center"/>
        <w:rPr>
          <w:b/>
          <w:lang w:eastAsia="lt-LT"/>
        </w:rPr>
      </w:pPr>
      <w:r>
        <w:rPr>
          <w:b/>
          <w:lang w:eastAsia="lt-LT"/>
        </w:rPr>
        <w:t>(Tiekėjo deklaracijos forma)</w:t>
      </w:r>
    </w:p>
    <w:p w14:paraId="026AC29A" w14:textId="77777777" w:rsidR="006028AB" w:rsidRDefault="006028AB" w:rsidP="006028AB">
      <w:pPr>
        <w:jc w:val="center"/>
        <w:rPr>
          <w:b/>
          <w:lang w:eastAsia="lt-LT"/>
        </w:rPr>
      </w:pPr>
    </w:p>
    <w:p w14:paraId="54B83BA7" w14:textId="77777777" w:rsidR="006028AB" w:rsidRDefault="006028AB" w:rsidP="006028AB">
      <w:pPr>
        <w:rPr>
          <w:lang w:eastAsia="lt-LT"/>
        </w:rPr>
      </w:pPr>
    </w:p>
    <w:p w14:paraId="3AD547DE" w14:textId="77777777" w:rsidR="006028AB" w:rsidRDefault="006028AB" w:rsidP="006028AB">
      <w:pPr>
        <w:jc w:val="center"/>
        <w:rPr>
          <w:u w:val="single"/>
          <w:lang w:eastAsia="lt-LT"/>
        </w:rPr>
      </w:pPr>
      <w:r>
        <w:rPr>
          <w:u w:val="single"/>
          <w:lang w:eastAsia="lt-LT"/>
        </w:rPr>
        <w:t>___________________________________</w:t>
      </w:r>
    </w:p>
    <w:p w14:paraId="2332E418" w14:textId="77777777" w:rsidR="006028AB" w:rsidRDefault="006028AB" w:rsidP="006028AB">
      <w:pPr>
        <w:jc w:val="center"/>
        <w:rPr>
          <w:lang w:eastAsia="lt-LT"/>
        </w:rPr>
      </w:pPr>
      <w:r>
        <w:rPr>
          <w:lang w:eastAsia="lt-LT"/>
        </w:rPr>
        <w:t> (Tiekėjo pavadinimas)</w:t>
      </w:r>
    </w:p>
    <w:p w14:paraId="72653B64" w14:textId="77777777" w:rsidR="006028AB" w:rsidRDefault="006028AB" w:rsidP="006028AB">
      <w:pPr>
        <w:rPr>
          <w:lang w:eastAsia="lt-LT"/>
        </w:rPr>
      </w:pPr>
    </w:p>
    <w:p w14:paraId="30A460E4" w14:textId="77777777" w:rsidR="006028AB" w:rsidRDefault="006028AB" w:rsidP="006028AB">
      <w:pPr>
        <w:rPr>
          <w:lang w:eastAsia="lt-LT"/>
        </w:rPr>
      </w:pPr>
      <w:r>
        <w:rPr>
          <w:lang w:eastAsia="lt-LT"/>
        </w:rPr>
        <w:t>___________________________________</w:t>
      </w:r>
    </w:p>
    <w:p w14:paraId="2D25E485" w14:textId="77777777" w:rsidR="006028AB" w:rsidRDefault="006028AB" w:rsidP="006028AB">
      <w:pPr>
        <w:rPr>
          <w:lang w:eastAsia="lt-LT"/>
        </w:rPr>
      </w:pPr>
      <w:r>
        <w:rPr>
          <w:lang w:eastAsia="lt-LT"/>
        </w:rPr>
        <w:t xml:space="preserve"> (Pirkimo vykdytojo pavadinimas)</w:t>
      </w:r>
    </w:p>
    <w:p w14:paraId="21BC860E" w14:textId="77777777" w:rsidR="006028AB" w:rsidRDefault="006028AB" w:rsidP="006028AB">
      <w:pPr>
        <w:jc w:val="center"/>
        <w:rPr>
          <w:b/>
          <w:bCs/>
          <w:smallCaps/>
          <w:lang w:eastAsia="lt-LT"/>
        </w:rPr>
      </w:pPr>
    </w:p>
    <w:p w14:paraId="586F825A" w14:textId="77777777" w:rsidR="006028AB" w:rsidRDefault="006028AB" w:rsidP="006028AB">
      <w:pPr>
        <w:jc w:val="center"/>
        <w:rPr>
          <w:b/>
          <w:bCs/>
          <w:smallCaps/>
          <w:lang w:eastAsia="lt-LT"/>
        </w:rPr>
      </w:pPr>
    </w:p>
    <w:p w14:paraId="48E8AA89" w14:textId="77777777" w:rsidR="006028AB" w:rsidRDefault="006028AB" w:rsidP="006028AB">
      <w:pPr>
        <w:jc w:val="center"/>
        <w:rPr>
          <w:lang w:eastAsia="lt-LT"/>
        </w:rPr>
      </w:pPr>
      <w:r>
        <w:rPr>
          <w:b/>
          <w:bCs/>
          <w:smallCaps/>
          <w:lang w:eastAsia="lt-LT"/>
        </w:rPr>
        <w:t>TIEKĖJO DEKLARACIJA</w:t>
      </w:r>
    </w:p>
    <w:p w14:paraId="20E31C91" w14:textId="77777777" w:rsidR="006028AB" w:rsidRDefault="006028AB" w:rsidP="006028AB">
      <w:pPr>
        <w:shd w:val="clear" w:color="auto" w:fill="FFFFFF"/>
        <w:jc w:val="center"/>
        <w:rPr>
          <w:lang w:eastAsia="lt-LT"/>
        </w:rPr>
      </w:pPr>
      <w:r>
        <w:rPr>
          <w:lang w:eastAsia="lt-LT"/>
        </w:rPr>
        <w:t> </w:t>
      </w:r>
    </w:p>
    <w:p w14:paraId="43CBB580" w14:textId="77777777" w:rsidR="006028AB" w:rsidRDefault="006028AB" w:rsidP="006028AB">
      <w:pPr>
        <w:jc w:val="center"/>
        <w:rPr>
          <w:lang w:eastAsia="lt-LT"/>
        </w:rPr>
      </w:pPr>
      <w:r>
        <w:rPr>
          <w:lang w:eastAsia="lt-LT"/>
        </w:rPr>
        <w:t>__________________</w:t>
      </w:r>
    </w:p>
    <w:p w14:paraId="78FECCA2" w14:textId="77777777" w:rsidR="006028AB" w:rsidRDefault="006028AB" w:rsidP="006028AB">
      <w:pPr>
        <w:pStyle w:val="Sraopastraipa"/>
        <w:ind w:left="480"/>
        <w:jc w:val="center"/>
        <w:rPr>
          <w:lang w:eastAsia="lt-LT"/>
        </w:rPr>
      </w:pPr>
      <w:r>
        <w:rPr>
          <w:lang w:eastAsia="lt-LT"/>
        </w:rPr>
        <w:t>(Data)</w:t>
      </w:r>
    </w:p>
    <w:p w14:paraId="61FD5A96" w14:textId="77777777" w:rsidR="006028AB" w:rsidRDefault="006028AB" w:rsidP="006028AB">
      <w:pPr>
        <w:rPr>
          <w:lang w:eastAsia="lt-LT"/>
        </w:rPr>
      </w:pPr>
    </w:p>
    <w:p w14:paraId="4F891085" w14:textId="77777777" w:rsidR="006028AB" w:rsidRDefault="006028AB" w:rsidP="006028AB">
      <w:pPr>
        <w:spacing w:after="150"/>
        <w:jc w:val="both"/>
        <w:rPr>
          <w:lang w:eastAsia="lt-LT"/>
        </w:rPr>
      </w:pPr>
      <w:r>
        <w:rPr>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84BAAF6" w14:textId="77777777" w:rsidR="006028AB" w:rsidRDefault="006028AB" w:rsidP="006028AB">
      <w:pPr>
        <w:spacing w:after="150"/>
        <w:jc w:val="both"/>
        <w:rPr>
          <w:lang w:eastAsia="lt-LT"/>
        </w:rPr>
      </w:pPr>
      <w:r>
        <w:rPr>
          <w:lang w:eastAsia="lt-LT"/>
        </w:rPr>
        <w:t>(a) mano atstovaujamas tiekėjas (ir nė vienas iš tiekėjų grupės narių) nėra Rusijos pilietis arba Rusijoje įsisteigęs fizinis ar juridinis asmuo, subjektas ar įstaiga;</w:t>
      </w:r>
    </w:p>
    <w:p w14:paraId="69EA87BD" w14:textId="77777777" w:rsidR="006028AB" w:rsidRDefault="006028AB" w:rsidP="006028AB">
      <w:pPr>
        <w:spacing w:after="150"/>
        <w:jc w:val="both"/>
        <w:rPr>
          <w:lang w:eastAsia="lt-LT"/>
        </w:rPr>
      </w:pPr>
      <w:r>
        <w:rPr>
          <w:lang w:eastAsia="lt-LT"/>
        </w:rPr>
        <w:lastRenderedPageBreak/>
        <w:t>(b) mano atstovaujamas tiekėjas (ir nė vienas iš tiekėjų grupės narių) nėra juridinis asmuo, subjektas ar įstaiga, kurio nuosavybės teisės tiesiogiai ar netiesiogiai daugiau kaip 50 % priklauso šios dalies a) punkte nurodytam subjektui;</w:t>
      </w:r>
    </w:p>
    <w:p w14:paraId="65665ED6" w14:textId="77777777" w:rsidR="006028AB" w:rsidRDefault="006028AB" w:rsidP="006028AB">
      <w:pPr>
        <w:spacing w:after="150"/>
        <w:jc w:val="both"/>
        <w:rPr>
          <w:lang w:eastAsia="lt-LT"/>
        </w:rPr>
      </w:pPr>
      <w:r>
        <w:rPr>
          <w:lang w:eastAsia="lt-LT"/>
        </w:rPr>
        <w:t>(c) nei aš, nei mano atstovaujama bendrovė nėra fizinis ar juridinis asmuo, subjektas ar įstaiga, veikianti a) arba b) punkte nurodyto subjekto vardu ar jo nurodymu;</w:t>
      </w:r>
    </w:p>
    <w:p w14:paraId="23511747" w14:textId="77777777" w:rsidR="006028AB" w:rsidRDefault="006028AB" w:rsidP="006028AB">
      <w:pPr>
        <w:spacing w:after="150"/>
        <w:jc w:val="both"/>
        <w:rPr>
          <w:lang w:eastAsia="lt-LT"/>
        </w:rPr>
      </w:pPr>
      <w:r>
        <w:rPr>
          <w:lang w:eastAsia="lt-LT"/>
        </w:rPr>
        <w:t>(d) a)-c) punktuose išvardyti subjektai nedalyvauja subtiekėjais, tiekėjais ar subjektais, kurių pajėgumais remiasi mano atstovaujamas tiekėjas, tais atvejais kai jiems tenka daugiau kaip 10 % sutarties vertės.</w:t>
      </w:r>
    </w:p>
    <w:p w14:paraId="78F6C8F8" w14:textId="77777777" w:rsidR="006028AB" w:rsidRDefault="006028AB" w:rsidP="006028AB">
      <w:pPr>
        <w:jc w:val="both"/>
        <w:rPr>
          <w:lang w:eastAsia="lt-LT"/>
        </w:rPr>
      </w:pPr>
      <w:r>
        <w:rPr>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88CB8E" w14:textId="77777777" w:rsidR="006028AB" w:rsidRDefault="006028AB" w:rsidP="006028AB">
      <w:pPr>
        <w:tabs>
          <w:tab w:val="left" w:pos="284"/>
          <w:tab w:val="left" w:pos="426"/>
        </w:tabs>
        <w:spacing w:after="150"/>
        <w:jc w:val="both"/>
        <w:rPr>
          <w:lang w:eastAsia="lt-LT"/>
        </w:rPr>
      </w:pPr>
    </w:p>
    <w:p w14:paraId="50F5CAFF" w14:textId="77777777" w:rsidR="006028AB" w:rsidRDefault="006028AB" w:rsidP="006028AB">
      <w:pPr>
        <w:tabs>
          <w:tab w:val="left" w:pos="284"/>
          <w:tab w:val="left" w:pos="426"/>
        </w:tabs>
        <w:spacing w:after="150"/>
        <w:jc w:val="both"/>
        <w:rPr>
          <w:lang w:eastAsia="lt-LT"/>
        </w:rPr>
      </w:pPr>
      <w:r>
        <w:rPr>
          <w:lang w:eastAsia="lt-LT"/>
        </w:rPr>
        <w:t xml:space="preserve">Deklaruojamoms aplinkybėms pasikeitus, įsipareigoju nedelsiant apie tai informuoti Pirkimo vykdytoją. </w:t>
      </w:r>
    </w:p>
    <w:tbl>
      <w:tblPr>
        <w:tblW w:w="0" w:type="auto"/>
        <w:tblInd w:w="-142" w:type="dxa"/>
        <w:tblLook w:val="04A0" w:firstRow="1" w:lastRow="0" w:firstColumn="1" w:lastColumn="0" w:noHBand="0" w:noVBand="1"/>
      </w:tblPr>
      <w:tblGrid>
        <w:gridCol w:w="1096"/>
        <w:gridCol w:w="222"/>
        <w:gridCol w:w="222"/>
        <w:gridCol w:w="222"/>
        <w:gridCol w:w="2869"/>
        <w:gridCol w:w="222"/>
      </w:tblGrid>
      <w:tr w:rsidR="006028AB" w14:paraId="4D3AEEBA" w14:textId="77777777" w:rsidTr="006028AB">
        <w:tc>
          <w:tcPr>
            <w:tcW w:w="0" w:type="auto"/>
            <w:gridSpan w:val="6"/>
            <w:hideMark/>
          </w:tcPr>
          <w:p w14:paraId="00796C43" w14:textId="77777777" w:rsidR="006028AB" w:rsidRDefault="006028AB">
            <w:pPr>
              <w:rPr>
                <w:lang w:eastAsia="lt-LT"/>
              </w:rPr>
            </w:pPr>
          </w:p>
        </w:tc>
      </w:tr>
      <w:tr w:rsidR="006028AB" w14:paraId="246C2E9E" w14:textId="77777777" w:rsidTr="006028AB">
        <w:trPr>
          <w:trHeight w:val="285"/>
        </w:trPr>
        <w:tc>
          <w:tcPr>
            <w:tcW w:w="0" w:type="auto"/>
            <w:tcBorders>
              <w:top w:val="nil"/>
              <w:left w:val="nil"/>
              <w:bottom w:val="single" w:sz="4" w:space="0" w:color="000000" w:themeColor="text1"/>
              <w:right w:val="nil"/>
            </w:tcBorders>
            <w:hideMark/>
          </w:tcPr>
          <w:p w14:paraId="68E52BBD" w14:textId="77777777" w:rsidR="006028AB" w:rsidRDefault="006028AB">
            <w:pPr>
              <w:rPr>
                <w:sz w:val="20"/>
                <w:szCs w:val="20"/>
                <w:lang w:eastAsia="lt-LT"/>
              </w:rPr>
            </w:pPr>
          </w:p>
        </w:tc>
        <w:tc>
          <w:tcPr>
            <w:tcW w:w="0" w:type="auto"/>
            <w:hideMark/>
          </w:tcPr>
          <w:p w14:paraId="3ACBD29E" w14:textId="77777777" w:rsidR="006028AB" w:rsidRDefault="006028AB">
            <w:pPr>
              <w:rPr>
                <w:sz w:val="20"/>
                <w:szCs w:val="20"/>
                <w:lang w:eastAsia="lt-LT"/>
              </w:rPr>
            </w:pPr>
          </w:p>
        </w:tc>
        <w:tc>
          <w:tcPr>
            <w:tcW w:w="0" w:type="auto"/>
            <w:hideMark/>
          </w:tcPr>
          <w:p w14:paraId="385BD2E3" w14:textId="77777777" w:rsidR="006028AB" w:rsidRDefault="006028AB">
            <w:pPr>
              <w:rPr>
                <w:sz w:val="20"/>
                <w:szCs w:val="20"/>
                <w:lang w:eastAsia="lt-LT"/>
              </w:rPr>
            </w:pPr>
          </w:p>
        </w:tc>
        <w:tc>
          <w:tcPr>
            <w:tcW w:w="0" w:type="auto"/>
            <w:hideMark/>
          </w:tcPr>
          <w:p w14:paraId="35B61FFD" w14:textId="77777777" w:rsidR="006028AB" w:rsidRDefault="006028AB">
            <w:pPr>
              <w:rPr>
                <w:sz w:val="20"/>
                <w:szCs w:val="20"/>
                <w:lang w:eastAsia="lt-LT"/>
              </w:rPr>
            </w:pPr>
          </w:p>
        </w:tc>
        <w:tc>
          <w:tcPr>
            <w:tcW w:w="0" w:type="auto"/>
            <w:tcBorders>
              <w:top w:val="nil"/>
              <w:left w:val="nil"/>
              <w:bottom w:val="single" w:sz="4" w:space="0" w:color="000000" w:themeColor="text1"/>
              <w:right w:val="nil"/>
            </w:tcBorders>
            <w:hideMark/>
          </w:tcPr>
          <w:p w14:paraId="26F5F85D" w14:textId="77777777" w:rsidR="006028AB" w:rsidRDefault="006028AB">
            <w:pPr>
              <w:rPr>
                <w:sz w:val="20"/>
                <w:szCs w:val="20"/>
                <w:lang w:eastAsia="lt-LT"/>
              </w:rPr>
            </w:pPr>
          </w:p>
        </w:tc>
        <w:tc>
          <w:tcPr>
            <w:tcW w:w="0" w:type="auto"/>
            <w:hideMark/>
          </w:tcPr>
          <w:p w14:paraId="4545DE41" w14:textId="77777777" w:rsidR="006028AB" w:rsidRDefault="006028AB">
            <w:pPr>
              <w:rPr>
                <w:sz w:val="20"/>
                <w:szCs w:val="20"/>
                <w:lang w:eastAsia="lt-LT"/>
              </w:rPr>
            </w:pPr>
          </w:p>
        </w:tc>
      </w:tr>
      <w:tr w:rsidR="006028AB" w14:paraId="7DA84525" w14:textId="77777777" w:rsidTr="006028AB">
        <w:trPr>
          <w:trHeight w:val="186"/>
        </w:trPr>
        <w:tc>
          <w:tcPr>
            <w:tcW w:w="0" w:type="auto"/>
            <w:tcBorders>
              <w:top w:val="single" w:sz="4" w:space="0" w:color="000000" w:themeColor="text1"/>
              <w:left w:val="nil"/>
              <w:bottom w:val="nil"/>
              <w:right w:val="nil"/>
            </w:tcBorders>
            <w:hideMark/>
          </w:tcPr>
          <w:p w14:paraId="6545366B" w14:textId="77777777" w:rsidR="006028AB" w:rsidRDefault="006028AB">
            <w:pPr>
              <w:spacing w:after="150"/>
              <w:rPr>
                <w:szCs w:val="24"/>
                <w:lang w:eastAsia="lt-LT"/>
              </w:rPr>
            </w:pPr>
            <w:r>
              <w:rPr>
                <w:lang w:eastAsia="lt-LT"/>
              </w:rPr>
              <w:t>(Parašas)</w:t>
            </w:r>
          </w:p>
        </w:tc>
        <w:tc>
          <w:tcPr>
            <w:tcW w:w="0" w:type="auto"/>
            <w:hideMark/>
          </w:tcPr>
          <w:p w14:paraId="2B458A9A" w14:textId="77777777" w:rsidR="006028AB" w:rsidRDefault="006028AB">
            <w:pPr>
              <w:rPr>
                <w:lang w:eastAsia="lt-LT"/>
              </w:rPr>
            </w:pPr>
          </w:p>
        </w:tc>
        <w:tc>
          <w:tcPr>
            <w:tcW w:w="0" w:type="auto"/>
            <w:hideMark/>
          </w:tcPr>
          <w:p w14:paraId="25E306B8" w14:textId="77777777" w:rsidR="006028AB" w:rsidRDefault="006028AB">
            <w:pPr>
              <w:rPr>
                <w:sz w:val="20"/>
                <w:szCs w:val="20"/>
                <w:lang w:eastAsia="lt-LT"/>
              </w:rPr>
            </w:pPr>
          </w:p>
        </w:tc>
        <w:tc>
          <w:tcPr>
            <w:tcW w:w="0" w:type="auto"/>
            <w:hideMark/>
          </w:tcPr>
          <w:p w14:paraId="11859358" w14:textId="77777777" w:rsidR="006028AB" w:rsidRDefault="006028AB">
            <w:pPr>
              <w:rPr>
                <w:sz w:val="20"/>
                <w:szCs w:val="20"/>
                <w:lang w:eastAsia="lt-LT"/>
              </w:rPr>
            </w:pPr>
          </w:p>
        </w:tc>
        <w:tc>
          <w:tcPr>
            <w:tcW w:w="0" w:type="auto"/>
            <w:tcBorders>
              <w:top w:val="single" w:sz="4" w:space="0" w:color="000000" w:themeColor="text1"/>
              <w:left w:val="nil"/>
              <w:bottom w:val="nil"/>
              <w:right w:val="nil"/>
            </w:tcBorders>
            <w:hideMark/>
          </w:tcPr>
          <w:p w14:paraId="4C7249EB" w14:textId="77777777" w:rsidR="006028AB" w:rsidRDefault="006028AB">
            <w:pPr>
              <w:spacing w:after="150"/>
              <w:rPr>
                <w:szCs w:val="24"/>
                <w:lang w:eastAsia="lt-LT"/>
              </w:rPr>
            </w:pPr>
            <w:r>
              <w:rPr>
                <w:lang w:eastAsia="lt-LT"/>
              </w:rPr>
              <w:t>(Vardas, pavardė, pareigos)</w:t>
            </w:r>
          </w:p>
        </w:tc>
        <w:tc>
          <w:tcPr>
            <w:tcW w:w="0" w:type="auto"/>
            <w:hideMark/>
          </w:tcPr>
          <w:p w14:paraId="578AA9FD" w14:textId="77777777" w:rsidR="006028AB" w:rsidRDefault="006028AB">
            <w:pPr>
              <w:rPr>
                <w:lang w:eastAsia="lt-LT"/>
              </w:rPr>
            </w:pPr>
          </w:p>
        </w:tc>
      </w:tr>
    </w:tbl>
    <w:p w14:paraId="3B718E68" w14:textId="77777777" w:rsidR="006028AB" w:rsidRDefault="006028AB" w:rsidP="006028AB">
      <w:pPr>
        <w:tabs>
          <w:tab w:val="left" w:pos="4125"/>
        </w:tabs>
        <w:jc w:val="center"/>
        <w:rPr>
          <w:szCs w:val="24"/>
        </w:rPr>
      </w:pPr>
    </w:p>
    <w:p w14:paraId="0E711043" w14:textId="77777777" w:rsidR="006028AB" w:rsidRDefault="006028AB" w:rsidP="006028AB">
      <w:pPr>
        <w:pStyle w:val="Pavadinimas"/>
        <w:spacing w:before="120" w:line="276" w:lineRule="auto"/>
        <w:ind w:left="1142" w:hanging="1142"/>
        <w:jc w:val="left"/>
        <w:rPr>
          <w:b w:val="0"/>
        </w:rPr>
      </w:pPr>
    </w:p>
    <w:p w14:paraId="2289A412" w14:textId="77777777" w:rsidR="006028AB" w:rsidRDefault="006028AB" w:rsidP="006028AB">
      <w:pPr>
        <w:pStyle w:val="Pavadinimas"/>
        <w:ind w:left="1140" w:hanging="1140"/>
        <w:jc w:val="left"/>
        <w:rPr>
          <w:b w:val="0"/>
        </w:rPr>
      </w:pPr>
    </w:p>
    <w:p w14:paraId="2DD09F87" w14:textId="77777777" w:rsidR="006028AB" w:rsidRDefault="006028AB" w:rsidP="00A84670">
      <w:pPr>
        <w:rPr>
          <w:rFonts w:ascii="Aptos" w:eastAsiaTheme="minorHAnsi" w:hAnsi="Aptos"/>
          <w:szCs w:val="24"/>
        </w:rPr>
      </w:pPr>
    </w:p>
    <w:p w14:paraId="6E3A8062" w14:textId="77777777" w:rsidR="00A84670" w:rsidRDefault="00A84670" w:rsidP="00A84670">
      <w:pPr>
        <w:rPr>
          <w:rFonts w:ascii="Aptos" w:hAnsi="Aptos"/>
          <w:szCs w:val="24"/>
        </w:rPr>
      </w:pPr>
    </w:p>
    <w:sectPr w:rsidR="00A84670" w:rsidSect="00DA52C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68572C"/>
    <w:multiLevelType w:val="multilevel"/>
    <w:tmpl w:val="4B18597C"/>
    <w:lvl w:ilvl="0">
      <w:start w:val="1"/>
      <w:numFmt w:val="decimal"/>
      <w:lvlText w:val="%1."/>
      <w:lvlJc w:val="left"/>
      <w:pPr>
        <w:ind w:left="1087" w:hanging="1087"/>
      </w:pPr>
      <w:rPr>
        <w:rFonts w:hint="default"/>
      </w:rPr>
    </w:lvl>
    <w:lvl w:ilvl="1">
      <w:start w:val="1"/>
      <w:numFmt w:val="decimal"/>
      <w:isLgl/>
      <w:lvlText w:val="%1.%2"/>
      <w:lvlJc w:val="left"/>
      <w:pPr>
        <w:ind w:left="1537" w:hanging="367"/>
      </w:pPr>
      <w:rPr>
        <w:rFonts w:hint="default"/>
        <w:b w:val="0"/>
        <w:bCs/>
      </w:rPr>
    </w:lvl>
    <w:lvl w:ilvl="2">
      <w:start w:val="1"/>
      <w:numFmt w:val="decimal"/>
      <w:isLgl/>
      <w:lvlText w:val="%1.%2.%3"/>
      <w:lvlJc w:val="left"/>
      <w:pPr>
        <w:ind w:left="3936" w:hanging="720"/>
      </w:pPr>
      <w:rPr>
        <w:rFonts w:hint="default"/>
        <w:b/>
      </w:rPr>
    </w:lvl>
    <w:lvl w:ilvl="3">
      <w:start w:val="1"/>
      <w:numFmt w:val="decimal"/>
      <w:isLgl/>
      <w:lvlText w:val="%1.%2.%3.%4"/>
      <w:lvlJc w:val="left"/>
      <w:pPr>
        <w:ind w:left="5023" w:hanging="720"/>
      </w:pPr>
      <w:rPr>
        <w:rFonts w:hint="default"/>
        <w:b/>
      </w:rPr>
    </w:lvl>
    <w:lvl w:ilvl="4">
      <w:start w:val="1"/>
      <w:numFmt w:val="decimal"/>
      <w:isLgl/>
      <w:lvlText w:val="%1.%2.%3.%4.%5"/>
      <w:lvlJc w:val="left"/>
      <w:pPr>
        <w:ind w:left="6470" w:hanging="1080"/>
      </w:pPr>
      <w:rPr>
        <w:rFonts w:hint="default"/>
        <w:b/>
      </w:rPr>
    </w:lvl>
    <w:lvl w:ilvl="5">
      <w:start w:val="1"/>
      <w:numFmt w:val="decimal"/>
      <w:isLgl/>
      <w:lvlText w:val="%1.%2.%3.%4.%5.%6"/>
      <w:lvlJc w:val="left"/>
      <w:pPr>
        <w:ind w:left="7557" w:hanging="1080"/>
      </w:pPr>
      <w:rPr>
        <w:rFonts w:hint="default"/>
        <w:b/>
      </w:rPr>
    </w:lvl>
    <w:lvl w:ilvl="6">
      <w:start w:val="1"/>
      <w:numFmt w:val="decimal"/>
      <w:isLgl/>
      <w:lvlText w:val="%1.%2.%3.%4.%5.%6.%7"/>
      <w:lvlJc w:val="left"/>
      <w:pPr>
        <w:ind w:left="9004" w:hanging="1440"/>
      </w:pPr>
      <w:rPr>
        <w:rFonts w:hint="default"/>
        <w:b/>
      </w:rPr>
    </w:lvl>
    <w:lvl w:ilvl="7">
      <w:start w:val="1"/>
      <w:numFmt w:val="decimal"/>
      <w:isLgl/>
      <w:lvlText w:val="%1.%2.%3.%4.%5.%6.%7.%8"/>
      <w:lvlJc w:val="left"/>
      <w:pPr>
        <w:ind w:left="10091" w:hanging="1440"/>
      </w:pPr>
      <w:rPr>
        <w:rFonts w:hint="default"/>
        <w:b/>
      </w:rPr>
    </w:lvl>
    <w:lvl w:ilvl="8">
      <w:start w:val="1"/>
      <w:numFmt w:val="decimal"/>
      <w:isLgl/>
      <w:lvlText w:val="%1.%2.%3.%4.%5.%6.%7.%8.%9"/>
      <w:lvlJc w:val="left"/>
      <w:pPr>
        <w:ind w:left="11538" w:hanging="1800"/>
      </w:pPr>
      <w:rPr>
        <w:rFonts w:hint="default"/>
        <w:b/>
      </w:rPr>
    </w:lvl>
  </w:abstractNum>
  <w:abstractNum w:abstractNumId="3" w15:restartNumberingAfterBreak="0">
    <w:nsid w:val="305B6030"/>
    <w:multiLevelType w:val="hybridMultilevel"/>
    <w:tmpl w:val="98E4F48E"/>
    <w:lvl w:ilvl="0" w:tplc="C986D714">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437B7E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9541E9"/>
    <w:multiLevelType w:val="hybridMultilevel"/>
    <w:tmpl w:val="77B2755C"/>
    <w:lvl w:ilvl="0" w:tplc="F0686454">
      <w:start w:val="1"/>
      <w:numFmt w:val="decimal"/>
      <w:lvlText w:val="%1."/>
      <w:lvlJc w:val="left"/>
      <w:pPr>
        <w:ind w:left="843" w:hanging="368"/>
      </w:pPr>
      <w:rPr>
        <w:rFonts w:hint="default"/>
        <w:spacing w:val="0"/>
        <w:w w:val="110"/>
        <w:lang w:val="lt-LT" w:eastAsia="en-US" w:bidi="ar-SA"/>
      </w:rPr>
    </w:lvl>
    <w:lvl w:ilvl="1" w:tplc="499C541A">
      <w:numFmt w:val="bullet"/>
      <w:lvlText w:val="•"/>
      <w:lvlJc w:val="left"/>
      <w:pPr>
        <w:ind w:left="1648" w:hanging="368"/>
      </w:pPr>
      <w:rPr>
        <w:rFonts w:hint="default"/>
        <w:lang w:val="lt-LT" w:eastAsia="en-US" w:bidi="ar-SA"/>
      </w:rPr>
    </w:lvl>
    <w:lvl w:ilvl="2" w:tplc="EFF63362">
      <w:numFmt w:val="bullet"/>
      <w:lvlText w:val="•"/>
      <w:lvlJc w:val="left"/>
      <w:pPr>
        <w:ind w:left="2457" w:hanging="368"/>
      </w:pPr>
      <w:rPr>
        <w:rFonts w:hint="default"/>
        <w:lang w:val="lt-LT" w:eastAsia="en-US" w:bidi="ar-SA"/>
      </w:rPr>
    </w:lvl>
    <w:lvl w:ilvl="3" w:tplc="B6902DA4">
      <w:numFmt w:val="bullet"/>
      <w:lvlText w:val="•"/>
      <w:lvlJc w:val="left"/>
      <w:pPr>
        <w:ind w:left="3266" w:hanging="368"/>
      </w:pPr>
      <w:rPr>
        <w:rFonts w:hint="default"/>
        <w:lang w:val="lt-LT" w:eastAsia="en-US" w:bidi="ar-SA"/>
      </w:rPr>
    </w:lvl>
    <w:lvl w:ilvl="4" w:tplc="6F12866C">
      <w:numFmt w:val="bullet"/>
      <w:lvlText w:val="•"/>
      <w:lvlJc w:val="left"/>
      <w:pPr>
        <w:ind w:left="4075" w:hanging="368"/>
      </w:pPr>
      <w:rPr>
        <w:rFonts w:hint="default"/>
        <w:lang w:val="lt-LT" w:eastAsia="en-US" w:bidi="ar-SA"/>
      </w:rPr>
    </w:lvl>
    <w:lvl w:ilvl="5" w:tplc="7E9C9DC8">
      <w:numFmt w:val="bullet"/>
      <w:lvlText w:val="•"/>
      <w:lvlJc w:val="left"/>
      <w:pPr>
        <w:ind w:left="4884" w:hanging="368"/>
      </w:pPr>
      <w:rPr>
        <w:rFonts w:hint="default"/>
        <w:lang w:val="lt-LT" w:eastAsia="en-US" w:bidi="ar-SA"/>
      </w:rPr>
    </w:lvl>
    <w:lvl w:ilvl="6" w:tplc="AB7EB3B4">
      <w:numFmt w:val="bullet"/>
      <w:lvlText w:val="•"/>
      <w:lvlJc w:val="left"/>
      <w:pPr>
        <w:ind w:left="5693" w:hanging="368"/>
      </w:pPr>
      <w:rPr>
        <w:rFonts w:hint="default"/>
        <w:lang w:val="lt-LT" w:eastAsia="en-US" w:bidi="ar-SA"/>
      </w:rPr>
    </w:lvl>
    <w:lvl w:ilvl="7" w:tplc="B5D8AF4E">
      <w:numFmt w:val="bullet"/>
      <w:lvlText w:val="•"/>
      <w:lvlJc w:val="left"/>
      <w:pPr>
        <w:ind w:left="6502" w:hanging="368"/>
      </w:pPr>
      <w:rPr>
        <w:rFonts w:hint="default"/>
        <w:lang w:val="lt-LT" w:eastAsia="en-US" w:bidi="ar-SA"/>
      </w:rPr>
    </w:lvl>
    <w:lvl w:ilvl="8" w:tplc="F7980E10">
      <w:numFmt w:val="bullet"/>
      <w:lvlText w:val="•"/>
      <w:lvlJc w:val="left"/>
      <w:pPr>
        <w:ind w:left="7311" w:hanging="368"/>
      </w:pPr>
      <w:rPr>
        <w:rFonts w:hint="default"/>
        <w:lang w:val="lt-LT" w:eastAsia="en-US" w:bidi="ar-SA"/>
      </w:rPr>
    </w:lvl>
  </w:abstractNum>
  <w:num w:numId="1" w16cid:durableId="664743979">
    <w:abstractNumId w:val="0"/>
  </w:num>
  <w:num w:numId="2" w16cid:durableId="2047948641">
    <w:abstractNumId w:val="3"/>
  </w:num>
  <w:num w:numId="3" w16cid:durableId="1095783406">
    <w:abstractNumId w:val="5"/>
  </w:num>
  <w:num w:numId="4" w16cid:durableId="878590856">
    <w:abstractNumId w:val="1"/>
  </w:num>
  <w:num w:numId="5" w16cid:durableId="2138058618">
    <w:abstractNumId w:val="2"/>
  </w:num>
  <w:num w:numId="6" w16cid:durableId="754321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0NLEwNjMzNDIxtzRX0lEKTi0uzszPAykwrAUADfpxVSwAAAA="/>
  </w:docVars>
  <w:rsids>
    <w:rsidRoot w:val="009F69B1"/>
    <w:rsid w:val="00005592"/>
    <w:rsid w:val="00037267"/>
    <w:rsid w:val="00050B61"/>
    <w:rsid w:val="00072CF9"/>
    <w:rsid w:val="000777A0"/>
    <w:rsid w:val="000D77EF"/>
    <w:rsid w:val="000E1C43"/>
    <w:rsid w:val="001142E0"/>
    <w:rsid w:val="00172772"/>
    <w:rsid w:val="00190AEC"/>
    <w:rsid w:val="001A4B77"/>
    <w:rsid w:val="001C5CB9"/>
    <w:rsid w:val="001D3FDB"/>
    <w:rsid w:val="001E3608"/>
    <w:rsid w:val="001E7A02"/>
    <w:rsid w:val="00203BCD"/>
    <w:rsid w:val="00232EAD"/>
    <w:rsid w:val="002452B9"/>
    <w:rsid w:val="00255EED"/>
    <w:rsid w:val="0029411E"/>
    <w:rsid w:val="002A7C08"/>
    <w:rsid w:val="002B083F"/>
    <w:rsid w:val="002C3752"/>
    <w:rsid w:val="00311AA7"/>
    <w:rsid w:val="00320056"/>
    <w:rsid w:val="00326B6E"/>
    <w:rsid w:val="003C3231"/>
    <w:rsid w:val="004440E7"/>
    <w:rsid w:val="00452D65"/>
    <w:rsid w:val="00462BCF"/>
    <w:rsid w:val="0046367D"/>
    <w:rsid w:val="0046773A"/>
    <w:rsid w:val="004A68F5"/>
    <w:rsid w:val="0052489E"/>
    <w:rsid w:val="00526D80"/>
    <w:rsid w:val="00532642"/>
    <w:rsid w:val="0057797F"/>
    <w:rsid w:val="005D12D0"/>
    <w:rsid w:val="006028AB"/>
    <w:rsid w:val="00657582"/>
    <w:rsid w:val="00683C0C"/>
    <w:rsid w:val="00690412"/>
    <w:rsid w:val="006A125E"/>
    <w:rsid w:val="006B52C7"/>
    <w:rsid w:val="00735D34"/>
    <w:rsid w:val="007414C3"/>
    <w:rsid w:val="00776BB3"/>
    <w:rsid w:val="008D3B2D"/>
    <w:rsid w:val="00965DC3"/>
    <w:rsid w:val="00990E2E"/>
    <w:rsid w:val="009F69B1"/>
    <w:rsid w:val="00A14CA8"/>
    <w:rsid w:val="00A31520"/>
    <w:rsid w:val="00A40DD8"/>
    <w:rsid w:val="00A84670"/>
    <w:rsid w:val="00AE7C31"/>
    <w:rsid w:val="00C30FD2"/>
    <w:rsid w:val="00CB736B"/>
    <w:rsid w:val="00CF3B2A"/>
    <w:rsid w:val="00D12884"/>
    <w:rsid w:val="00D16B4A"/>
    <w:rsid w:val="00D16C0E"/>
    <w:rsid w:val="00D40DF5"/>
    <w:rsid w:val="00D545DD"/>
    <w:rsid w:val="00DA52C1"/>
    <w:rsid w:val="00DC38BE"/>
    <w:rsid w:val="00E03776"/>
    <w:rsid w:val="00E21726"/>
    <w:rsid w:val="00E43B01"/>
    <w:rsid w:val="00E53C87"/>
    <w:rsid w:val="00E66666"/>
    <w:rsid w:val="00E70728"/>
    <w:rsid w:val="00E7788A"/>
    <w:rsid w:val="00EA6E61"/>
    <w:rsid w:val="00F0094B"/>
    <w:rsid w:val="00F36156"/>
    <w:rsid w:val="00F81C2A"/>
    <w:rsid w:val="00FB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690E"/>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link w:val="Antrat1Diagrama"/>
    <w:uiPriority w:val="9"/>
    <w:qFormat/>
    <w:rsid w:val="005D12D0"/>
    <w:pPr>
      <w:widowControl w:val="0"/>
      <w:suppressAutoHyphens w:val="0"/>
      <w:autoSpaceDE w:val="0"/>
      <w:spacing w:after="0" w:line="240" w:lineRule="auto"/>
      <w:ind w:left="126"/>
      <w:textAlignment w:val="auto"/>
      <w:outlineLvl w:val="0"/>
    </w:pPr>
    <w:rPr>
      <w:rFonts w:eastAsia="Times New Roman"/>
      <w:b/>
      <w:bCs/>
      <w:sz w:val="25"/>
      <w:szCs w:val="25"/>
    </w:rPr>
  </w:style>
  <w:style w:type="paragraph" w:styleId="Antrat2">
    <w:name w:val="heading 2"/>
    <w:basedOn w:val="prastasis"/>
    <w:link w:val="Antrat2Diagrama"/>
    <w:uiPriority w:val="9"/>
    <w:unhideWhenUsed/>
    <w:qFormat/>
    <w:rsid w:val="005D12D0"/>
    <w:pPr>
      <w:widowControl w:val="0"/>
      <w:suppressAutoHyphens w:val="0"/>
      <w:autoSpaceDE w:val="0"/>
      <w:spacing w:after="0" w:line="240" w:lineRule="auto"/>
      <w:ind w:left="828" w:hanging="359"/>
      <w:textAlignment w:val="auto"/>
      <w:outlineLvl w:val="1"/>
    </w:pPr>
    <w:rPr>
      <w:rFonts w:eastAsia="Times New Roman"/>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Numbering,ERP-List Paragraph,List Paragraph11,Bullet EY,List Paragraph2,List Paragraph Red,List Paragraph1,Sąrašo pastraipa1,List Paragraph12,List Paragraph21,Lentele,List not in Table,punktai,Buletai,lp1,Bullet 1,List Paragraph111"/>
    <w:basedOn w:val="prastasis"/>
    <w:link w:val="SraopastraipaDiagrama"/>
    <w:uiPriority w:val="34"/>
    <w:qFormat/>
    <w:rsid w:val="00DA52C1"/>
    <w:pPr>
      <w:suppressAutoHyphens w:val="0"/>
      <w:autoSpaceDN/>
      <w:spacing w:after="0" w:line="240" w:lineRule="auto"/>
      <w:ind w:left="720"/>
      <w:contextualSpacing/>
      <w:textAlignment w:val="auto"/>
    </w:pPr>
    <w:rPr>
      <w:rFonts w:eastAsia="Times New Roman"/>
      <w:szCs w:val="20"/>
    </w:rPr>
  </w:style>
  <w:style w:type="table" w:styleId="Lentelstinklelis">
    <w:name w:val="Table Grid"/>
    <w:basedOn w:val="prastojilentel"/>
    <w:uiPriority w:val="59"/>
    <w:rsid w:val="00DA52C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locked/>
    <w:rsid w:val="00DA52C1"/>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5D12D0"/>
    <w:rPr>
      <w:rFonts w:ascii="Times New Roman" w:eastAsia="Times New Roman" w:hAnsi="Times New Roman" w:cs="Times New Roman"/>
      <w:b/>
      <w:bCs/>
      <w:sz w:val="25"/>
      <w:szCs w:val="25"/>
      <w:lang w:val="lt-LT"/>
    </w:rPr>
  </w:style>
  <w:style w:type="character" w:customStyle="1" w:styleId="Antrat2Diagrama">
    <w:name w:val="Antraštė 2 Diagrama"/>
    <w:basedOn w:val="Numatytasispastraiposriftas"/>
    <w:link w:val="Antrat2"/>
    <w:uiPriority w:val="9"/>
    <w:rsid w:val="005D12D0"/>
    <w:rPr>
      <w:rFonts w:ascii="Times New Roman" w:eastAsia="Times New Roman" w:hAnsi="Times New Roman" w:cs="Times New Roman"/>
      <w:b/>
      <w:bCs/>
      <w:lang w:val="lt-LT"/>
    </w:rPr>
  </w:style>
  <w:style w:type="paragraph" w:styleId="Pagrindinistekstas">
    <w:name w:val="Body Text"/>
    <w:basedOn w:val="prastasis"/>
    <w:link w:val="PagrindinistekstasDiagrama"/>
    <w:uiPriority w:val="1"/>
    <w:qFormat/>
    <w:rsid w:val="005D12D0"/>
    <w:pPr>
      <w:widowControl w:val="0"/>
      <w:suppressAutoHyphens w:val="0"/>
      <w:autoSpaceDE w:val="0"/>
      <w:spacing w:before="40" w:after="0" w:line="240" w:lineRule="auto"/>
      <w:textAlignment w:val="auto"/>
    </w:pPr>
    <w:rPr>
      <w:rFonts w:eastAsia="Times New Roman"/>
      <w:i/>
      <w:iCs/>
      <w:sz w:val="22"/>
    </w:rPr>
  </w:style>
  <w:style w:type="character" w:customStyle="1" w:styleId="PagrindinistekstasDiagrama">
    <w:name w:val="Pagrindinis tekstas Diagrama"/>
    <w:basedOn w:val="Numatytasispastraiposriftas"/>
    <w:link w:val="Pagrindinistekstas"/>
    <w:uiPriority w:val="1"/>
    <w:rsid w:val="005D12D0"/>
    <w:rPr>
      <w:rFonts w:ascii="Times New Roman" w:eastAsia="Times New Roman" w:hAnsi="Times New Roman" w:cs="Times New Roman"/>
      <w:i/>
      <w:iCs/>
      <w:lang w:val="lt-LT"/>
    </w:rPr>
  </w:style>
  <w:style w:type="paragraph" w:styleId="Pavadinimas">
    <w:name w:val="Title"/>
    <w:basedOn w:val="prastasis"/>
    <w:link w:val="PavadinimasDiagrama"/>
    <w:qFormat/>
    <w:rsid w:val="00255EED"/>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255EED"/>
    <w:rPr>
      <w:rFonts w:ascii="Times New Roman" w:eastAsia="Times New Roman" w:hAnsi="Times New Roman" w:cs="Times New Roman"/>
      <w:b/>
      <w:bCs/>
      <w:sz w:val="24"/>
      <w:szCs w:val="24"/>
      <w:lang w:val="lt-LT"/>
    </w:rPr>
  </w:style>
  <w:style w:type="character" w:styleId="Hipersaitas">
    <w:name w:val="Hyperlink"/>
    <w:semiHidden/>
    <w:rsid w:val="00255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938574">
      <w:bodyDiv w:val="1"/>
      <w:marLeft w:val="0"/>
      <w:marRight w:val="0"/>
      <w:marTop w:val="0"/>
      <w:marBottom w:val="0"/>
      <w:divBdr>
        <w:top w:val="none" w:sz="0" w:space="0" w:color="auto"/>
        <w:left w:val="none" w:sz="0" w:space="0" w:color="auto"/>
        <w:bottom w:val="none" w:sz="0" w:space="0" w:color="auto"/>
        <w:right w:val="none" w:sz="0" w:space="0" w:color="auto"/>
      </w:divBdr>
    </w:div>
    <w:div w:id="921791128">
      <w:bodyDiv w:val="1"/>
      <w:marLeft w:val="0"/>
      <w:marRight w:val="0"/>
      <w:marTop w:val="0"/>
      <w:marBottom w:val="0"/>
      <w:divBdr>
        <w:top w:val="none" w:sz="0" w:space="0" w:color="auto"/>
        <w:left w:val="none" w:sz="0" w:space="0" w:color="auto"/>
        <w:bottom w:val="none" w:sz="0" w:space="0" w:color="auto"/>
        <w:right w:val="none" w:sz="0" w:space="0" w:color="auto"/>
      </w:divBdr>
    </w:div>
    <w:div w:id="1515680759">
      <w:bodyDiv w:val="1"/>
      <w:marLeft w:val="0"/>
      <w:marRight w:val="0"/>
      <w:marTop w:val="0"/>
      <w:marBottom w:val="0"/>
      <w:divBdr>
        <w:top w:val="none" w:sz="0" w:space="0" w:color="auto"/>
        <w:left w:val="none" w:sz="0" w:space="0" w:color="auto"/>
        <w:bottom w:val="none" w:sz="0" w:space="0" w:color="auto"/>
        <w:right w:val="none" w:sz="0" w:space="0" w:color="auto"/>
      </w:divBdr>
    </w:div>
    <w:div w:id="17893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5592"/>
    <w:rsid w:val="00037267"/>
    <w:rsid w:val="00064217"/>
    <w:rsid w:val="00072CF9"/>
    <w:rsid w:val="000777A0"/>
    <w:rsid w:val="001142E0"/>
    <w:rsid w:val="00190AEC"/>
    <w:rsid w:val="001B41E4"/>
    <w:rsid w:val="0020343C"/>
    <w:rsid w:val="00232EAD"/>
    <w:rsid w:val="002A7C08"/>
    <w:rsid w:val="002B083F"/>
    <w:rsid w:val="002D7ED6"/>
    <w:rsid w:val="00311AA7"/>
    <w:rsid w:val="00320056"/>
    <w:rsid w:val="003778AA"/>
    <w:rsid w:val="00434E8B"/>
    <w:rsid w:val="004A68F5"/>
    <w:rsid w:val="004F15FD"/>
    <w:rsid w:val="00526D80"/>
    <w:rsid w:val="00532642"/>
    <w:rsid w:val="0057797F"/>
    <w:rsid w:val="005838CA"/>
    <w:rsid w:val="00657582"/>
    <w:rsid w:val="00670948"/>
    <w:rsid w:val="006E68BB"/>
    <w:rsid w:val="006F1C9C"/>
    <w:rsid w:val="007414C3"/>
    <w:rsid w:val="00743892"/>
    <w:rsid w:val="00764A39"/>
    <w:rsid w:val="00791E69"/>
    <w:rsid w:val="007A0912"/>
    <w:rsid w:val="007B3FA3"/>
    <w:rsid w:val="008B7D9B"/>
    <w:rsid w:val="008D3B2D"/>
    <w:rsid w:val="009063B0"/>
    <w:rsid w:val="00965DC3"/>
    <w:rsid w:val="00977895"/>
    <w:rsid w:val="00990E2E"/>
    <w:rsid w:val="009C6CA6"/>
    <w:rsid w:val="00A02CC9"/>
    <w:rsid w:val="00A87CAD"/>
    <w:rsid w:val="00B303A8"/>
    <w:rsid w:val="00B87FDA"/>
    <w:rsid w:val="00BB015B"/>
    <w:rsid w:val="00BC576D"/>
    <w:rsid w:val="00BD039C"/>
    <w:rsid w:val="00BD1B19"/>
    <w:rsid w:val="00C1280B"/>
    <w:rsid w:val="00CF3B2A"/>
    <w:rsid w:val="00D14741"/>
    <w:rsid w:val="00D545DD"/>
    <w:rsid w:val="00D7642B"/>
    <w:rsid w:val="00DE4D7B"/>
    <w:rsid w:val="00E21726"/>
    <w:rsid w:val="00E25E51"/>
    <w:rsid w:val="00E43B01"/>
    <w:rsid w:val="00E73920"/>
    <w:rsid w:val="00EA6E61"/>
    <w:rsid w:val="00EA743B"/>
    <w:rsid w:val="00F0094B"/>
    <w:rsid w:val="00F017E5"/>
    <w:rsid w:val="00F23EC0"/>
    <w:rsid w:val="00F81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89547BC2F304BB3672E27C791B935" ma:contentTypeVersion="15" ma:contentTypeDescription="Create a new document." ma:contentTypeScope="" ma:versionID="b55229ac26158abad5f7b87616df2554">
  <xsd:schema xmlns:xsd="http://www.w3.org/2001/XMLSchema" xmlns:xs="http://www.w3.org/2001/XMLSchema" xmlns:p="http://schemas.microsoft.com/office/2006/metadata/properties" xmlns:ns3="40e2af6c-acfa-4a0e-91c5-35601b2ffd41" xmlns:ns4="3d44b7ca-2301-4f98-9ec3-374270f80139" targetNamespace="http://schemas.microsoft.com/office/2006/metadata/properties" ma:root="true" ma:fieldsID="b3d299472c51e5c21d6de2b656254b8d" ns3:_="" ns4:_="">
    <xsd:import namespace="40e2af6c-acfa-4a0e-91c5-35601b2ffd41"/>
    <xsd:import namespace="3d44b7ca-2301-4f98-9ec3-374270f801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2af6c-acfa-4a0e-91c5-35601b2f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b7ca-2301-4f98-9ec3-374270f801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0e2af6c-acfa-4a0e-91c5-35601b2ffd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192FD-ACFD-4454-B749-9515C27D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2af6c-acfa-4a0e-91c5-35601b2ffd41"/>
    <ds:schemaRef ds:uri="3d44b7ca-2301-4f98-9ec3-374270f8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3ACCB-962A-4309-9F76-6EDA8D9EBF6F}">
  <ds:schemaRefs>
    <ds:schemaRef ds:uri="http://schemas.microsoft.com/office/2006/metadata/properties"/>
    <ds:schemaRef ds:uri="http://schemas.microsoft.com/office/infopath/2007/PartnerControls"/>
    <ds:schemaRef ds:uri="40e2af6c-acfa-4a0e-91c5-35601b2ffd41"/>
  </ds:schemaRefs>
</ds:datastoreItem>
</file>

<file path=customXml/itemProps3.xml><?xml version="1.0" encoding="utf-8"?>
<ds:datastoreItem xmlns:ds="http://schemas.openxmlformats.org/officeDocument/2006/customXml" ds:itemID="{30054605-9797-4C65-8F7A-1AD8824A0FDE}">
  <ds:schemaRefs>
    <ds:schemaRef ds:uri="http://schemas.openxmlformats.org/officeDocument/2006/bibliography"/>
  </ds:schemaRefs>
</ds:datastoreItem>
</file>

<file path=customXml/itemProps4.xml><?xml version="1.0" encoding="utf-8"?>
<ds:datastoreItem xmlns:ds="http://schemas.openxmlformats.org/officeDocument/2006/customXml" ds:itemID="{5C5C9307-0DE9-4584-A0FD-FEB7BF7B5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5354</Words>
  <Characters>3052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10</cp:revision>
  <dcterms:created xsi:type="dcterms:W3CDTF">2025-06-25T06:55:00Z</dcterms:created>
  <dcterms:modified xsi:type="dcterms:W3CDTF">2025-06-26T11:16:00Z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0x01010084B89547BC2F304BB3672E27C791B935</vt:lpwstr>
  </property>
</Properties>
</file>