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(8 37) 32 67 68,</w:t>
      </w:r>
    </w:p>
    <w:p w:rsidR="00B35758" w:rsidRPr="00854972" w:rsidRDefault="00B35758" w:rsidP="00B35758">
      <w:pPr>
        <w:pStyle w:val="Default"/>
        <w:jc w:val="center"/>
        <w:rPr>
          <w:rFonts w:ascii="Cambria" w:hAnsi="Cambria"/>
          <w:sz w:val="22"/>
        </w:rPr>
      </w:pPr>
      <w:r w:rsidRPr="00854972">
        <w:rPr>
          <w:rFonts w:ascii="Cambria" w:hAnsi="Cambria"/>
          <w:sz w:val="22"/>
        </w:rPr>
        <w:t>faks. (8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7D1A1E" w:rsidP="00B35758">
      <w:pPr>
        <w:jc w:val="center"/>
        <w:rPr>
          <w:rFonts w:ascii="Cambria" w:hAnsi="Cambria"/>
          <w:b/>
          <w:sz w:val="22"/>
          <w:szCs w:val="22"/>
        </w:rPr>
      </w:pPr>
      <w:r>
        <w:rPr>
          <w:rFonts w:ascii="Cambria" w:hAnsi="Cambria"/>
          <w:b/>
          <w:sz w:val="22"/>
          <w:szCs w:val="22"/>
        </w:rPr>
        <w:t>VARINIAI VAMZDŽIAI IR JŲ JUNGIAMOSIOS DALYS (VĖDINIMUI IR MEDICINININĖMS DUJOMS)</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D1A1E">
        <w:rPr>
          <w:rFonts w:ascii="Cambria" w:hAnsi="Cambria" w:cs="Times New Roman"/>
          <w:b/>
          <w:color w:val="548DD4" w:themeColor="text2" w:themeTint="99"/>
          <w:sz w:val="22"/>
          <w:szCs w:val="22"/>
          <w:lang w:val="lt-LT"/>
        </w:rPr>
        <w:t xml:space="preserve">varinius vamzdžiu ir jų jungiamąsias </w:t>
      </w:r>
      <w:proofErr w:type="gramStart"/>
      <w:r w:rsidR="007D1A1E">
        <w:rPr>
          <w:rFonts w:ascii="Cambria" w:hAnsi="Cambria" w:cs="Times New Roman"/>
          <w:b/>
          <w:color w:val="548DD4" w:themeColor="text2" w:themeTint="99"/>
          <w:sz w:val="22"/>
          <w:szCs w:val="22"/>
          <w:lang w:val="lt-LT"/>
        </w:rPr>
        <w:t>dalis</w:t>
      </w:r>
      <w:proofErr w:type="gramEnd"/>
      <w:r w:rsidR="007D1A1E">
        <w:rPr>
          <w:rFonts w:ascii="Cambria" w:hAnsi="Cambria" w:cs="Times New Roman"/>
          <w:b/>
          <w:color w:val="548DD4" w:themeColor="text2" w:themeTint="99"/>
          <w:sz w:val="22"/>
          <w:szCs w:val="22"/>
          <w:lang w:val="lt-LT"/>
        </w:rPr>
        <w:t xml:space="preserve"> (vėdinimui ir medicininėms dujoms)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D1A1E">
        <w:rPr>
          <w:rFonts w:ascii="Cambria" w:hAnsi="Cambria"/>
          <w:b/>
          <w:color w:val="548DD4" w:themeColor="text2" w:themeTint="99"/>
        </w:rPr>
        <w:t>variniai vamzdžiai ir jų jungiamosios daly</w:t>
      </w:r>
      <w:r w:rsidR="007D1A1E" w:rsidRPr="007D1A1E">
        <w:rPr>
          <w:rFonts w:ascii="Cambria" w:hAnsi="Cambria"/>
          <w:b/>
          <w:color w:val="548DD4" w:themeColor="text2" w:themeTint="99"/>
        </w:rPr>
        <w:t>s (vėdinimui ir medicininėms dujoms)</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7D1A1E">
        <w:rPr>
          <w:rFonts w:ascii="Cambria" w:hAnsi="Cambria"/>
          <w:iCs/>
          <w:sz w:val="22"/>
          <w:szCs w:val="22"/>
        </w:rPr>
        <w:t>varinių vamzdžių ir jų jungiamųjų dalių (vėdinimui ir medicininėms dujoms)</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7D1A1E">
        <w:rPr>
          <w:rFonts w:ascii="Cambria" w:hAnsi="Cambria"/>
          <w:iCs/>
          <w:sz w:val="22"/>
          <w:szCs w:val="22"/>
          <w:lang w:val="en-US"/>
        </w:rPr>
        <w:t>1841322</w:t>
      </w:r>
      <w:r w:rsidR="002A2874" w:rsidRPr="00854972">
        <w:rPr>
          <w:rFonts w:ascii="Cambria" w:hAnsi="Cambria"/>
          <w:iCs/>
          <w:sz w:val="22"/>
          <w:szCs w:val="22"/>
        </w:rPr>
        <w:t>.​</w:t>
      </w:r>
    </w:p>
    <w:p w:rsidR="003F314D" w:rsidRPr="003F314D"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u w:val="single"/>
          <w:lang w:eastAsia="ar-SA"/>
        </w:rPr>
      </w:pPr>
      <w:r w:rsidRPr="003F314D">
        <w:rPr>
          <w:rFonts w:ascii="Cambria" w:hAnsi="Cambria"/>
          <w:lang w:eastAsia="lt-LT"/>
        </w:rPr>
        <w:t xml:space="preserve">Šis pirkimas į dalis </w:t>
      </w:r>
      <w:r w:rsidRPr="003F314D">
        <w:rPr>
          <w:rFonts w:ascii="Cambria" w:hAnsi="Cambria"/>
          <w:b/>
          <w:lang w:eastAsia="lt-LT"/>
        </w:rPr>
        <w:t>neskaidomas (viso viena pirkimo dalis)</w:t>
      </w:r>
      <w:r w:rsidRPr="003F314D">
        <w:rPr>
          <w:rFonts w:ascii="Cambria" w:hAnsi="Cambria"/>
          <w:lang w:eastAsia="lt-LT"/>
        </w:rPr>
        <w:t xml:space="preserve">, </w:t>
      </w:r>
      <w:r w:rsidR="006A0BE1">
        <w:rPr>
          <w:rFonts w:ascii="Cambria" w:hAnsi="Cambria"/>
          <w:lang w:eastAsia="lt-LT"/>
        </w:rPr>
        <w:t>k</w:t>
      </w:r>
      <w:r w:rsidR="006A0BE1" w:rsidRPr="006A0BE1">
        <w:rPr>
          <w:rFonts w:ascii="Cambria" w:hAnsi="Cambria"/>
          <w:lang w:eastAsia="lt-LT"/>
        </w:rPr>
        <w:t xml:space="preserve">adangi numatomos įsigyti </w:t>
      </w:r>
      <w:r w:rsidR="007D1A1E" w:rsidRPr="007D1A1E">
        <w:rPr>
          <w:rFonts w:ascii="Cambria" w:hAnsi="Cambria"/>
          <w:lang w:eastAsia="lt-LT"/>
        </w:rPr>
        <w:t>medžiagos yra techniškai susiję, tiekimas iš skirtingų tiekėjų apsunkintų darbų planavimą</w:t>
      </w:r>
      <w:r w:rsidR="006A0BE1" w:rsidRPr="006A0BE1">
        <w:rPr>
          <w:rFonts w:ascii="Cambria" w:hAnsi="Cambria"/>
          <w:lang w:eastAsia="lt-LT"/>
        </w:rPr>
        <w:t>.</w:t>
      </w:r>
      <w:r w:rsidR="00127A5A">
        <w:rPr>
          <w:rFonts w:ascii="Cambria" w:hAnsi="Cambria"/>
          <w:lang w:eastAsia="lt-LT"/>
        </w:rPr>
        <w:t xml:space="preserve"> </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Pr="006A0BE1">
        <w:rPr>
          <w:rFonts w:ascii="Cambria" w:hAnsi="Cambria"/>
          <w:lang w:eastAsia="ar-SA"/>
        </w:rPr>
        <w:t>Dalyvis gali pateikti tik vieną pasiūlymą visam pirkimui. Alternatyvūs pasiūlymai negalimi. Pasiūlymas turi būti pateiktas visai pirkimo sąlygų techninėje specifikacijoje nurodytai apimčiai, neskaidant jos smulkiau.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Lietuvos sveikatos mokslų universiteto ligoninė Kauno klinikos adresas Eivenių g. 2, Kaunas.</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317A16" w:rsidRPr="006A0BE1" w:rsidRDefault="00F704E1" w:rsidP="00317A16">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w:t>
      </w:r>
      <w:r w:rsidR="00E718B5" w:rsidRPr="00854972">
        <w:rPr>
          <w:rFonts w:ascii="Cambria" w:eastAsia="Arial Unicode MS" w:hAnsi="Cambria"/>
          <w:color w:val="000000"/>
          <w:sz w:val="22"/>
          <w:szCs w:val="22"/>
          <w:bdr w:val="nil"/>
          <w:lang w:val="en-US" w:eastAsia="lt-LT"/>
        </w:rPr>
        <w:lastRenderedPageBreak/>
        <w:t xml:space="preserve">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80358">
              <w:rPr>
                <w:rFonts w:asciiTheme="majorHAnsi" w:eastAsia="Arial Unicode MS" w:hAnsiTheme="majorHAnsi"/>
                <w:bdr w:val="nil"/>
                <w:lang w:val="en-US"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380358">
              <w:rPr>
                <w:rFonts w:asciiTheme="majorHAnsi" w:eastAsia="Arial Unicode MS" w:hAnsiTheme="majorHAnsi"/>
                <w:bdr w:val="nil"/>
                <w:lang w:val="en-US"/>
              </w:rPr>
              <w:lastRenderedPageBreak/>
              <w:t xml:space="preserve">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lastRenderedPageBreak/>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w:t>
            </w:r>
            <w:r w:rsidRPr="00380358">
              <w:rPr>
                <w:rFonts w:asciiTheme="majorHAnsi" w:eastAsia="Arial Unicode MS" w:hAnsiTheme="majorHAnsi"/>
                <w:bCs/>
                <w:bdr w:val="nil"/>
                <w:lang w:val="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w:t>
            </w:r>
            <w:r w:rsidRPr="00380358">
              <w:rPr>
                <w:rFonts w:asciiTheme="majorHAnsi" w:eastAsia="Arial Unicode MS" w:hAnsiTheme="majorHAnsi"/>
                <w:bCs/>
                <w:color w:val="000000"/>
                <w:bdr w:val="nil"/>
                <w:lang w:val="en-US" w:eastAsia="lt-LT"/>
              </w:rPr>
              <w:lastRenderedPageBreak/>
              <w:t xml:space="preserve">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jis pateikia išrašą iš teismo sprendimo (jei toks yra) arba „Sodros“ išduotą dokumentą, arba valstybės įmonės Registrų centras </w:t>
            </w:r>
            <w:r w:rsidRPr="00380358">
              <w:rPr>
                <w:rFonts w:asciiTheme="majorHAnsi" w:eastAsia="Arial Unicode MS" w:hAnsiTheme="majorHAnsi"/>
                <w:bCs/>
                <w:color w:val="000000"/>
                <w:bdr w:val="nil"/>
                <w:lang w:val="en-US" w:eastAsia="lt-LT"/>
              </w:rPr>
              <w:lastRenderedPageBreak/>
              <w:t>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Pažeista konkurencija, kaip nustatyta VPĮ 27 straipsnio 3 ir 4 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lastRenderedPageBreak/>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r w:rsidRPr="00380358">
              <w:rPr>
                <w:rFonts w:asciiTheme="majorHAnsi" w:eastAsia="Arial Unicode MS" w:hAnsiTheme="majorHAnsi"/>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66073E" w:rsidP="00380358">
            <w:pPr>
              <w:suppressAutoHyphens/>
              <w:spacing w:after="40"/>
              <w:jc w:val="both"/>
              <w:rPr>
                <w:rFonts w:asciiTheme="majorHAnsi" w:eastAsia="Arial Unicode MS" w:hAnsiTheme="majorHAnsi"/>
                <w:b/>
                <w:bCs/>
                <w:color w:val="000000"/>
                <w:bdr w:val="nil"/>
                <w:lang w:val="en-US" w:eastAsia="lt-LT"/>
              </w:rPr>
            </w:pPr>
            <w:hyperlink r:id="rId16"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metu ėmėsi neteisėtų veiksmų, siekdamas daryti įtaką perkančiosios organizacijos sprendimams, gauti konfidencialios informacijos, kuri </w:t>
            </w:r>
            <w:r w:rsidRPr="00380358">
              <w:rPr>
                <w:rFonts w:asciiTheme="majorHAnsi" w:eastAsia="Arial Unicode MS" w:hAnsiTheme="majorHAnsi"/>
                <w:bdr w:val="nil"/>
                <w:lang w:val="en-US"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lastRenderedPageBreak/>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380358">
              <w:rPr>
                <w:rFonts w:asciiTheme="majorHAnsi" w:eastAsia="Arial Unicode MS" w:hAnsiTheme="majorHAnsi"/>
                <w:bdr w:val="nil"/>
                <w:lang w:val="en-US" w:eastAsia="lt-LT"/>
              </w:rPr>
              <w:lastRenderedPageBreak/>
              <w:t>anksčiau, negu toje sutartyje nustatytas jos galiojimo terminas, buvo pareikalauta atlyginti žalą ar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66073E" w:rsidP="00380358">
            <w:pPr>
              <w:suppressAutoHyphens/>
              <w:spacing w:after="40"/>
              <w:jc w:val="both"/>
              <w:rPr>
                <w:rFonts w:asciiTheme="majorHAnsi" w:eastAsia="Arial Unicode MS" w:hAnsiTheme="majorHAnsi"/>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66073E"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1" w:name="part_030e6c6c64ba4f96a23474e439d1b80c"/>
            <w:bookmarkEnd w:id="1"/>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19"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66073E" w:rsidP="00380358">
            <w:pPr>
              <w:suppressAutoHyphens/>
              <w:spacing w:after="40"/>
              <w:jc w:val="both"/>
              <w:rPr>
                <w:rFonts w:asciiTheme="majorHAnsi" w:eastAsia="Arial Unicode MS" w:hAnsiTheme="majorHAnsi"/>
                <w:color w:val="000000"/>
                <w:bdr w:val="nil"/>
                <w:lang w:val="en-US" w:eastAsia="lt-LT"/>
              </w:rPr>
            </w:pPr>
            <w:hyperlink r:id="rId20"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1">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66073E" w:rsidP="00380358">
            <w:pPr>
              <w:rPr>
                <w:rFonts w:asciiTheme="majorHAnsi" w:eastAsia="Times New Roman" w:hAnsiTheme="majorHAnsi"/>
                <w:bCs/>
                <w:iCs/>
                <w:bdr w:val="nil"/>
                <w:lang w:val="en-US"/>
              </w:rPr>
            </w:pPr>
            <w:hyperlink r:id="rId22" w:history="1">
              <w:r w:rsidR="00380358" w:rsidRPr="00380358">
                <w:rPr>
                  <w:rFonts w:asciiTheme="majorHAnsi" w:eastAsia="Arial Unicode MS" w:hAnsiTheme="majorHAnsi"/>
                  <w:u w:val="single"/>
                  <w:bdr w:val="nil"/>
                  <w:lang w:val="en-US"/>
                </w:rPr>
                <w:t>https://kt.gov.lt/lt/atviri-duomenys/diskvalifikavimas-is-viesuju-pirkimu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 xml:space="preserve">ų leidimą, arba būti tam tikrų organizacijų nariu, tiekėjas remtis kitų ūkio subjektų pajėgumais gali tik </w:t>
      </w:r>
      <w:r w:rsidRPr="00854972">
        <w:rPr>
          <w:rFonts w:ascii="Cambria" w:hAnsi="Cambria" w:cs="Times New Roman"/>
          <w:sz w:val="22"/>
          <w:szCs w:val="22"/>
          <w:lang w:val="de-DE"/>
        </w:rPr>
        <w:lastRenderedPageBreak/>
        <w:t>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914CFC" w:rsidRPr="00914CFC">
        <w:rPr>
          <w:rFonts w:ascii="Cambria" w:hAnsi="Cambria"/>
          <w:sz w:val="22"/>
          <w:szCs w:val="22"/>
        </w:rPr>
        <w:t xml:space="preserve">Tiekėjas gali pateikti tik vieną </w:t>
      </w:r>
      <w:r w:rsidR="00914CFC" w:rsidRPr="00914CFC">
        <w:rPr>
          <w:rFonts w:ascii="Cambria" w:hAnsi="Cambria"/>
          <w:sz w:val="22"/>
          <w:szCs w:val="22"/>
          <w:lang w:val="es-ES_tradnl"/>
        </w:rPr>
        <w:t>pasi</w:t>
      </w:r>
      <w:r w:rsidR="00914CFC" w:rsidRPr="00914CFC">
        <w:rPr>
          <w:rFonts w:ascii="Cambria" w:hAnsi="Cambria"/>
          <w:sz w:val="22"/>
          <w:szCs w:val="22"/>
        </w:rPr>
        <w:t xml:space="preserve">ūlymą. Jei tiekėjas pateikia daugiau kaip vieną </w:t>
      </w:r>
      <w:r w:rsidR="00914CFC" w:rsidRPr="00914CFC">
        <w:rPr>
          <w:rFonts w:ascii="Cambria" w:hAnsi="Cambria"/>
          <w:sz w:val="22"/>
          <w:szCs w:val="22"/>
          <w:lang w:val="es-ES_tradnl"/>
        </w:rPr>
        <w:t>pasi</w:t>
      </w:r>
      <w:r w:rsidR="00914CFC" w:rsidRPr="00914CFC">
        <w:rPr>
          <w:rFonts w:ascii="Cambria" w:hAnsi="Cambria"/>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6A0BE1">
        <w:rPr>
          <w:rFonts w:ascii="Cambria" w:hAnsi="Cambria" w:cs="Times New Roman"/>
          <w:b/>
          <w:iCs/>
          <w:color w:val="548DD4" w:themeColor="text2" w:themeTint="99"/>
          <w:sz w:val="22"/>
          <w:szCs w:val="22"/>
        </w:rPr>
        <w:t>m. liepos</w:t>
      </w:r>
      <w:r w:rsidR="003B7AD1" w:rsidRPr="00854972">
        <w:rPr>
          <w:rFonts w:ascii="Cambria" w:hAnsi="Cambria" w:cs="Times New Roman"/>
          <w:b/>
          <w:iCs/>
          <w:color w:val="548DD4" w:themeColor="text2" w:themeTint="99"/>
          <w:sz w:val="22"/>
          <w:szCs w:val="22"/>
        </w:rPr>
        <w:t xml:space="preserve"> </w:t>
      </w:r>
      <w:r w:rsidR="00D657F5">
        <w:rPr>
          <w:rFonts w:ascii="Cambria" w:hAnsi="Cambria" w:cs="Times New Roman"/>
          <w:b/>
          <w:iCs/>
          <w:color w:val="548DD4" w:themeColor="text2" w:themeTint="99"/>
          <w:sz w:val="22"/>
          <w:szCs w:val="22"/>
        </w:rPr>
        <w:t>31</w:t>
      </w:r>
      <w:r w:rsidRPr="00854972">
        <w:rPr>
          <w:rFonts w:ascii="Cambria" w:hAnsi="Cambria" w:cs="Times New Roman"/>
          <w:b/>
          <w:iCs/>
          <w:color w:val="548DD4" w:themeColor="text2" w:themeTint="99"/>
          <w:sz w:val="22"/>
          <w:szCs w:val="22"/>
        </w:rPr>
        <w:t xml:space="preserve"> d. </w:t>
      </w:r>
      <w:r w:rsidR="00A048A4" w:rsidRPr="00F55DF2">
        <w:rPr>
          <w:rFonts w:ascii="Cambria" w:hAnsi="Cambria" w:cs="Times New Roman"/>
          <w:b/>
          <w:iCs/>
          <w:color w:val="548DD4" w:themeColor="text2" w:themeTint="99"/>
          <w:sz w:val="22"/>
          <w:szCs w:val="22"/>
        </w:rPr>
        <w:t>09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lastRenderedPageBreak/>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1E4E25"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937BD4" w:rsidRDefault="00C31329" w:rsidP="00937BD4">
      <w:pPr>
        <w:pStyle w:val="Body2"/>
        <w:rPr>
          <w:rFonts w:ascii="Cambria" w:hAnsi="Cambria"/>
          <w:b/>
          <w:sz w:val="22"/>
          <w:szCs w:val="22"/>
        </w:rPr>
      </w:pPr>
      <w:r>
        <w:rPr>
          <w:rFonts w:ascii="Cambria" w:hAnsi="Cambria" w:cs="Times New Roman"/>
          <w:sz w:val="22"/>
          <w:szCs w:val="22"/>
        </w:rPr>
        <w:t xml:space="preserve">             </w:t>
      </w:r>
      <w:r w:rsidR="00E32486">
        <w:rPr>
          <w:rFonts w:ascii="Cambria" w:hAnsi="Cambria" w:cs="Times New Roman"/>
          <w:sz w:val="22"/>
          <w:szCs w:val="22"/>
        </w:rPr>
        <w:t>5.11.4</w:t>
      </w:r>
      <w:r w:rsidR="00AC0849">
        <w:rPr>
          <w:rFonts w:ascii="Cambria" w:hAnsi="Cambria" w:cs="Times New Roman"/>
          <w:sz w:val="22"/>
          <w:szCs w:val="22"/>
        </w:rPr>
        <w:t xml:space="preserve">. </w:t>
      </w:r>
      <w:r w:rsidR="006A0BE1">
        <w:rPr>
          <w:rFonts w:ascii="Cambria" w:hAnsi="Cambria"/>
          <w:sz w:val="22"/>
          <w:szCs w:val="22"/>
          <w:lang w:val="lt-LT"/>
        </w:rPr>
        <w:t xml:space="preserve">Užpildyta </w:t>
      </w:r>
      <w:r w:rsidR="00C828CA">
        <w:rPr>
          <w:rFonts w:ascii="Cambria" w:hAnsi="Cambria"/>
          <w:sz w:val="22"/>
          <w:szCs w:val="22"/>
          <w:lang w:val="lt-LT"/>
        </w:rPr>
        <w:t>Kainų pasiūlymo lentelė</w:t>
      </w:r>
      <w:r w:rsidR="001E4E25" w:rsidRPr="001E4E25">
        <w:rPr>
          <w:rFonts w:ascii="Cambria" w:hAnsi="Cambria"/>
          <w:sz w:val="22"/>
          <w:szCs w:val="22"/>
          <w:lang w:val="lt-LT"/>
        </w:rPr>
        <w:t xml:space="preserve"> </w:t>
      </w:r>
      <w:r w:rsidR="001E4E25">
        <w:rPr>
          <w:rFonts w:ascii="Cambria" w:hAnsi="Cambria"/>
          <w:b/>
          <w:sz w:val="22"/>
          <w:szCs w:val="22"/>
          <w:lang w:val="lt-LT"/>
        </w:rPr>
        <w:t>(</w:t>
      </w:r>
      <w:r w:rsidR="00C828CA">
        <w:rPr>
          <w:rFonts w:ascii="Cambria" w:hAnsi="Cambria"/>
          <w:b/>
          <w:sz w:val="22"/>
          <w:szCs w:val="22"/>
          <w:lang w:val="lt-LT"/>
        </w:rPr>
        <w:t>5</w:t>
      </w:r>
      <w:r w:rsidR="001E4E25" w:rsidRPr="001E4E25">
        <w:rPr>
          <w:rFonts w:ascii="Cambria" w:hAnsi="Cambria"/>
          <w:b/>
          <w:sz w:val="22"/>
          <w:szCs w:val="22"/>
          <w:lang w:val="lt-LT"/>
        </w:rPr>
        <w:t xml:space="preserve"> priedas)</w:t>
      </w:r>
      <w:r w:rsidR="00AC0849" w:rsidRPr="00AC0849">
        <w:rPr>
          <w:rFonts w:ascii="Cambria" w:hAnsi="Cambria"/>
          <w:b/>
          <w:sz w:val="22"/>
          <w:szCs w:val="22"/>
          <w:lang w:val="lt-LT"/>
        </w:rPr>
        <w:t>.</w:t>
      </w:r>
      <w:r w:rsidR="00937BD4" w:rsidRPr="00937BD4">
        <w:rPr>
          <w:rFonts w:ascii="Cambria" w:eastAsia="Times New Roman" w:hAnsi="Cambria"/>
          <w:sz w:val="22"/>
          <w:szCs w:val="22"/>
          <w:lang w:eastAsia="lt-LT"/>
        </w:rPr>
        <w:t xml:space="preserve"> </w:t>
      </w:r>
      <w:r w:rsidR="00937BD4" w:rsidRPr="00937BD4">
        <w:rPr>
          <w:rFonts w:ascii="Cambria" w:hAnsi="Cambria"/>
          <w:sz w:val="22"/>
          <w:szCs w:val="22"/>
        </w:rPr>
        <w:t>Tiekėjas privalo nurodyti siūlomų prekių technines charakteristikas.</w:t>
      </w:r>
      <w:r w:rsidR="00937BD4" w:rsidRPr="00937BD4">
        <w:rPr>
          <w:rFonts w:ascii="Cambria" w:hAnsi="Cambria"/>
          <w:b/>
          <w:sz w:val="22"/>
          <w:szCs w:val="22"/>
        </w:rPr>
        <w:t xml:space="preserve"> Grafoje </w:t>
      </w:r>
      <w:r w:rsidR="00937BD4">
        <w:rPr>
          <w:rFonts w:ascii="Cambria" w:hAnsi="Cambria"/>
          <w:b/>
          <w:sz w:val="22"/>
          <w:szCs w:val="22"/>
        </w:rPr>
        <w:t>„</w:t>
      </w:r>
      <w:r w:rsidR="00D657F5" w:rsidRPr="00D657F5">
        <w:rPr>
          <w:rFonts w:ascii="Cambria" w:hAnsi="Cambria"/>
          <w:b/>
          <w:sz w:val="22"/>
          <w:szCs w:val="22"/>
        </w:rPr>
        <w:t>Gamintojas/ produkto pavadinimas, atitikimas techninei specifikacijai</w:t>
      </w:r>
      <w:r w:rsidR="00937BD4" w:rsidRPr="00937BD4">
        <w:rPr>
          <w:rFonts w:ascii="Cambria" w:hAnsi="Cambria"/>
          <w:b/>
          <w:sz w:val="22"/>
          <w:szCs w:val="22"/>
        </w:rPr>
        <w:t>“</w:t>
      </w:r>
      <w:r w:rsidR="00937BD4" w:rsidRPr="00937BD4">
        <w:rPr>
          <w:rFonts w:ascii="Cambria" w:hAnsi="Cambria"/>
          <w:b/>
          <w:i/>
          <w:sz w:val="22"/>
          <w:szCs w:val="22"/>
        </w:rPr>
        <w:t xml:space="preserve"> </w:t>
      </w:r>
      <w:r w:rsidR="00937BD4" w:rsidRPr="00937BD4">
        <w:rPr>
          <w:rFonts w:ascii="Cambria" w:hAnsi="Cambria"/>
          <w:b/>
          <w:sz w:val="22"/>
          <w:szCs w:val="22"/>
        </w:rPr>
        <w:t xml:space="preserve">turi būti </w:t>
      </w:r>
      <w:r w:rsidR="00937BD4"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00937BD4" w:rsidRPr="00937BD4">
        <w:rPr>
          <w:rFonts w:ascii="Cambria" w:hAnsi="Cambria"/>
          <w:b/>
          <w:i/>
          <w:sz w:val="22"/>
          <w:szCs w:val="22"/>
        </w:rPr>
        <w:t xml:space="preserve"> Rašyti „Taip“, „Atitinka</w:t>
      </w:r>
      <w:proofErr w:type="gramStart"/>
      <w:r w:rsidR="00937BD4" w:rsidRPr="00937BD4">
        <w:rPr>
          <w:rFonts w:ascii="Cambria" w:hAnsi="Cambria"/>
          <w:b/>
          <w:i/>
          <w:sz w:val="22"/>
          <w:szCs w:val="22"/>
        </w:rPr>
        <w:t>“ ar</w:t>
      </w:r>
      <w:proofErr w:type="gramEnd"/>
      <w:r w:rsidR="00937BD4" w:rsidRPr="00937BD4">
        <w:rPr>
          <w:rFonts w:ascii="Cambria" w:hAnsi="Cambria"/>
          <w:b/>
          <w:i/>
          <w:sz w:val="22"/>
          <w:szCs w:val="22"/>
        </w:rPr>
        <w:t xml:space="preserve"> nukopijuoti ir įrašyti perkančiosios organizacijos konkursui parengtus reikalavimus neleidžiama.</w:t>
      </w:r>
      <w:r w:rsidR="00937BD4" w:rsidRPr="00937BD4">
        <w:rPr>
          <w:rFonts w:ascii="Cambria" w:hAnsi="Cambria"/>
          <w:b/>
          <w:sz w:val="22"/>
          <w:szCs w:val="22"/>
        </w:rPr>
        <w:t xml:space="preserve"> </w:t>
      </w:r>
      <w:r w:rsidR="00937BD4" w:rsidRPr="00937BD4">
        <w:rPr>
          <w:rFonts w:ascii="Cambria" w:hAnsi="Cambria"/>
          <w:b/>
          <w:color w:val="FF0000"/>
          <w:sz w:val="22"/>
          <w:szCs w:val="22"/>
        </w:rPr>
        <w:t xml:space="preserve">Užpildytas dokumentas privalo būti pateiktas ne skenuota forma, bet prisegant atskirudokumentu Microsoft Word ar kita visuotinai prieinama teksto redagavimo programa. </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5.11.5</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E32486">
        <w:rPr>
          <w:rFonts w:ascii="Cambria" w:hAnsi="Cambria" w:cs="Times New Roman"/>
          <w:b/>
          <w:color w:val="auto"/>
          <w:sz w:val="22"/>
          <w:szCs w:val="22"/>
        </w:rPr>
        <w:t>5.11.6</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E063AC">
        <w:rPr>
          <w:rFonts w:ascii="Cambria" w:hAnsi="Cambria"/>
          <w:b/>
          <w:sz w:val="22"/>
          <w:szCs w:val="22"/>
        </w:rPr>
        <w:t>5.11.7</w:t>
      </w:r>
      <w:r w:rsidR="000729DE" w:rsidRPr="00E646AF">
        <w:rPr>
          <w:rFonts w:ascii="Cambria" w:hAnsi="Cambria"/>
          <w:b/>
          <w:sz w:val="22"/>
          <w:szCs w:val="22"/>
        </w:rPr>
        <w:t xml:space="preserve">. Užpildyta deklaracija </w:t>
      </w:r>
      <w:proofErr w:type="gramStart"/>
      <w:r w:rsidR="000729DE" w:rsidRPr="00E646AF">
        <w:rPr>
          <w:rFonts w:ascii="Cambria" w:hAnsi="Cambria"/>
          <w:b/>
          <w:sz w:val="22"/>
          <w:szCs w:val="22"/>
        </w:rPr>
        <w:t>dėl</w:t>
      </w:r>
      <w:proofErr w:type="gramEnd"/>
      <w:r w:rsidR="000729DE" w:rsidRPr="00E646AF">
        <w:rPr>
          <w:rFonts w:ascii="Cambria" w:hAnsi="Cambria"/>
          <w:b/>
          <w:sz w:val="22"/>
          <w:szCs w:val="22"/>
        </w:rPr>
        <w:t xml:space="preserve">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E063AC">
        <w:rPr>
          <w:rFonts w:ascii="Cambria" w:eastAsia="Arial Unicode MS" w:hAnsi="Cambria"/>
          <w:b/>
          <w:sz w:val="22"/>
          <w:szCs w:val="22"/>
          <w:bdr w:val="nil"/>
          <w:lang w:eastAsia="en-GB"/>
        </w:rPr>
        <w:t>.11.8</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5.11.10</w:t>
      </w:r>
      <w:r w:rsidRPr="00854972">
        <w:rPr>
          <w:rFonts w:ascii="Cambria" w:hAnsi="Cambria"/>
          <w:sz w:val="22"/>
          <w:szCs w:val="22"/>
        </w:rPr>
        <w:t>. Galimybę pasinaudoti kitų ūkio subjektų ištekliais patvirtinantys dokumentai (jei taikoma);</w:t>
      </w:r>
    </w:p>
    <w:p w:rsidR="0050768A" w:rsidRPr="00937BD4" w:rsidRDefault="00E063AC" w:rsidP="00937BD4">
      <w:pPr>
        <w:pStyle w:val="Body2"/>
        <w:tabs>
          <w:tab w:val="left" w:pos="567"/>
          <w:tab w:val="left" w:pos="1134"/>
        </w:tabs>
        <w:ind w:firstLine="567"/>
        <w:rPr>
          <w:rFonts w:ascii="Cambria" w:hAnsi="Cambria"/>
          <w:b/>
          <w:sz w:val="22"/>
          <w:szCs w:val="22"/>
          <w:lang w:val="lt-LT"/>
        </w:rPr>
      </w:pPr>
      <w:r w:rsidRPr="008E18E6">
        <w:rPr>
          <w:rFonts w:ascii="Cambria" w:hAnsi="Cambria" w:cs="Times New Roman"/>
          <w:color w:val="auto"/>
          <w:sz w:val="22"/>
          <w:szCs w:val="22"/>
        </w:rPr>
        <w:t>5.11</w:t>
      </w:r>
      <w:r w:rsidR="0050768A" w:rsidRPr="008E18E6">
        <w:rPr>
          <w:rFonts w:ascii="Cambria" w:hAnsi="Cambria" w:cs="Times New Roman"/>
          <w:color w:val="auto"/>
          <w:sz w:val="22"/>
          <w:szCs w:val="22"/>
        </w:rPr>
        <w:t>.</w:t>
      </w:r>
      <w:r w:rsidRPr="008E18E6">
        <w:rPr>
          <w:rFonts w:ascii="Cambria" w:hAnsi="Cambria" w:cs="Times New Roman"/>
          <w:color w:val="auto"/>
          <w:sz w:val="22"/>
          <w:szCs w:val="22"/>
        </w:rPr>
        <w:t>11.</w:t>
      </w:r>
      <w:r w:rsidR="0050768A" w:rsidRPr="00E646AF">
        <w:rPr>
          <w:rFonts w:ascii="Cambria" w:hAnsi="Cambria" w:cs="Times New Roman"/>
          <w:b/>
          <w:color w:val="auto"/>
          <w:sz w:val="22"/>
          <w:szCs w:val="22"/>
        </w:rPr>
        <w:t xml:space="preserve"> </w:t>
      </w:r>
      <w:r w:rsidR="00937BD4" w:rsidRPr="00937BD4">
        <w:rPr>
          <w:rFonts w:ascii="Cambria" w:hAnsi="Cambria"/>
          <w:b/>
          <w:sz w:val="22"/>
          <w:szCs w:val="22"/>
          <w:lang w:val="lt-LT"/>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937BD4" w:rsidRPr="00937BD4">
        <w:rPr>
          <w:rFonts w:ascii="Cambria" w:hAnsi="Cambria"/>
          <w:b/>
          <w:sz w:val="22"/>
          <w:szCs w:val="22"/>
          <w:u w:val="single"/>
          <w:lang w:val="lt-LT"/>
        </w:rPr>
        <w:t>Pateikiamos skaitmeninės dokumentų kopijos</w:t>
      </w:r>
      <w:r w:rsidR="00937BD4" w:rsidRPr="00937BD4">
        <w:rPr>
          <w:rFonts w:ascii="Cambria" w:hAnsi="Cambria"/>
          <w:b/>
          <w:sz w:val="22"/>
          <w:szCs w:val="22"/>
          <w:lang w:val="lt-LT"/>
        </w:rPr>
        <w:t xml:space="preserve">. </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937BD4" w:rsidRDefault="00B35758" w:rsidP="00937BD4">
      <w:pPr>
        <w:pStyle w:val="Body2"/>
        <w:tabs>
          <w:tab w:val="left" w:pos="567"/>
        </w:tabs>
        <w:rPr>
          <w:rFonts w:ascii="Cambria" w:hAnsi="Cambria"/>
          <w:sz w:val="22"/>
          <w:szCs w:val="22"/>
        </w:rPr>
      </w:pPr>
      <w:r w:rsidRPr="00854972">
        <w:rPr>
          <w:rFonts w:ascii="Cambria" w:hAnsi="Cambria" w:cs="Times New Roman"/>
          <w:color w:val="C03A2A"/>
          <w:sz w:val="22"/>
          <w:szCs w:val="22"/>
        </w:rPr>
        <w:tab/>
      </w:r>
      <w:r w:rsidR="00E063AC">
        <w:rPr>
          <w:rFonts w:ascii="Cambria" w:hAnsi="Cambria" w:cs="Times New Roman"/>
          <w:sz w:val="22"/>
          <w:szCs w:val="22"/>
        </w:rPr>
        <w:t>5.13</w:t>
      </w:r>
      <w:r w:rsidRPr="00854972">
        <w:rPr>
          <w:rFonts w:ascii="Cambria" w:hAnsi="Cambria" w:cs="Times New Roman"/>
          <w:sz w:val="22"/>
          <w:szCs w:val="22"/>
        </w:rPr>
        <w:t>.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turi būti pateiktas įgaliojim</w:t>
      </w:r>
      <w:r w:rsidR="00937BD4">
        <w:rPr>
          <w:rFonts w:ascii="Cambria" w:hAnsi="Cambria"/>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w:t>
      </w:r>
      <w:r w:rsidRPr="00854972">
        <w:rPr>
          <w:rFonts w:ascii="Cambria" w:hAnsi="Cambria"/>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E063AC" w:rsidP="003D5E00">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lastRenderedPageBreak/>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B35758" w:rsidRDefault="00B35758" w:rsidP="00937BD4">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reikalaujami. </w:t>
      </w:r>
    </w:p>
    <w:p w:rsidR="00D657F5" w:rsidRPr="00937BD4" w:rsidRDefault="00D657F5" w:rsidP="00937BD4">
      <w:pPr>
        <w:pStyle w:val="Body2"/>
        <w:ind w:firstLine="567"/>
        <w:rPr>
          <w:rFonts w:ascii="Cambria" w:hAnsi="Cambria"/>
          <w:sz w:val="22"/>
          <w:szCs w:val="22"/>
          <w:lang w:val="lt-L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937BD4">
        <w:rPr>
          <w:rFonts w:ascii="Cambria" w:hAnsi="Cambria"/>
          <w:b/>
          <w:iCs/>
          <w:color w:val="548DD4" w:themeColor="text2" w:themeTint="99"/>
          <w:sz w:val="22"/>
          <w:szCs w:val="22"/>
        </w:rPr>
        <w:t>liepos</w:t>
      </w:r>
      <w:r w:rsidR="000706F8" w:rsidRPr="00854972">
        <w:rPr>
          <w:rFonts w:ascii="Cambria" w:hAnsi="Cambria"/>
          <w:b/>
          <w:iCs/>
          <w:color w:val="548DD4" w:themeColor="text2" w:themeTint="99"/>
          <w:sz w:val="22"/>
          <w:szCs w:val="22"/>
        </w:rPr>
        <w:t xml:space="preserve"> </w:t>
      </w:r>
      <w:r w:rsidR="00D657F5">
        <w:rPr>
          <w:rFonts w:ascii="Cambria" w:hAnsi="Cambria"/>
          <w:b/>
          <w:iCs/>
          <w:color w:val="548DD4" w:themeColor="text2" w:themeTint="99"/>
          <w:sz w:val="22"/>
          <w:szCs w:val="22"/>
        </w:rPr>
        <w:t>31</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6173BA">
        <w:rPr>
          <w:rFonts w:ascii="Cambria" w:hAnsi="Cambria"/>
          <w:b/>
          <w:iCs/>
          <w:color w:val="548DD4" w:themeColor="text2" w:themeTint="99"/>
          <w:sz w:val="22"/>
          <w:szCs w:val="22"/>
        </w:rPr>
        <w:t>09</w:t>
      </w:r>
      <w:r w:rsidR="002E02D3" w:rsidRPr="00F55DF2">
        <w:rPr>
          <w:rFonts w:ascii="Cambria" w:hAnsi="Cambria"/>
          <w:b/>
          <w:iCs/>
          <w:color w:val="548DD4" w:themeColor="text2" w:themeTint="99"/>
          <w:sz w:val="22"/>
          <w:szCs w:val="22"/>
        </w:rPr>
        <w:t xml:space="preserve"> </w:t>
      </w:r>
      <w:r w:rsidR="00A048A4" w:rsidRPr="00F55DF2">
        <w:rPr>
          <w:rFonts w:ascii="Cambria" w:hAnsi="Cambria"/>
          <w:b/>
          <w:iCs/>
          <w:color w:val="548DD4" w:themeColor="text2" w:themeTint="99"/>
          <w:sz w:val="22"/>
          <w:szCs w:val="22"/>
        </w:rPr>
        <w:t>val. 3</w:t>
      </w:r>
      <w:r w:rsidR="006173BA">
        <w:rPr>
          <w:rFonts w:ascii="Cambria" w:hAnsi="Cambria"/>
          <w:b/>
          <w:iCs/>
          <w:color w:val="548DD4" w:themeColor="text2" w:themeTint="99"/>
          <w:sz w:val="22"/>
          <w:szCs w:val="22"/>
        </w:rPr>
        <w:t>0</w:t>
      </w:r>
      <w:r w:rsidR="00BE6A62"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937BD4">
        <w:rPr>
          <w:rFonts w:ascii="Cambria" w:hAnsi="Cambria"/>
          <w:b/>
          <w:iCs/>
          <w:color w:val="548DD4" w:themeColor="text2" w:themeTint="99"/>
          <w:sz w:val="22"/>
          <w:szCs w:val="22"/>
          <w:u w:val="single"/>
        </w:rPr>
        <w:t xml:space="preserve"> liepos</w:t>
      </w:r>
      <w:r w:rsidR="002A5A44" w:rsidRPr="00854972">
        <w:rPr>
          <w:rFonts w:ascii="Cambria" w:hAnsi="Cambria"/>
          <w:b/>
          <w:iCs/>
          <w:color w:val="548DD4" w:themeColor="text2" w:themeTint="99"/>
          <w:sz w:val="22"/>
          <w:szCs w:val="22"/>
          <w:u w:val="single"/>
        </w:rPr>
        <w:t xml:space="preserve"> </w:t>
      </w:r>
      <w:r w:rsidR="00D657F5">
        <w:rPr>
          <w:rFonts w:ascii="Cambria" w:hAnsi="Cambria"/>
          <w:b/>
          <w:iCs/>
          <w:color w:val="548DD4" w:themeColor="text2" w:themeTint="99"/>
          <w:sz w:val="22"/>
          <w:szCs w:val="22"/>
          <w:u w:val="single"/>
        </w:rPr>
        <w:t>31</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F55DF2">
        <w:rPr>
          <w:rFonts w:ascii="Cambria" w:hAnsi="Cambria"/>
          <w:b/>
          <w:iCs/>
          <w:color w:val="548DD4" w:themeColor="text2" w:themeTint="99"/>
          <w:sz w:val="22"/>
          <w:szCs w:val="22"/>
          <w:u w:val="single"/>
        </w:rPr>
        <w:t>09</w:t>
      </w:r>
      <w:r w:rsidR="00A048A4"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0 – </w:t>
      </w:r>
      <w:r w:rsidR="00A048A4" w:rsidRPr="00F55DF2">
        <w:rPr>
          <w:rFonts w:ascii="Cambria" w:hAnsi="Cambria"/>
          <w:b/>
          <w:iCs/>
          <w:color w:val="548DD4" w:themeColor="text2" w:themeTint="99"/>
          <w:sz w:val="22"/>
          <w:szCs w:val="22"/>
          <w:u w:val="single"/>
        </w:rPr>
        <w:t>09.3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854972">
        <w:rPr>
          <w:rFonts w:ascii="Cambria" w:hAnsi="Cambria" w:cs="Times New Roman"/>
          <w:color w:val="auto"/>
          <w:sz w:val="22"/>
          <w:szCs w:val="22"/>
          <w:lang w:val="lt-LT"/>
        </w:rPr>
        <w:lastRenderedPageBreak/>
        <w:t>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E32486" w:rsidRPr="00E32486" w:rsidRDefault="00E32486"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 xml:space="preserve">11.4. </w:t>
      </w:r>
      <w:r w:rsidRPr="00E32486">
        <w:rPr>
          <w:rFonts w:ascii="Cambria" w:hAnsi="Cambria"/>
          <w:color w:val="000000"/>
          <w:sz w:val="22"/>
          <w:szCs w:val="22"/>
          <w:lang w:val="en-US" w:eastAsia="lt-LT"/>
        </w:rPr>
        <w:t xml:space="preserve">Iškilus klausimams </w:t>
      </w:r>
      <w:proofErr w:type="gramStart"/>
      <w:r w:rsidRPr="00E32486">
        <w:rPr>
          <w:rFonts w:ascii="Cambria" w:hAnsi="Cambria"/>
          <w:color w:val="000000"/>
          <w:sz w:val="22"/>
          <w:szCs w:val="22"/>
          <w:lang w:val="en-US" w:eastAsia="lt-LT"/>
        </w:rPr>
        <w:t>dė</w:t>
      </w:r>
      <w:r w:rsidRPr="00E32486">
        <w:rPr>
          <w:rFonts w:ascii="Cambria" w:hAnsi="Cambria"/>
          <w:color w:val="000000"/>
          <w:sz w:val="22"/>
          <w:szCs w:val="22"/>
          <w:lang w:val="es-ES_tradnl" w:eastAsia="lt-LT"/>
        </w:rPr>
        <w:t>l</w:t>
      </w:r>
      <w:proofErr w:type="gramEnd"/>
      <w:r w:rsidRPr="00E32486">
        <w:rPr>
          <w:rFonts w:ascii="Cambria" w:hAnsi="Cambria"/>
          <w:color w:val="000000"/>
          <w:sz w:val="22"/>
          <w:szCs w:val="22"/>
          <w:lang w:val="es-ES_tradnl" w:eastAsia="lt-LT"/>
        </w:rPr>
        <w:t xml:space="preserve"> pasi</w:t>
      </w:r>
      <w:r w:rsidRPr="00E32486">
        <w:rPr>
          <w:rFonts w:ascii="Cambria" w:hAnsi="Cambria"/>
          <w:color w:val="000000"/>
          <w:sz w:val="22"/>
          <w:szCs w:val="22"/>
          <w:lang w:val="en-US" w:eastAsia="lt-LT"/>
        </w:rPr>
        <w:t>ūlymų turinio ir pirkimo komisijai papraš</w:t>
      </w:r>
      <w:r w:rsidRPr="00E32486">
        <w:rPr>
          <w:rFonts w:ascii="Cambria" w:hAnsi="Cambria"/>
          <w:color w:val="000000"/>
          <w:sz w:val="22"/>
          <w:szCs w:val="22"/>
          <w:lang w:val="fr-FR" w:eastAsia="lt-LT"/>
        </w:rPr>
        <w:t>ius ra</w:t>
      </w:r>
      <w:r w:rsidRPr="00E32486">
        <w:rPr>
          <w:rFonts w:ascii="Cambria" w:hAnsi="Cambria"/>
          <w:color w:val="000000"/>
          <w:sz w:val="22"/>
          <w:szCs w:val="22"/>
          <w:lang w:val="en-US" w:eastAsia="lt-LT"/>
        </w:rPr>
        <w:t>štu CVP IS priemonė</w:t>
      </w:r>
      <w:r w:rsidRPr="00E32486">
        <w:rPr>
          <w:rFonts w:ascii="Cambria" w:hAnsi="Cambria"/>
          <w:color w:val="000000"/>
          <w:sz w:val="22"/>
          <w:szCs w:val="22"/>
          <w:lang w:val="nl-NL" w:eastAsia="lt-LT"/>
        </w:rPr>
        <w:t>mis, tiek</w:t>
      </w:r>
      <w:r w:rsidRPr="00E32486">
        <w:rPr>
          <w:rFonts w:ascii="Cambria" w:hAnsi="Cambria"/>
          <w:color w:val="000000"/>
          <w:sz w:val="22"/>
          <w:szCs w:val="22"/>
          <w:lang w:val="en-US" w:eastAsia="lt-LT"/>
        </w:rPr>
        <w:t>ėjai privalo pateikti raštu CVP IS priemonėmis papildomus paaiškinimus nekeisdami pasiūlymo. Jeigu tiekė</w:t>
      </w:r>
      <w:r w:rsidRPr="00E32486">
        <w:rPr>
          <w:rFonts w:ascii="Cambria" w:hAnsi="Cambria"/>
          <w:color w:val="000000"/>
          <w:sz w:val="22"/>
          <w:szCs w:val="22"/>
          <w:lang w:val="fr-FR" w:eastAsia="lt-LT"/>
        </w:rPr>
        <w:t>jas savo pasi</w:t>
      </w:r>
      <w:r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11.5</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11.6</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657F5" w:rsidRDefault="00D657F5" w:rsidP="00D657F5">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 xml:space="preserve">11.7. </w:t>
      </w:r>
      <w:r w:rsidRPr="00D657F5">
        <w:rPr>
          <w:rFonts w:ascii="Cambria" w:hAnsi="Cambria"/>
          <w:color w:val="000000"/>
          <w:sz w:val="22"/>
          <w:szCs w:val="22"/>
          <w:lang w:eastAsia="lt-LT"/>
        </w:rPr>
        <w:t>Perkančioji organizacija atmes tiekėjo pasiūlymą, kaip neatitinkantį pirkimo dokumentuose nustatytų reikalavimų, jeigu kartu su pasiūlymu nebus pateikti pirkimo sąlygų 5.11.2, 5.11.</w:t>
      </w:r>
      <w:r w:rsidR="008E18E6">
        <w:rPr>
          <w:rFonts w:ascii="Cambria" w:hAnsi="Cambria"/>
          <w:color w:val="000000"/>
          <w:sz w:val="22"/>
          <w:szCs w:val="22"/>
          <w:lang w:eastAsia="lt-LT"/>
        </w:rPr>
        <w:t>9</w:t>
      </w:r>
      <w:r w:rsidRPr="00D657F5">
        <w:rPr>
          <w:rFonts w:ascii="Cambria" w:hAnsi="Cambria"/>
          <w:color w:val="000000"/>
          <w:sz w:val="22"/>
          <w:szCs w:val="22"/>
          <w:lang w:eastAsia="lt-LT"/>
        </w:rPr>
        <w:t>, 5.11.1</w:t>
      </w:r>
      <w:r w:rsidR="008E18E6">
        <w:rPr>
          <w:rFonts w:ascii="Cambria" w:hAnsi="Cambria"/>
          <w:color w:val="000000"/>
          <w:sz w:val="22"/>
          <w:szCs w:val="22"/>
          <w:lang w:eastAsia="lt-LT"/>
        </w:rPr>
        <w:t xml:space="preserve">1 </w:t>
      </w:r>
      <w:r w:rsidRPr="00D657F5">
        <w:rPr>
          <w:rFonts w:ascii="Cambria" w:hAnsi="Cambria"/>
          <w:color w:val="000000"/>
          <w:sz w:val="22"/>
          <w:szCs w:val="22"/>
          <w:lang w:eastAsia="lt-LT"/>
        </w:rPr>
        <w:t xml:space="preserve">punktuose nurodyti dokumentai. </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lastRenderedPageBreak/>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 xml:space="preserve">13.1.7. </w:t>
      </w:r>
      <w:proofErr w:type="gramStart"/>
      <w:r w:rsidR="00D657F5" w:rsidRPr="00D657F5">
        <w:rPr>
          <w:rFonts w:ascii="Cambria" w:hAnsi="Cambria"/>
          <w:color w:val="000000"/>
          <w:sz w:val="22"/>
          <w:szCs w:val="22"/>
          <w:lang w:eastAsia="lt-LT"/>
        </w:rPr>
        <w:t>pasiūlymas</w:t>
      </w:r>
      <w:proofErr w:type="gramEnd"/>
      <w:r w:rsidR="00D657F5" w:rsidRPr="00D657F5">
        <w:rPr>
          <w:rFonts w:ascii="Cambria" w:hAnsi="Cambria"/>
          <w:color w:val="000000"/>
          <w:sz w:val="22"/>
          <w:szCs w:val="22"/>
          <w:lang w:eastAsia="lt-LT"/>
        </w:rPr>
        <w:t xml:space="preserve"> neatitinka pirkimo dokumentuose nustatytų reikalavimų</w:t>
      </w:r>
      <w:r w:rsidRPr="00E32486">
        <w:rPr>
          <w:rFonts w:ascii="Cambria" w:hAnsi="Cambria"/>
          <w:color w:val="000000"/>
          <w:sz w:val="22"/>
          <w:szCs w:val="22"/>
          <w:lang w:val="en-US" w:eastAsia="lt-LT"/>
        </w:rPr>
        <w:t>;</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 xml:space="preserve">sudaryti </w:t>
      </w:r>
      <w:r w:rsidRPr="00854972">
        <w:rPr>
          <w:rFonts w:ascii="Cambria" w:hAnsi="Cambria" w:cs="Times New Roman"/>
          <w:color w:val="auto"/>
          <w:sz w:val="22"/>
          <w:szCs w:val="22"/>
          <w:lang w:val="it-IT"/>
        </w:rPr>
        <w:lastRenderedPageBreak/>
        <w:t>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82408C" w:rsidRPr="0082408C">
        <w:rPr>
          <w:rFonts w:ascii="Cambria" w:hAnsi="Cambria"/>
          <w:color w:val="000000"/>
          <w:sz w:val="22"/>
          <w:szCs w:val="22"/>
          <w:lang w:val="en-US" w:eastAsia="lt-LT"/>
        </w:rPr>
        <w:t>Prekių viešojo pirkimo–pardavimo sutarties specialiosios sąlygos</w:t>
      </w:r>
      <w:r w:rsidR="0082408C" w:rsidRPr="0082408C">
        <w:rPr>
          <w:rFonts w:ascii="Cambria" w:hAnsi="Cambria"/>
          <w:color w:val="000000"/>
          <w:sz w:val="22"/>
          <w:szCs w:val="22"/>
          <w:lang w:eastAsia="lt-LT"/>
        </w:rPr>
        <w:t xml:space="preserve"> (2 priedas) ir p</w:t>
      </w:r>
      <w:r w:rsidR="0082408C" w:rsidRPr="0082408C">
        <w:rPr>
          <w:rFonts w:ascii="Cambria" w:hAnsi="Cambria"/>
          <w:color w:val="000000"/>
          <w:sz w:val="22"/>
          <w:szCs w:val="22"/>
          <w:lang w:val="en-US" w:eastAsia="lt-LT"/>
        </w:rPr>
        <w:t>rekių viešojo pirkimo–pardavimo sutarties bendrosios sąlygos</w:t>
      </w:r>
      <w:r w:rsidR="0082408C">
        <w:rPr>
          <w:rFonts w:ascii="Cambria" w:hAnsi="Cambria"/>
          <w:color w:val="000000"/>
          <w:sz w:val="22"/>
          <w:szCs w:val="22"/>
          <w:lang w:eastAsia="lt-LT"/>
        </w:rPr>
        <w:t xml:space="preserve"> (</w:t>
      </w:r>
      <w:r w:rsidR="0082408C">
        <w:rPr>
          <w:rFonts w:ascii="Cambria" w:hAnsi="Cambria"/>
          <w:color w:val="000000"/>
          <w:sz w:val="22"/>
          <w:szCs w:val="22"/>
          <w:lang w:val="en-US" w:eastAsia="lt-LT"/>
        </w:rPr>
        <w:t>8</w:t>
      </w:r>
      <w:r w:rsidR="0082408C" w:rsidRPr="0082408C">
        <w:rPr>
          <w:rFonts w:ascii="Cambria" w:hAnsi="Cambria"/>
          <w:color w:val="000000"/>
          <w:sz w:val="22"/>
          <w:szCs w:val="22"/>
          <w:lang w:eastAsia="lt-LT"/>
        </w:rPr>
        <w:t xml:space="preserve"> priedas).</w:t>
      </w:r>
    </w:p>
    <w:p w:rsidR="007D1246" w:rsidRPr="007D1246"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 xml:space="preserve">ali pradinės sutarties vertė </w:t>
      </w:r>
      <w:r w:rsidR="008E18E6">
        <w:rPr>
          <w:rFonts w:ascii="Cambria" w:hAnsi="Cambria"/>
          <w:color w:val="000000"/>
          <w:sz w:val="22"/>
          <w:szCs w:val="22"/>
          <w:lang w:val="en-US" w:eastAsia="lt-LT"/>
        </w:rPr>
        <w:t>35</w:t>
      </w:r>
      <w:r>
        <w:rPr>
          <w:rFonts w:ascii="Cambria" w:hAnsi="Cambria"/>
          <w:color w:val="000000"/>
          <w:sz w:val="22"/>
          <w:szCs w:val="22"/>
          <w:lang w:val="en-US" w:eastAsia="lt-LT"/>
        </w:rPr>
        <w:t>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8E18E6">
        <w:rPr>
          <w:rFonts w:ascii="Cambria" w:hAnsi="Cambria"/>
          <w:b/>
          <w:bCs/>
          <w:sz w:val="22"/>
          <w:szCs w:val="22"/>
        </w:rPr>
        <w:t>VARINIŲ VAMZDŽIŲ IR JŲ JUNGIAMŲJŲ DALIŲ (VĖDINIMUI IR MEDICININĖMS DUJOMS)</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Pr="008E18E6"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lastRenderedPageBreak/>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937BD4" w:rsidRPr="00104F0C" w:rsidRDefault="00937BD4" w:rsidP="00937BD4">
      <w:pPr>
        <w:jc w:val="center"/>
        <w:rPr>
          <w:rFonts w:ascii="Cambria" w:hAnsi="Cambria"/>
          <w:b/>
          <w:color w:val="FF0000"/>
          <w:sz w:val="22"/>
          <w:szCs w:val="22"/>
          <w:u w:val="single"/>
        </w:rPr>
      </w:pPr>
      <w:r w:rsidRPr="00104F0C">
        <w:rPr>
          <w:rFonts w:ascii="Cambria" w:hAnsi="Cambria"/>
          <w:b/>
          <w:color w:val="FF0000"/>
          <w:sz w:val="22"/>
          <w:szCs w:val="22"/>
          <w:u w:val="single"/>
        </w:rPr>
        <w:t>Pildoma pasiūlymo lentelė „Kainų pasiūlymo lentelė“ (5 priedas).</w:t>
      </w:r>
    </w:p>
    <w:p w:rsidR="00937BD4" w:rsidRDefault="00937BD4" w:rsidP="00937BD4">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bookmarkStart w:id="2" w:name="_GoBack"/>
      <w:bookmarkEnd w:id="2"/>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w:t>
      </w:r>
      <w:r w:rsidR="00F7443D">
        <w:rPr>
          <w:rFonts w:ascii="Cambria" w:eastAsia="Times New Roman" w:hAnsi="Cambria"/>
          <w:b/>
          <w:sz w:val="22"/>
          <w:szCs w:val="22"/>
          <w:u w:val="single"/>
        </w:rPr>
        <w:t>Kainų pasiūlymo lentelė</w:t>
      </w:r>
      <w:r w:rsidRPr="00164C2C">
        <w:rPr>
          <w:rFonts w:ascii="Cambria" w:eastAsia="Times New Roman" w:hAnsi="Cambria"/>
          <w:b/>
          <w:sz w:val="22"/>
          <w:szCs w:val="22"/>
          <w:u w:val="single"/>
        </w:rPr>
        <w:t>“ (</w:t>
      </w:r>
      <w:r w:rsidR="00F7443D">
        <w:rPr>
          <w:rFonts w:ascii="Cambria" w:eastAsia="Times New Roman" w:hAnsi="Cambria"/>
          <w:b/>
          <w:sz w:val="22"/>
          <w:szCs w:val="22"/>
          <w:u w:val="single"/>
        </w:rPr>
        <w:t>5</w:t>
      </w:r>
      <w:r w:rsidRPr="00164C2C">
        <w:rPr>
          <w:rFonts w:ascii="Cambria" w:eastAsia="Times New Roman" w:hAnsi="Cambria"/>
          <w:b/>
          <w:sz w:val="22"/>
          <w:szCs w:val="22"/>
          <w:u w:val="single"/>
        </w:rPr>
        <w:t xml:space="preserve">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AB50A2">
        <w:rPr>
          <w:rFonts w:ascii="Cambria" w:eastAsia="Calibri" w:hAnsi="Cambria"/>
          <w:b/>
          <w:i/>
          <w:sz w:val="22"/>
          <w:szCs w:val="22"/>
        </w:rPr>
        <w:t>„</w:t>
      </w:r>
      <w:r w:rsidR="008E18E6" w:rsidRPr="008E18E6">
        <w:rPr>
          <w:rFonts w:ascii="Cambria" w:eastAsia="Calibri" w:hAnsi="Cambria"/>
          <w:b/>
          <w:i/>
          <w:sz w:val="22"/>
          <w:szCs w:val="22"/>
        </w:rPr>
        <w:t>Gamintojas/ produkto pavadinimas, atitikimas techninei specifikacijai</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937BD4" w:rsidRPr="00104F0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937BD4" w:rsidP="00937BD4">
            <w:pPr>
              <w:ind w:right="34"/>
              <w:jc w:val="both"/>
              <w:rPr>
                <w:rFonts w:ascii="Cambria" w:hAnsi="Cambria"/>
                <w:sz w:val="22"/>
                <w:szCs w:val="22"/>
              </w:rPr>
            </w:pPr>
            <w:r w:rsidRPr="00164C2C">
              <w:rPr>
                <w:rFonts w:ascii="Cambria" w:hAnsi="Cambria"/>
                <w:sz w:val="22"/>
                <w:szCs w:val="22"/>
              </w:rPr>
              <w:t xml:space="preserve">            </w:t>
            </w:r>
            <w:r w:rsidR="00D841A8">
              <w:rPr>
                <w:rFonts w:ascii="Cambria" w:hAnsi="Cambria"/>
                <w:sz w:val="22"/>
                <w:szCs w:val="22"/>
              </w:rPr>
              <w:t xml:space="preserve">Pastaba: </w:t>
            </w:r>
            <w:r w:rsidR="00D841A8" w:rsidRPr="00D841A8">
              <w:rPr>
                <w:rFonts w:ascii="Cambria" w:hAnsi="Cambria"/>
                <w:b/>
                <w:sz w:val="22"/>
                <w:szCs w:val="22"/>
              </w:rPr>
              <w:t>Perkančioji organizacija atmes tiekėjo pasiūlymą</w:t>
            </w:r>
            <w:r w:rsidR="00D841A8">
              <w:rPr>
                <w:rFonts w:ascii="Cambria" w:hAnsi="Cambria"/>
                <w:sz w:val="22"/>
                <w:szCs w:val="22"/>
              </w:rPr>
              <w:t xml:space="preserve">, kaip neatitinkantį pirkimo dokumentuose nustatytų reikalavimų, </w:t>
            </w:r>
            <w:r w:rsidR="00D841A8" w:rsidRPr="00D841A8">
              <w:rPr>
                <w:rFonts w:ascii="Cambria" w:hAnsi="Cambria"/>
                <w:b/>
                <w:sz w:val="22"/>
                <w:szCs w:val="22"/>
              </w:rPr>
              <w:t>jeigu kartu su pasiūlymus nebus pateikti pirkimo s</w:t>
            </w:r>
            <w:r w:rsidR="00D841A8">
              <w:rPr>
                <w:rFonts w:ascii="Cambria" w:hAnsi="Cambria"/>
                <w:b/>
                <w:sz w:val="22"/>
                <w:szCs w:val="22"/>
              </w:rPr>
              <w:t>ąlygų 5.11.2., 5.11.9., 5.11.11</w:t>
            </w:r>
            <w:r w:rsidR="00D841A8">
              <w:rPr>
                <w:rFonts w:ascii="Cambria" w:hAnsi="Cambria"/>
                <w:sz w:val="22"/>
                <w:szCs w:val="22"/>
              </w:rPr>
              <w:t xml:space="preserve"> punktuose nurodyti dokumentai.</w:t>
            </w:r>
            <w:r w:rsidRPr="00164C2C">
              <w:rPr>
                <w:rFonts w:ascii="Cambria" w:hAnsi="Cambria"/>
                <w:sz w:val="22"/>
                <w:szCs w:val="22"/>
              </w:rPr>
              <w:t xml:space="preserve">  </w:t>
            </w:r>
          </w:p>
          <w:p w:rsidR="00D841A8" w:rsidRDefault="00D841A8"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Pr="00164C2C"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73E" w:rsidRDefault="0066073E" w:rsidP="00D348FD">
      <w:r>
        <w:separator/>
      </w:r>
    </w:p>
  </w:endnote>
  <w:endnote w:type="continuationSeparator" w:id="0">
    <w:p w:rsidR="0066073E" w:rsidRDefault="0066073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Default="007D1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Default="007D1A1E">
    <w:pPr>
      <w:pStyle w:val="Footer"/>
      <w:jc w:val="right"/>
    </w:pPr>
  </w:p>
  <w:p w:rsidR="007D1A1E" w:rsidRDefault="007D1A1E">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Default="007D1A1E">
    <w:pPr>
      <w:pStyle w:val="Footer"/>
      <w:jc w:val="right"/>
    </w:pPr>
  </w:p>
  <w:p w:rsidR="007D1A1E" w:rsidRDefault="007D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73E" w:rsidRDefault="0066073E" w:rsidP="00D348FD">
      <w:r>
        <w:separator/>
      </w:r>
    </w:p>
  </w:footnote>
  <w:footnote w:type="continuationSeparator" w:id="0">
    <w:p w:rsidR="0066073E" w:rsidRDefault="0066073E" w:rsidP="00D348FD">
      <w:r>
        <w:continuationSeparator/>
      </w:r>
    </w:p>
  </w:footnote>
  <w:footnote w:id="1">
    <w:p w:rsidR="007D1A1E" w:rsidRPr="00380358" w:rsidRDefault="007D1A1E"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A1E" w:rsidRPr="00380358" w:rsidRDefault="007D1A1E"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7D1A1E" w:rsidRDefault="007D1A1E"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Default="007D1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Pr="00937BD4" w:rsidRDefault="007D1A1E"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A1E" w:rsidRDefault="007D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4004A6"/>
    <w:rsid w:val="00404831"/>
    <w:rsid w:val="00406A1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B1EF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F59CF"/>
    <w:rsid w:val="00700BA6"/>
    <w:rsid w:val="007016D2"/>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1A1E"/>
    <w:rsid w:val="007D7C9B"/>
    <w:rsid w:val="007E6CCC"/>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7416"/>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77201"/>
    <w:rsid w:val="00C828CA"/>
    <w:rsid w:val="00C83795"/>
    <w:rsid w:val="00C83E21"/>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348FD"/>
    <w:rsid w:val="00D425CA"/>
    <w:rsid w:val="00D46F8C"/>
    <w:rsid w:val="00D50C4E"/>
    <w:rsid w:val="00D63C69"/>
    <w:rsid w:val="00D657F5"/>
    <w:rsid w:val="00D723B1"/>
    <w:rsid w:val="00D77C80"/>
    <w:rsid w:val="00D841A8"/>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063AC"/>
    <w:rsid w:val="00E17DFB"/>
    <w:rsid w:val="00E22DBF"/>
    <w:rsid w:val="00E32486"/>
    <w:rsid w:val="00E3259F"/>
    <w:rsid w:val="00E43192"/>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EC11"/>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FC3F81-C05D-476B-B1F0-1DB2E616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43145</Words>
  <Characters>24593</Characters>
  <Application>Microsoft Office Word</Application>
  <DocSecurity>0</DocSecurity>
  <Lines>204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37</cp:revision>
  <cp:lastPrinted>2019-12-02T08:33:00Z</cp:lastPrinted>
  <dcterms:created xsi:type="dcterms:W3CDTF">2025-05-06T13:24:00Z</dcterms:created>
  <dcterms:modified xsi:type="dcterms:W3CDTF">2025-06-23T08:25:00Z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