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53CA" w14:textId="61DB0C0D" w:rsidR="00593FE2" w:rsidRPr="00507728" w:rsidRDefault="00593FE2" w:rsidP="00593FE2">
      <w:pPr>
        <w:pStyle w:val="NormalWeb"/>
        <w:spacing w:before="0" w:beforeAutospacing="0" w:after="0" w:afterAutospacing="0"/>
        <w:jc w:val="right"/>
        <w:rPr>
          <w:rFonts w:ascii="Jost" w:hAnsi="Jost"/>
          <w:lang w:val="lt-LT"/>
        </w:rPr>
      </w:pPr>
      <w:r w:rsidRPr="00507728">
        <w:rPr>
          <w:rFonts w:ascii="Jost" w:hAnsi="Jost"/>
          <w:lang w:val="lt-LT"/>
        </w:rPr>
        <w:t>Vieš</w:t>
      </w:r>
      <w:r w:rsidR="00664B6A" w:rsidRPr="00507728">
        <w:rPr>
          <w:rFonts w:ascii="Jost" w:hAnsi="Jost"/>
          <w:lang w:val="lt-LT"/>
        </w:rPr>
        <w:t>o</w:t>
      </w:r>
      <w:r w:rsidRPr="00507728">
        <w:rPr>
          <w:rFonts w:ascii="Jost" w:hAnsi="Jost"/>
          <w:lang w:val="lt-LT"/>
        </w:rPr>
        <w:t>j</w:t>
      </w:r>
      <w:r w:rsidR="00664B6A" w:rsidRPr="00507728">
        <w:rPr>
          <w:rFonts w:ascii="Jost" w:hAnsi="Jost"/>
          <w:lang w:val="lt-LT"/>
        </w:rPr>
        <w:t>o</w:t>
      </w:r>
      <w:r w:rsidRPr="00507728">
        <w:rPr>
          <w:rFonts w:ascii="Jost" w:hAnsi="Jost"/>
          <w:lang w:val="lt-LT"/>
        </w:rPr>
        <w:t xml:space="preserve"> pirkim</w:t>
      </w:r>
      <w:r w:rsidR="00664B6A" w:rsidRPr="00507728">
        <w:rPr>
          <w:rFonts w:ascii="Jost" w:hAnsi="Jost"/>
          <w:lang w:val="lt-LT"/>
        </w:rPr>
        <w:t>o</w:t>
      </w:r>
      <w:r w:rsidRPr="00507728">
        <w:rPr>
          <w:rFonts w:ascii="Jost" w:hAnsi="Jost"/>
          <w:lang w:val="lt-LT"/>
        </w:rPr>
        <w:t xml:space="preserve"> komisijos </w:t>
      </w:r>
      <w:r w:rsidR="004E7E1C">
        <w:rPr>
          <w:rFonts w:ascii="Jost" w:hAnsi="Jost"/>
          <w:lang w:val="lt-LT"/>
        </w:rPr>
        <w:t>2025</w:t>
      </w:r>
      <w:r w:rsidRPr="00507728">
        <w:rPr>
          <w:rFonts w:ascii="Jost" w:hAnsi="Jost"/>
          <w:lang w:val="lt-LT"/>
        </w:rPr>
        <w:t>-</w:t>
      </w:r>
      <w:r w:rsidR="004E7E1C">
        <w:rPr>
          <w:rFonts w:ascii="Jost" w:hAnsi="Jost"/>
          <w:lang w:val="lt-LT"/>
        </w:rPr>
        <w:t>06</w:t>
      </w:r>
      <w:r w:rsidR="00705390" w:rsidRPr="00507728">
        <w:rPr>
          <w:rFonts w:ascii="Jost" w:hAnsi="Jost"/>
          <w:lang w:val="lt-LT"/>
        </w:rPr>
        <w:t>-</w:t>
      </w:r>
      <w:r w:rsidR="004E7E1C">
        <w:rPr>
          <w:rFonts w:ascii="Jost" w:hAnsi="Jost"/>
          <w:lang w:val="lt-LT"/>
        </w:rPr>
        <w:t>26</w:t>
      </w:r>
      <w:r w:rsidRPr="00507728">
        <w:rPr>
          <w:rFonts w:ascii="Jost" w:hAnsi="Jost"/>
          <w:lang w:val="lt-LT"/>
        </w:rPr>
        <w:t xml:space="preserve"> protokolo Nr. </w:t>
      </w:r>
      <w:r w:rsidR="00DC5783">
        <w:rPr>
          <w:rFonts w:ascii="Jost" w:hAnsi="Jost"/>
          <w:lang w:val="lt-LT"/>
        </w:rPr>
        <w:t>41</w:t>
      </w:r>
    </w:p>
    <w:p w14:paraId="4B8C6F35" w14:textId="27F290D1" w:rsidR="00593FE2" w:rsidRPr="00507728" w:rsidRDefault="00DC5783" w:rsidP="00593FE2">
      <w:pPr>
        <w:pStyle w:val="NormalWeb"/>
        <w:spacing w:before="0" w:beforeAutospacing="0" w:after="0" w:afterAutospacing="0"/>
        <w:ind w:left="8370"/>
        <w:jc w:val="right"/>
        <w:rPr>
          <w:rFonts w:ascii="Jost" w:hAnsi="Jost"/>
          <w:lang w:val="lt-LT"/>
        </w:rPr>
      </w:pPr>
      <w:r>
        <w:rPr>
          <w:rFonts w:ascii="Jost" w:hAnsi="Jost"/>
          <w:lang w:val="lt-LT"/>
        </w:rPr>
        <w:t>2</w:t>
      </w:r>
      <w:r w:rsidR="00593FE2" w:rsidRPr="00507728">
        <w:rPr>
          <w:rFonts w:ascii="Jost" w:hAnsi="Jost"/>
          <w:lang w:val="lt-LT"/>
        </w:rPr>
        <w:t xml:space="preserve"> priedas</w:t>
      </w:r>
    </w:p>
    <w:p w14:paraId="0AE40A1A" w14:textId="5DC8036F" w:rsidR="00593FE2" w:rsidRPr="00507728" w:rsidRDefault="00DC5783" w:rsidP="00593FE2">
      <w:pPr>
        <w:spacing w:before="100" w:beforeAutospacing="1" w:after="100" w:afterAutospacing="1"/>
        <w:jc w:val="center"/>
        <w:rPr>
          <w:rFonts w:ascii="Jost" w:hAnsi="Jost"/>
          <w:b/>
          <w:bCs/>
          <w:color w:val="000000"/>
        </w:rPr>
      </w:pPr>
      <w:r>
        <w:rPr>
          <w:rFonts w:ascii="Jost" w:hAnsi="Jost"/>
          <w:b/>
          <w:bCs/>
          <w:color w:val="000000"/>
        </w:rPr>
        <w:t>CIVILINĖS SAUGOS PRIEMONIŲ</w:t>
      </w:r>
      <w:r w:rsidR="00576E96" w:rsidRPr="00507728">
        <w:rPr>
          <w:rFonts w:ascii="Jost" w:hAnsi="Jost"/>
          <w:b/>
          <w:bCs/>
          <w:color w:val="000000"/>
        </w:rPr>
        <w:t xml:space="preserve"> </w:t>
      </w:r>
      <w:r w:rsidR="00593FE2" w:rsidRPr="00507728">
        <w:rPr>
          <w:rFonts w:ascii="Jost" w:hAnsi="Jost"/>
          <w:b/>
          <w:bCs/>
          <w:color w:val="000000"/>
        </w:rPr>
        <w:t>UŽSAKYMAI PER CPO LT ELEKTRONINĮ KATALOGĄ</w:t>
      </w:r>
      <w:r w:rsidR="004E7E1C">
        <w:rPr>
          <w:rFonts w:ascii="Jost" w:hAnsi="Jost"/>
          <w:b/>
          <w:bCs/>
          <w:color w:val="000000"/>
        </w:rPr>
        <w:t xml:space="preserve"> PIRKIMO NR. </w:t>
      </w:r>
      <w:r>
        <w:rPr>
          <w:rFonts w:ascii="Jost" w:hAnsi="Jost"/>
          <w:b/>
          <w:bCs/>
          <w:color w:val="000000"/>
        </w:rPr>
        <w:t>75032</w:t>
      </w:r>
      <w:r w:rsidR="00593FE2" w:rsidRPr="00507728">
        <w:rPr>
          <w:rFonts w:ascii="Jost" w:hAnsi="Jost"/>
          <w:b/>
          <w:bCs/>
          <w:color w:val="000000"/>
        </w:rPr>
        <w:t xml:space="preserve"> </w:t>
      </w:r>
      <w:r w:rsidR="00BF4CAB">
        <w:rPr>
          <w:rFonts w:ascii="Jost" w:hAnsi="Jost"/>
          <w:b/>
          <w:bCs/>
          <w:color w:val="000000"/>
        </w:rPr>
        <w:t xml:space="preserve">(SENAS CVP IS </w:t>
      </w:r>
      <w:r w:rsidR="00593FE2" w:rsidRPr="00507728">
        <w:rPr>
          <w:rFonts w:ascii="Jost" w:hAnsi="Jost"/>
          <w:b/>
          <w:bCs/>
          <w:color w:val="000000"/>
        </w:rPr>
        <w:t>N</w:t>
      </w:r>
      <w:r w:rsidR="00595BB7" w:rsidRPr="00507728">
        <w:rPr>
          <w:rFonts w:ascii="Jost" w:hAnsi="Jost"/>
          <w:b/>
          <w:bCs/>
          <w:color w:val="000000"/>
        </w:rPr>
        <w:t>R</w:t>
      </w:r>
      <w:r w:rsidR="00593FE2" w:rsidRPr="00507728">
        <w:rPr>
          <w:rFonts w:ascii="Jost" w:hAnsi="Jost"/>
          <w:b/>
          <w:bCs/>
          <w:color w:val="000000"/>
        </w:rPr>
        <w:t>.</w:t>
      </w:r>
      <w:r w:rsidR="00593FE2" w:rsidRPr="00507728">
        <w:rPr>
          <w:rFonts w:ascii="Jost" w:hAnsi="Jost"/>
          <w:b/>
          <w:bCs/>
          <w:color w:val="000000"/>
          <w:shd w:val="clear" w:color="auto" w:fill="FFFFFF"/>
        </w:rPr>
        <w:t xml:space="preserve"> </w:t>
      </w:r>
      <w:r>
        <w:rPr>
          <w:rFonts w:ascii="Jost" w:hAnsi="Jost"/>
          <w:b/>
          <w:bCs/>
          <w:color w:val="000000"/>
        </w:rPr>
        <w:t>605577</w:t>
      </w:r>
      <w:r w:rsidR="00BF4CAB">
        <w:rPr>
          <w:rFonts w:ascii="Jost" w:hAnsi="Jost"/>
          <w:b/>
          <w:bCs/>
          <w:color w:val="000000"/>
        </w:rPr>
        <w:t>)</w:t>
      </w:r>
    </w:p>
    <w:p w14:paraId="69644449" w14:textId="77777777" w:rsidR="00593FE2" w:rsidRPr="00507728" w:rsidRDefault="00593FE2" w:rsidP="00593FE2">
      <w:pPr>
        <w:rPr>
          <w:rFonts w:ascii="Jost" w:hAnsi="Jost"/>
          <w:b/>
          <w:i/>
          <w:iCs/>
          <w:color w:val="000000"/>
        </w:rPr>
      </w:pPr>
    </w:p>
    <w:p w14:paraId="469C913E" w14:textId="77777777" w:rsidR="00593FE2" w:rsidRPr="00507728" w:rsidRDefault="00593FE2" w:rsidP="00593FE2">
      <w:pPr>
        <w:rPr>
          <w:rFonts w:ascii="Jost" w:hAnsi="Jost"/>
          <w:b/>
          <w:i/>
          <w:iCs/>
          <w:color w:val="000000"/>
        </w:rPr>
      </w:pPr>
      <w:r w:rsidRPr="00507728">
        <w:rPr>
          <w:rFonts w:ascii="Jost" w:hAnsi="Jost"/>
          <w:b/>
          <w:i/>
          <w:iCs/>
          <w:color w:val="000000"/>
        </w:rPr>
        <w:t xml:space="preserve">pirkimo kandidatams/dalyviams </w:t>
      </w:r>
    </w:p>
    <w:p w14:paraId="7F7CC080" w14:textId="77777777" w:rsidR="00593FE2" w:rsidRPr="00507728" w:rsidRDefault="00593FE2" w:rsidP="00593FE2">
      <w:pPr>
        <w:rPr>
          <w:rFonts w:ascii="Jost" w:hAnsi="Jost"/>
          <w:i/>
        </w:rPr>
      </w:pPr>
      <w:r w:rsidRPr="00507728">
        <w:rPr>
          <w:rFonts w:ascii="Jost" w:hAnsi="Jost"/>
          <w:i/>
        </w:rPr>
        <w:t>Teikiama CVP IS priemonėmis</w:t>
      </w:r>
    </w:p>
    <w:p w14:paraId="1953D473" w14:textId="2083F0F5" w:rsidR="00177756" w:rsidRPr="00507728" w:rsidRDefault="00DD0E1E" w:rsidP="00177756">
      <w:pPr>
        <w:spacing w:before="100" w:beforeAutospacing="1" w:after="100" w:afterAutospacing="1"/>
        <w:jc w:val="both"/>
        <w:rPr>
          <w:rFonts w:ascii="Jost" w:hAnsi="Jost"/>
          <w:b/>
          <w:bCs/>
          <w:lang w:eastAsia="en-GB"/>
        </w:rPr>
      </w:pPr>
      <w:r w:rsidRPr="00507728">
        <w:rPr>
          <w:rFonts w:ascii="Jost" w:hAnsi="Jost"/>
          <w:b/>
          <w:bCs/>
          <w:lang w:eastAsia="en-GB"/>
        </w:rPr>
        <w:t>PIRKIMO S</w:t>
      </w:r>
      <w:r w:rsidR="00277DCB" w:rsidRPr="00507728">
        <w:rPr>
          <w:rFonts w:ascii="Jost" w:hAnsi="Jost"/>
          <w:b/>
          <w:bCs/>
          <w:lang w:eastAsia="en-GB"/>
        </w:rPr>
        <w:t>Ą</w:t>
      </w:r>
      <w:r w:rsidRPr="00507728">
        <w:rPr>
          <w:rFonts w:ascii="Jost" w:hAnsi="Jost"/>
          <w:b/>
          <w:bCs/>
          <w:lang w:eastAsia="en-GB"/>
        </w:rPr>
        <w:t>LYGŲ PATIKSLINIMAS</w:t>
      </w:r>
    </w:p>
    <w:p w14:paraId="46C5ED70" w14:textId="5F4EB385" w:rsidR="00B9534C" w:rsidRPr="00507728" w:rsidRDefault="00177756" w:rsidP="00E3714D">
      <w:pPr>
        <w:ind w:firstLine="720"/>
        <w:jc w:val="both"/>
        <w:rPr>
          <w:rStyle w:val="normaltextrun"/>
          <w:rFonts w:ascii="Jost" w:hAnsi="Jost"/>
          <w:color w:val="FF0000"/>
        </w:rPr>
      </w:pPr>
      <w:r w:rsidRPr="00507728">
        <w:rPr>
          <w:rFonts w:ascii="Jost" w:hAnsi="Jost"/>
          <w:lang w:eastAsia="en-GB"/>
        </w:rPr>
        <w:t>Viešojo pirkimo „</w:t>
      </w:r>
      <w:r w:rsidR="00DC5783">
        <w:rPr>
          <w:rFonts w:ascii="Jost" w:hAnsi="Jost"/>
          <w:lang w:eastAsia="en-GB"/>
        </w:rPr>
        <w:t>Civilinės saugos priemonių</w:t>
      </w:r>
      <w:r w:rsidRPr="00507728">
        <w:rPr>
          <w:rFonts w:ascii="Jost" w:hAnsi="Jost"/>
          <w:lang w:eastAsia="en-GB"/>
        </w:rPr>
        <w:t xml:space="preserve"> užsakymai per CPO LT elektroninį katalogą“, kuris vykdomas taikant dinaminę pirkimų sistemą (toliau – DPS), pirkimo Nr.</w:t>
      </w:r>
      <w:r w:rsidR="00D05CBF">
        <w:rPr>
          <w:rFonts w:ascii="Jost" w:hAnsi="Jost"/>
          <w:lang w:eastAsia="en-GB"/>
        </w:rPr>
        <w:t xml:space="preserve"> </w:t>
      </w:r>
      <w:r w:rsidR="00DC5783">
        <w:rPr>
          <w:rFonts w:ascii="Jost" w:hAnsi="Jost"/>
          <w:lang w:eastAsia="en-GB"/>
        </w:rPr>
        <w:t>75032</w:t>
      </w:r>
      <w:r w:rsidR="00D05CBF">
        <w:rPr>
          <w:rFonts w:ascii="Jost" w:hAnsi="Jost"/>
          <w:lang w:eastAsia="en-GB"/>
        </w:rPr>
        <w:t xml:space="preserve"> (senos CVP IS Nr. </w:t>
      </w:r>
      <w:r w:rsidR="00DC5783">
        <w:rPr>
          <w:rFonts w:ascii="Jost" w:hAnsi="Jost"/>
          <w:lang w:eastAsia="en-GB"/>
        </w:rPr>
        <w:t>605577</w:t>
      </w:r>
      <w:r w:rsidR="00D05CBF">
        <w:rPr>
          <w:rFonts w:ascii="Jost" w:hAnsi="Jost"/>
          <w:lang w:eastAsia="en-GB"/>
        </w:rPr>
        <w:t>)</w:t>
      </w:r>
      <w:r w:rsidR="0038177F" w:rsidRPr="00507728">
        <w:rPr>
          <w:rFonts w:ascii="Jost" w:hAnsi="Jost"/>
          <w:lang w:eastAsia="en-GB"/>
        </w:rPr>
        <w:t xml:space="preserve"> (toliau – pirkimas)</w:t>
      </w:r>
      <w:r w:rsidRPr="00507728">
        <w:rPr>
          <w:rFonts w:ascii="Jost" w:hAnsi="Jost"/>
          <w:lang w:eastAsia="en-GB"/>
        </w:rPr>
        <w:t xml:space="preserve">, </w:t>
      </w:r>
      <w:r w:rsidR="0088341A" w:rsidRPr="00507728">
        <w:rPr>
          <w:rFonts w:ascii="Jost" w:hAnsi="Jost"/>
          <w:lang w:eastAsia="en-GB"/>
        </w:rPr>
        <w:t>p</w:t>
      </w:r>
      <w:r w:rsidRPr="00507728">
        <w:rPr>
          <w:rFonts w:ascii="Jost" w:hAnsi="Jost"/>
          <w:lang w:eastAsia="en-GB"/>
        </w:rPr>
        <w:t>irkimo dokumentų patikslinimas</w:t>
      </w:r>
      <w:r w:rsidR="00357841" w:rsidRPr="00507728">
        <w:rPr>
          <w:rFonts w:ascii="Jost" w:hAnsi="Jost"/>
          <w:lang w:eastAsia="en-GB"/>
        </w:rPr>
        <w:t xml:space="preserve"> </w:t>
      </w:r>
      <w:r w:rsidR="00E3714D" w:rsidRPr="00507728">
        <w:rPr>
          <w:rFonts w:ascii="Jost" w:hAnsi="Jost"/>
          <w:color w:val="000000"/>
        </w:rPr>
        <w:t>CPO LT</w:t>
      </w:r>
      <w:r w:rsidR="0088341A" w:rsidRPr="00507728">
        <w:rPr>
          <w:rFonts w:ascii="Jost" w:hAnsi="Jost"/>
          <w:color w:val="000000"/>
        </w:rPr>
        <w:t xml:space="preserve"> iniciatyva</w:t>
      </w:r>
      <w:r w:rsidR="00FD3658" w:rsidRPr="00507728">
        <w:rPr>
          <w:rStyle w:val="normaltextrun"/>
          <w:rFonts w:ascii="Jost" w:hAnsi="Jost"/>
        </w:rPr>
        <w:t>:</w:t>
      </w:r>
    </w:p>
    <w:p w14:paraId="44A034AE" w14:textId="77777777" w:rsidR="007B35F7" w:rsidRPr="00507728"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590"/>
      </w:tblGrid>
      <w:tr w:rsidR="007E6D64" w:rsidRPr="00507728" w14:paraId="757374CC" w14:textId="77777777" w:rsidTr="00965D08">
        <w:tc>
          <w:tcPr>
            <w:tcW w:w="9265" w:type="dxa"/>
            <w:gridSpan w:val="2"/>
            <w:shd w:val="clear" w:color="auto" w:fill="auto"/>
          </w:tcPr>
          <w:p w14:paraId="598F9C7E" w14:textId="15BDB844" w:rsidR="007E6D64" w:rsidRPr="00507728" w:rsidRDefault="007E6D64">
            <w:pPr>
              <w:widowControl w:val="0"/>
              <w:contextualSpacing/>
              <w:jc w:val="center"/>
              <w:rPr>
                <w:rFonts w:ascii="Jost" w:hAnsi="Jost"/>
                <w:color w:val="000000"/>
              </w:rPr>
            </w:pPr>
            <w:r w:rsidRPr="00507728">
              <w:rPr>
                <w:rFonts w:ascii="Jost" w:hAnsi="Jost"/>
                <w:b/>
                <w:bCs/>
                <w:color w:val="000000"/>
              </w:rPr>
              <w:t xml:space="preserve"> </w:t>
            </w:r>
            <w:r w:rsidR="004E7E1C">
              <w:rPr>
                <w:rFonts w:ascii="Jost" w:hAnsi="Jost"/>
                <w:b/>
                <w:bCs/>
                <w:color w:val="000000"/>
              </w:rPr>
              <w:t>C dalies</w:t>
            </w:r>
            <w:r w:rsidR="004E7E1C" w:rsidRPr="00507728">
              <w:rPr>
                <w:rFonts w:ascii="Jost" w:hAnsi="Jost"/>
                <w:b/>
                <w:bCs/>
                <w:color w:val="000000"/>
              </w:rPr>
              <w:t xml:space="preserve"> </w:t>
            </w:r>
            <w:r w:rsidR="004E7E1C">
              <w:rPr>
                <w:rFonts w:ascii="Jost" w:hAnsi="Jost"/>
                <w:b/>
                <w:bCs/>
                <w:color w:val="000000"/>
              </w:rPr>
              <w:t>„</w:t>
            </w:r>
            <w:r w:rsidR="004E7E1C" w:rsidRPr="004E7E1C">
              <w:rPr>
                <w:rFonts w:ascii="Jost" w:hAnsi="Jost"/>
                <w:b/>
              </w:rPr>
              <w:t>Konkretus pirkimas dinaminėje pirkimų sistemoje</w:t>
            </w:r>
            <w:r w:rsidRPr="004E7E1C">
              <w:rPr>
                <w:rFonts w:ascii="Jost" w:hAnsi="Jost"/>
                <w:b/>
                <w:bCs/>
              </w:rPr>
              <w:t>“</w:t>
            </w:r>
            <w:r w:rsidR="004E7E1C">
              <w:rPr>
                <w:rFonts w:ascii="Jost" w:hAnsi="Jost"/>
                <w:b/>
                <w:bCs/>
              </w:rPr>
              <w:t xml:space="preserve"> 3 priedas „Pirkimo sutarties projektas“</w:t>
            </w:r>
          </w:p>
        </w:tc>
      </w:tr>
      <w:tr w:rsidR="007E6D64" w:rsidRPr="00507728" w14:paraId="5144CD18" w14:textId="77777777" w:rsidTr="00965D08">
        <w:tc>
          <w:tcPr>
            <w:tcW w:w="4675" w:type="dxa"/>
            <w:shd w:val="clear" w:color="auto" w:fill="auto"/>
          </w:tcPr>
          <w:p w14:paraId="6954ACF2" w14:textId="77777777" w:rsidR="007E6D64" w:rsidRPr="00507728" w:rsidRDefault="007E6D64">
            <w:pPr>
              <w:widowControl w:val="0"/>
              <w:contextualSpacing/>
              <w:jc w:val="both"/>
              <w:rPr>
                <w:rFonts w:ascii="Jost" w:hAnsi="Jost"/>
                <w:color w:val="000000"/>
              </w:rPr>
            </w:pPr>
            <w:r w:rsidRPr="00507728">
              <w:rPr>
                <w:rFonts w:ascii="Jost" w:hAnsi="Jost"/>
                <w:color w:val="000000"/>
              </w:rPr>
              <w:t>Tikslinama vieta</w:t>
            </w:r>
          </w:p>
        </w:tc>
        <w:tc>
          <w:tcPr>
            <w:tcW w:w="4590" w:type="dxa"/>
            <w:shd w:val="clear" w:color="auto" w:fill="auto"/>
          </w:tcPr>
          <w:p w14:paraId="707B9D0C" w14:textId="6C463765" w:rsidR="007E6D64" w:rsidRPr="00507728" w:rsidRDefault="007E6D64">
            <w:pPr>
              <w:widowControl w:val="0"/>
              <w:contextualSpacing/>
              <w:jc w:val="both"/>
              <w:rPr>
                <w:rFonts w:ascii="Jost" w:hAnsi="Jost"/>
                <w:color w:val="000000"/>
              </w:rPr>
            </w:pPr>
            <w:r w:rsidRPr="00507728">
              <w:rPr>
                <w:rFonts w:ascii="Jost" w:hAnsi="Jost"/>
                <w:color w:val="000000"/>
              </w:rPr>
              <w:t>Po patikslinimo</w:t>
            </w:r>
            <w:r w:rsidR="00D11979" w:rsidRPr="00507728">
              <w:rPr>
                <w:rFonts w:ascii="Jost" w:hAnsi="Jost"/>
                <w:color w:val="000000"/>
              </w:rPr>
              <w:t xml:space="preserve"> (</w:t>
            </w:r>
            <w:r w:rsidR="00D11979" w:rsidRPr="00507728">
              <w:rPr>
                <w:rFonts w:ascii="Jost" w:hAnsi="Jost"/>
                <w:i/>
                <w:iCs/>
                <w:color w:val="000000"/>
              </w:rPr>
              <w:t>tikslinama vieta pažymėta</w:t>
            </w:r>
            <w:r w:rsidR="00D11979" w:rsidRPr="00507728">
              <w:rPr>
                <w:rFonts w:ascii="Jost" w:hAnsi="Jost"/>
                <w:color w:val="000000"/>
              </w:rPr>
              <w:t>)</w:t>
            </w:r>
          </w:p>
        </w:tc>
      </w:tr>
      <w:tr w:rsidR="00EE4192" w:rsidRPr="00507728" w14:paraId="24111CF9" w14:textId="77777777" w:rsidTr="00965D08">
        <w:tc>
          <w:tcPr>
            <w:tcW w:w="4675" w:type="dxa"/>
            <w:shd w:val="clear" w:color="auto" w:fill="auto"/>
          </w:tcPr>
          <w:p w14:paraId="7910C031" w14:textId="63E0DBAD" w:rsidR="00664B6A" w:rsidRPr="004E7E1C" w:rsidRDefault="00DC5783" w:rsidP="00664B6A">
            <w:pPr>
              <w:jc w:val="both"/>
              <w:rPr>
                <w:rFonts w:ascii="Jost" w:hAnsi="Jost"/>
                <w:color w:val="000000"/>
              </w:rPr>
            </w:pPr>
            <w:r>
              <w:rPr>
                <w:rFonts w:ascii="Jost" w:hAnsi="Jost"/>
              </w:rPr>
              <w:t xml:space="preserve">4.13. </w:t>
            </w:r>
            <w:r w:rsidRPr="00DC5783">
              <w:rPr>
                <w:rFonts w:ascii="Jost" w:hAnsi="Jost"/>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tc>
        <w:tc>
          <w:tcPr>
            <w:tcW w:w="4590" w:type="dxa"/>
            <w:shd w:val="clear" w:color="auto" w:fill="auto"/>
          </w:tcPr>
          <w:p w14:paraId="12AA2318" w14:textId="446CC0C8" w:rsidR="00EE4192" w:rsidRPr="00DC5783" w:rsidRDefault="00DC5783" w:rsidP="00F4137E">
            <w:pPr>
              <w:tabs>
                <w:tab w:val="left" w:pos="567"/>
                <w:tab w:val="left" w:pos="1276"/>
              </w:tabs>
              <w:jc w:val="both"/>
              <w:rPr>
                <w:rFonts w:ascii="Jost" w:hAnsi="Jost"/>
              </w:rPr>
            </w:pPr>
            <w:r w:rsidRPr="00DC5783">
              <w:rPr>
                <w:rFonts w:ascii="Jost" w:hAnsi="Jost"/>
              </w:rPr>
              <w:t xml:space="preserve">4.13. </w:t>
            </w:r>
            <w:r w:rsidRPr="00DC5783">
              <w:rPr>
                <w:rFonts w:ascii="Jost" w:hAnsi="Jost"/>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w:t>
            </w:r>
            <w:r w:rsidRPr="00DC5783">
              <w:rPr>
                <w:rFonts w:ascii="Jost" w:hAnsi="Jost"/>
                <w:strike/>
                <w:highlight w:val="yellow"/>
              </w:rPr>
              <w:t xml:space="preserve"> tik naudojantis informacinės sistemos „E. sąskaita“ priemonėmis.</w:t>
            </w:r>
            <w:r w:rsidRPr="00DC5783">
              <w:rPr>
                <w:rFonts w:ascii="Jost" w:hAnsi="Jost"/>
                <w:strike/>
              </w:rPr>
              <w:t xml:space="preserve"> </w:t>
            </w:r>
            <w:r w:rsidRPr="00DC5783">
              <w:rPr>
                <w:rFonts w:ascii="Jost" w:eastAsia="Arial" w:hAnsi="Jost"/>
                <w:noProof/>
                <w:highlight w:val="yellow"/>
              </w:rPr>
              <w:t>Sąskaitų administravimo bendrosios informacinės sistemos (toliau – SABIS) priemonėmis. PIRKĖJAS elektronines sąskaitas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bl>
    <w:p w14:paraId="06405764" w14:textId="77777777" w:rsidR="00AB7845" w:rsidRPr="00507728" w:rsidRDefault="00AB7845" w:rsidP="008C1212">
      <w:pPr>
        <w:widowControl w:val="0"/>
        <w:tabs>
          <w:tab w:val="left" w:pos="1134"/>
        </w:tabs>
        <w:jc w:val="both"/>
        <w:rPr>
          <w:rFonts w:ascii="Jost" w:hAnsi="Jost"/>
          <w:b/>
          <w:lang w:val="en-US"/>
        </w:rPr>
      </w:pPr>
    </w:p>
    <w:bookmarkEnd w:id="0"/>
    <w:p w14:paraId="652CC6A3" w14:textId="77777777" w:rsidR="00047FF3" w:rsidRPr="00507728" w:rsidRDefault="00047FF3" w:rsidP="00047FF3">
      <w:pPr>
        <w:widowControl w:val="0"/>
        <w:tabs>
          <w:tab w:val="left" w:pos="1134"/>
        </w:tabs>
        <w:ind w:firstLine="851"/>
        <w:jc w:val="both"/>
        <w:rPr>
          <w:rFonts w:ascii="Jost" w:hAnsi="Jost"/>
          <w:b/>
        </w:rPr>
      </w:pPr>
    </w:p>
    <w:sectPr w:rsidR="00047FF3" w:rsidRPr="00507728">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B301" w14:textId="77777777" w:rsidR="004F3C50" w:rsidRDefault="004F3C50">
      <w:r>
        <w:separator/>
      </w:r>
    </w:p>
  </w:endnote>
  <w:endnote w:type="continuationSeparator" w:id="0">
    <w:p w14:paraId="0B937641" w14:textId="77777777" w:rsidR="004F3C50" w:rsidRDefault="004F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6E45" w14:textId="77777777" w:rsidR="007D7A29"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7D7A29" w:rsidRDefault="007D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5514" w14:textId="77777777" w:rsidR="007D7A29" w:rsidRDefault="007D7A29">
    <w:pPr>
      <w:pStyle w:val="Footer"/>
      <w:jc w:val="center"/>
    </w:pPr>
  </w:p>
  <w:p w14:paraId="5434B190" w14:textId="77777777" w:rsidR="007D7A29" w:rsidRDefault="007D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4D85" w14:textId="77777777" w:rsidR="004F3C50" w:rsidRDefault="004F3C50">
      <w:r>
        <w:separator/>
      </w:r>
    </w:p>
  </w:footnote>
  <w:footnote w:type="continuationSeparator" w:id="0">
    <w:p w14:paraId="5416ADDD" w14:textId="77777777" w:rsidR="004F3C50" w:rsidRDefault="004F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D506" w14:textId="77777777" w:rsidR="007D7A29"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6098E"/>
    <w:rsid w:val="0009224D"/>
    <w:rsid w:val="000924EE"/>
    <w:rsid w:val="000C3A90"/>
    <w:rsid w:val="000D6DB1"/>
    <w:rsid w:val="000E7B21"/>
    <w:rsid w:val="00100402"/>
    <w:rsid w:val="00131B3A"/>
    <w:rsid w:val="00133147"/>
    <w:rsid w:val="00133F23"/>
    <w:rsid w:val="00155F3B"/>
    <w:rsid w:val="00177756"/>
    <w:rsid w:val="00184D6B"/>
    <w:rsid w:val="001B7EA5"/>
    <w:rsid w:val="001C6CE2"/>
    <w:rsid w:val="001C7E9A"/>
    <w:rsid w:val="001D5BEB"/>
    <w:rsid w:val="001F027A"/>
    <w:rsid w:val="001F07B2"/>
    <w:rsid w:val="002138CD"/>
    <w:rsid w:val="00254449"/>
    <w:rsid w:val="00277CF2"/>
    <w:rsid w:val="00277DCB"/>
    <w:rsid w:val="002D6FDB"/>
    <w:rsid w:val="002E43FE"/>
    <w:rsid w:val="00324081"/>
    <w:rsid w:val="00337865"/>
    <w:rsid w:val="00357841"/>
    <w:rsid w:val="003602FE"/>
    <w:rsid w:val="00365D4B"/>
    <w:rsid w:val="0038177F"/>
    <w:rsid w:val="00385F81"/>
    <w:rsid w:val="00387A22"/>
    <w:rsid w:val="00391BDE"/>
    <w:rsid w:val="003950A8"/>
    <w:rsid w:val="003C02C3"/>
    <w:rsid w:val="003C1771"/>
    <w:rsid w:val="003D7231"/>
    <w:rsid w:val="004008FD"/>
    <w:rsid w:val="00403E5B"/>
    <w:rsid w:val="00410C40"/>
    <w:rsid w:val="00451275"/>
    <w:rsid w:val="0047666A"/>
    <w:rsid w:val="00477C1E"/>
    <w:rsid w:val="004808E9"/>
    <w:rsid w:val="00490ECB"/>
    <w:rsid w:val="004932B2"/>
    <w:rsid w:val="004A1C16"/>
    <w:rsid w:val="004A2C61"/>
    <w:rsid w:val="004A5A13"/>
    <w:rsid w:val="004E77D3"/>
    <w:rsid w:val="004E7E1C"/>
    <w:rsid w:val="004F3C50"/>
    <w:rsid w:val="004F7A11"/>
    <w:rsid w:val="0050477C"/>
    <w:rsid w:val="00507728"/>
    <w:rsid w:val="00512FC0"/>
    <w:rsid w:val="00537A48"/>
    <w:rsid w:val="0054469B"/>
    <w:rsid w:val="0056148B"/>
    <w:rsid w:val="00563AD2"/>
    <w:rsid w:val="00567CB8"/>
    <w:rsid w:val="00576E96"/>
    <w:rsid w:val="00580CFC"/>
    <w:rsid w:val="00586581"/>
    <w:rsid w:val="005912F2"/>
    <w:rsid w:val="00593FE2"/>
    <w:rsid w:val="00595BB7"/>
    <w:rsid w:val="005A2623"/>
    <w:rsid w:val="005B4B09"/>
    <w:rsid w:val="005D6705"/>
    <w:rsid w:val="0060394C"/>
    <w:rsid w:val="00615269"/>
    <w:rsid w:val="00625C75"/>
    <w:rsid w:val="00653C82"/>
    <w:rsid w:val="0066254F"/>
    <w:rsid w:val="00664B6A"/>
    <w:rsid w:val="0067382C"/>
    <w:rsid w:val="006944F4"/>
    <w:rsid w:val="006A0BC4"/>
    <w:rsid w:val="006A29A5"/>
    <w:rsid w:val="006B0BDC"/>
    <w:rsid w:val="006B3D20"/>
    <w:rsid w:val="006C5231"/>
    <w:rsid w:val="006D4CB7"/>
    <w:rsid w:val="006E53B8"/>
    <w:rsid w:val="00704749"/>
    <w:rsid w:val="00705390"/>
    <w:rsid w:val="00717489"/>
    <w:rsid w:val="007238D3"/>
    <w:rsid w:val="00724524"/>
    <w:rsid w:val="00726B81"/>
    <w:rsid w:val="00731837"/>
    <w:rsid w:val="007368E9"/>
    <w:rsid w:val="00757A64"/>
    <w:rsid w:val="007728AE"/>
    <w:rsid w:val="00780A82"/>
    <w:rsid w:val="00793BA5"/>
    <w:rsid w:val="007B35F7"/>
    <w:rsid w:val="007D46AA"/>
    <w:rsid w:val="007D7A29"/>
    <w:rsid w:val="007E06AB"/>
    <w:rsid w:val="007E4869"/>
    <w:rsid w:val="007E6D64"/>
    <w:rsid w:val="008441F9"/>
    <w:rsid w:val="0086728C"/>
    <w:rsid w:val="00873F62"/>
    <w:rsid w:val="0088341A"/>
    <w:rsid w:val="008B0120"/>
    <w:rsid w:val="008C1212"/>
    <w:rsid w:val="008C334D"/>
    <w:rsid w:val="008C44F3"/>
    <w:rsid w:val="008C7A66"/>
    <w:rsid w:val="008D110E"/>
    <w:rsid w:val="008D4867"/>
    <w:rsid w:val="008E57F3"/>
    <w:rsid w:val="008E5B17"/>
    <w:rsid w:val="008F3DC8"/>
    <w:rsid w:val="008F7346"/>
    <w:rsid w:val="0090070E"/>
    <w:rsid w:val="009157B6"/>
    <w:rsid w:val="00920237"/>
    <w:rsid w:val="00944EE5"/>
    <w:rsid w:val="00961369"/>
    <w:rsid w:val="00965D08"/>
    <w:rsid w:val="0097229F"/>
    <w:rsid w:val="00997629"/>
    <w:rsid w:val="009A2BA4"/>
    <w:rsid w:val="009B382D"/>
    <w:rsid w:val="009C7DEE"/>
    <w:rsid w:val="009D23C4"/>
    <w:rsid w:val="009D3853"/>
    <w:rsid w:val="00A27E99"/>
    <w:rsid w:val="00A64C76"/>
    <w:rsid w:val="00A81677"/>
    <w:rsid w:val="00A9232A"/>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4CAB"/>
    <w:rsid w:val="00BF6153"/>
    <w:rsid w:val="00BF6F86"/>
    <w:rsid w:val="00C1436E"/>
    <w:rsid w:val="00C14AA4"/>
    <w:rsid w:val="00C51A72"/>
    <w:rsid w:val="00C54F4B"/>
    <w:rsid w:val="00CC42DE"/>
    <w:rsid w:val="00CF066B"/>
    <w:rsid w:val="00D05CBF"/>
    <w:rsid w:val="00D07ECB"/>
    <w:rsid w:val="00D11979"/>
    <w:rsid w:val="00D437DB"/>
    <w:rsid w:val="00D55E92"/>
    <w:rsid w:val="00D6318E"/>
    <w:rsid w:val="00D653CB"/>
    <w:rsid w:val="00DA5262"/>
    <w:rsid w:val="00DB4608"/>
    <w:rsid w:val="00DC5783"/>
    <w:rsid w:val="00DD0E1E"/>
    <w:rsid w:val="00DE5055"/>
    <w:rsid w:val="00E1571F"/>
    <w:rsid w:val="00E3714D"/>
    <w:rsid w:val="00E442AF"/>
    <w:rsid w:val="00E70B87"/>
    <w:rsid w:val="00E75A39"/>
    <w:rsid w:val="00E857DC"/>
    <w:rsid w:val="00ED142D"/>
    <w:rsid w:val="00EE4192"/>
    <w:rsid w:val="00F06566"/>
    <w:rsid w:val="00F21652"/>
    <w:rsid w:val="00F4137E"/>
    <w:rsid w:val="00F526E8"/>
    <w:rsid w:val="00F60E70"/>
    <w:rsid w:val="00F62E22"/>
    <w:rsid w:val="00F738C3"/>
    <w:rsid w:val="00F772E4"/>
    <w:rsid w:val="00F83C5F"/>
    <w:rsid w:val="00F938F7"/>
    <w:rsid w:val="00FA6C1D"/>
    <w:rsid w:val="00FB0EBA"/>
    <w:rsid w:val="00FB5557"/>
    <w:rsid w:val="00FD3658"/>
    <w:rsid w:val="00FE45D7"/>
    <w:rsid w:val="00FF363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FollowedHyperlink">
    <w:name w:val="FollowedHyperlink"/>
    <w:basedOn w:val="DefaultParagraphFont"/>
    <w:uiPriority w:val="99"/>
    <w:semiHidden/>
    <w:unhideWhenUsed/>
    <w:rsid w:val="00664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2</cp:revision>
  <cp:lastPrinted>2022-03-23T10:11:00Z</cp:lastPrinted>
  <dcterms:created xsi:type="dcterms:W3CDTF">2025-06-26T12:18:00Z</dcterms:created>
  <dcterms:modified xsi:type="dcterms:W3CDTF">2025-06-26T12:18:00Z</dcterms:modified>
</cp:coreProperties>
</file>