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7193C0" w14:textId="0136AF4E" w:rsidR="00382AFC" w:rsidRDefault="00457AD0" w:rsidP="00457AD0">
      <w:pPr>
        <w:spacing w:after="0" w:line="240" w:lineRule="auto"/>
        <w:ind w:firstLine="567"/>
        <w:jc w:val="center"/>
        <w:rPr>
          <w:rFonts w:eastAsia="Times New Roman" w:cs="Times New Roman"/>
          <w:szCs w:val="20"/>
          <w:lang w:eastAsia="en-US"/>
        </w:rPr>
      </w:pPr>
      <w:bookmarkStart w:id="0" w:name="_Hlk34031906"/>
      <w:bookmarkStart w:id="1" w:name="_Hlk174696638"/>
      <w:r w:rsidRPr="00C1680C">
        <w:rPr>
          <w:rFonts w:cs="Times New Roman"/>
          <w:b/>
          <w:szCs w:val="24"/>
          <w:lang w:eastAsia="en-US"/>
        </w:rPr>
        <w:t xml:space="preserve">DĖL </w:t>
      </w:r>
      <w:bookmarkEnd w:id="0"/>
      <w:r w:rsidR="00323097" w:rsidRPr="000B0543">
        <w:rPr>
          <w:b/>
          <w:bCs/>
          <w:szCs w:val="24"/>
          <w:lang w:eastAsia="lt-LT"/>
        </w:rPr>
        <w:t xml:space="preserve">ŽAKO LIPŠICO MUZIEJUJE </w:t>
      </w:r>
      <w:r w:rsidR="00323097" w:rsidRPr="000B0543">
        <w:rPr>
          <w:rFonts w:eastAsia="SimSun"/>
          <w:b/>
          <w:color w:val="000000"/>
          <w:szCs w:val="24"/>
          <w:lang w:eastAsia="zh-CN"/>
        </w:rPr>
        <w:t xml:space="preserve">ŠV. JOKŪBO G. 17, </w:t>
      </w:r>
      <w:r w:rsidR="00323097" w:rsidRPr="000B0543">
        <w:rPr>
          <w:b/>
          <w:bCs/>
          <w:szCs w:val="24"/>
          <w:lang w:eastAsia="lt-LT"/>
        </w:rPr>
        <w:t xml:space="preserve">DRUSKININKUOSE NUOLATINĖS EKSPOZICIJOS </w:t>
      </w:r>
      <w:r w:rsidR="00B75A62">
        <w:rPr>
          <w:b/>
          <w:bCs/>
          <w:szCs w:val="24"/>
          <w:lang w:eastAsia="lt-LT"/>
        </w:rPr>
        <w:t>NUOLATINIŲ IR MODULINIŲ</w:t>
      </w:r>
      <w:r w:rsidR="00323097" w:rsidRPr="000B0543">
        <w:rPr>
          <w:b/>
          <w:bCs/>
          <w:szCs w:val="24"/>
          <w:lang w:eastAsia="lt-LT"/>
        </w:rPr>
        <w:t xml:space="preserve"> SIENELIŲ ĮRENGIMO </w:t>
      </w:r>
      <w:r w:rsidRPr="00C1680C">
        <w:rPr>
          <w:rFonts w:eastAsia="Times New Roman" w:cs="Times New Roman"/>
          <w:b/>
          <w:bCs/>
          <w:szCs w:val="24"/>
          <w:lang w:eastAsia="lt-LT"/>
        </w:rPr>
        <w:t>DARBŲ</w:t>
      </w: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11"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sav</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7E9481AA"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5F3BC6">
              <w:rPr>
                <w:rFonts w:cs="Times New Roman"/>
                <w:i/>
                <w:szCs w:val="24"/>
                <w:lang w:eastAsia="lt-LT"/>
              </w:rPr>
              <w:t>16</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00661282">
              <w:rPr>
                <w:rFonts w:cs="Times New Roman"/>
                <w:i/>
                <w:szCs w:val="24"/>
                <w:lang w:eastAsia="lt-LT"/>
              </w:rPr>
              <w:t>6</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sectPr w:rsidR="0032392D" w:rsidSect="00A87611">
      <w:headerReference w:type="default" r:id="rId12"/>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4197" w14:textId="77777777" w:rsidR="0094025B" w:rsidRDefault="0094025B" w:rsidP="009704AF">
      <w:pPr>
        <w:spacing w:after="0" w:line="240" w:lineRule="auto"/>
      </w:pPr>
      <w:r>
        <w:separator/>
      </w:r>
    </w:p>
  </w:endnote>
  <w:endnote w:type="continuationSeparator" w:id="0">
    <w:p w14:paraId="1374ECFF" w14:textId="77777777" w:rsidR="0094025B" w:rsidRDefault="0094025B"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E821" w14:textId="77777777" w:rsidR="0094025B" w:rsidRDefault="0094025B" w:rsidP="009704AF">
      <w:pPr>
        <w:spacing w:after="0" w:line="240" w:lineRule="auto"/>
      </w:pPr>
      <w:r>
        <w:separator/>
      </w:r>
    </w:p>
  </w:footnote>
  <w:footnote w:type="continuationSeparator" w:id="0">
    <w:p w14:paraId="7B01396A" w14:textId="77777777" w:rsidR="0094025B" w:rsidRDefault="0094025B"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09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CD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3BC6"/>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1282"/>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025B"/>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611"/>
    <w:rsid w:val="00A87847"/>
    <w:rsid w:val="00A87B84"/>
    <w:rsid w:val="00A97E24"/>
    <w:rsid w:val="00AA131E"/>
    <w:rsid w:val="00AA1577"/>
    <w:rsid w:val="00AA2032"/>
    <w:rsid w:val="00AA647D"/>
    <w:rsid w:val="00AB17F8"/>
    <w:rsid w:val="00AB23C9"/>
    <w:rsid w:val="00AB2C9F"/>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5B1B"/>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5A62"/>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F3DF-F5D0-47D7-9CB0-3F5E6A72BB6B}">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28BDCBD2-E9A6-489F-BF79-6586B422355B}">
  <ds:schemaRefs>
    <ds:schemaRef ds:uri="http://schemas.microsoft.com/sharepoint/v3/contenttype/forms"/>
  </ds:schemaRefs>
</ds:datastoreItem>
</file>

<file path=customXml/itemProps3.xml><?xml version="1.0" encoding="utf-8"?>
<ds:datastoreItem xmlns:ds="http://schemas.openxmlformats.org/officeDocument/2006/customXml" ds:itemID="{659BC848-769E-4100-A1D4-039E465F2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3520</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2025-06-19T15:25:00Z</dcterms:created>
  <dcterms:modified xsi:type="dcterms:W3CDTF">2025-06-19T15:25:00Z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