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C84B"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bookmarkStart w:id="0" w:name="_Hlk524535569"/>
    </w:p>
    <w:p w14:paraId="7F180CA3" w14:textId="77777777" w:rsidR="003C23E4" w:rsidRDefault="003C23E4" w:rsidP="00675B9B">
      <w:pPr>
        <w:pStyle w:val="Antrat1"/>
        <w:numPr>
          <w:ilvl w:val="0"/>
          <w:numId w:val="0"/>
        </w:numPr>
        <w:tabs>
          <w:tab w:val="left" w:pos="720"/>
        </w:tabs>
        <w:spacing w:before="0" w:after="0"/>
        <w:jc w:val="right"/>
        <w:rPr>
          <w:color w:val="000000" w:themeColor="text1"/>
          <w:sz w:val="24"/>
          <w:szCs w:val="24"/>
        </w:rPr>
      </w:pPr>
      <w:r>
        <w:rPr>
          <w:color w:val="000000" w:themeColor="text1"/>
          <w:sz w:val="24"/>
          <w:szCs w:val="24"/>
        </w:rPr>
        <w:t>Specialiųjų pirkimo sąlygų</w:t>
      </w:r>
    </w:p>
    <w:p w14:paraId="6934AB61" w14:textId="03F23CED" w:rsidR="00675B9B" w:rsidRDefault="00A07732" w:rsidP="00675B9B">
      <w:pPr>
        <w:pStyle w:val="Antrat1"/>
        <w:numPr>
          <w:ilvl w:val="0"/>
          <w:numId w:val="0"/>
        </w:numPr>
        <w:tabs>
          <w:tab w:val="left" w:pos="720"/>
        </w:tabs>
        <w:spacing w:before="0" w:after="0"/>
        <w:jc w:val="right"/>
        <w:rPr>
          <w:sz w:val="24"/>
          <w:szCs w:val="24"/>
        </w:rPr>
      </w:pPr>
      <w:r w:rsidRPr="00A07732">
        <w:rPr>
          <w:color w:val="000000" w:themeColor="text1"/>
          <w:sz w:val="24"/>
          <w:szCs w:val="24"/>
        </w:rPr>
        <w:t xml:space="preserve">Priedas Nr. </w:t>
      </w:r>
      <w:r>
        <w:rPr>
          <w:color w:val="000000" w:themeColor="text1"/>
          <w:sz w:val="24"/>
          <w:szCs w:val="24"/>
        </w:rPr>
        <w:t>4</w:t>
      </w:r>
      <w:r w:rsidRPr="00A07732">
        <w:rPr>
          <w:color w:val="000000" w:themeColor="text1"/>
          <w:sz w:val="24"/>
          <w:szCs w:val="24"/>
        </w:rPr>
        <w:t xml:space="preserve"> </w:t>
      </w:r>
      <w:r w:rsidRPr="00A07732">
        <w:rPr>
          <w:sz w:val="24"/>
          <w:szCs w:val="24"/>
        </w:rPr>
        <w:t xml:space="preserve">„Tiekėjo pašalinimo pagrindai, reikalavimai kvalifikacijai ir </w:t>
      </w:r>
    </w:p>
    <w:p w14:paraId="613DA662" w14:textId="67765D15" w:rsidR="00A07732" w:rsidRPr="00675B9B" w:rsidRDefault="00A07732" w:rsidP="00A07732">
      <w:pPr>
        <w:pStyle w:val="Antrat1"/>
        <w:numPr>
          <w:ilvl w:val="0"/>
          <w:numId w:val="0"/>
        </w:numPr>
        <w:tabs>
          <w:tab w:val="left" w:pos="720"/>
        </w:tabs>
        <w:spacing w:before="0" w:after="0"/>
        <w:jc w:val="right"/>
        <w:rPr>
          <w:color w:val="000000" w:themeColor="text1"/>
          <w:sz w:val="24"/>
          <w:szCs w:val="24"/>
        </w:rPr>
      </w:pPr>
      <w:r w:rsidRPr="00A07732">
        <w:rPr>
          <w:sz w:val="24"/>
          <w:szCs w:val="24"/>
        </w:rPr>
        <w:t xml:space="preserve">reikalaujami kokybės bei aplinkos apsaugos vadybos </w:t>
      </w:r>
      <w:r w:rsidR="00A27065" w:rsidRPr="00A07732">
        <w:rPr>
          <w:sz w:val="24"/>
          <w:szCs w:val="24"/>
        </w:rPr>
        <w:t>standartai</w:t>
      </w:r>
      <w:r w:rsidRPr="00A07732">
        <w:rPr>
          <w:color w:val="000000" w:themeColor="text1"/>
          <w:sz w:val="24"/>
          <w:szCs w:val="24"/>
        </w:rPr>
        <w:t>“</w:t>
      </w:r>
    </w:p>
    <w:p w14:paraId="093DDBEA" w14:textId="1524FA36" w:rsidR="00A07732" w:rsidRDefault="00A07732" w:rsidP="00EB7526">
      <w:pPr>
        <w:pStyle w:val="Antrat1"/>
        <w:numPr>
          <w:ilvl w:val="0"/>
          <w:numId w:val="0"/>
        </w:numPr>
        <w:tabs>
          <w:tab w:val="left" w:pos="720"/>
        </w:tabs>
        <w:spacing w:before="0" w:after="0"/>
        <w:rPr>
          <w:rFonts w:eastAsia="Calibri"/>
          <w:b/>
          <w:color w:val="000000"/>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Pr="00675ABA" w:rsidRDefault="00E405DB" w:rsidP="00EB7526">
      <w:pPr>
        <w:pStyle w:val="Antrat1"/>
        <w:numPr>
          <w:ilvl w:val="0"/>
          <w:numId w:val="0"/>
        </w:numPr>
        <w:tabs>
          <w:tab w:val="left" w:pos="720"/>
        </w:tabs>
        <w:spacing w:before="0" w:after="0"/>
        <w:rPr>
          <w:b/>
          <w:sz w:val="24"/>
          <w:szCs w:val="24"/>
        </w:rPr>
      </w:pPr>
      <w:r w:rsidRPr="00675ABA">
        <w:rPr>
          <w:b/>
          <w:bCs/>
          <w:sz w:val="24"/>
          <w:szCs w:val="24"/>
        </w:rPr>
        <w:t>TIEKĖJO PAŠALINIMO PAGRINDAI, REIKALAVIMAI KVALIFIKACIJAI IR REIKALAUJAMI KOKYBĖS BEI APLINKOS APSAUGOS VADYBOS STANDARTAI</w:t>
      </w:r>
    </w:p>
    <w:p w14:paraId="63656D8B" w14:textId="77777777" w:rsidR="00391E55" w:rsidRPr="00856D77" w:rsidRDefault="00391E55" w:rsidP="00EB7526">
      <w:pPr>
        <w:spacing w:after="0" w:line="240" w:lineRule="auto"/>
      </w:pPr>
    </w:p>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4F4CB6">
        <w:trPr>
          <w:cantSplit/>
          <w:tblHeader/>
        </w:trPr>
        <w:tc>
          <w:tcPr>
            <w:tcW w:w="812" w:type="dxa"/>
            <w:vAlign w:val="center"/>
          </w:tcPr>
          <w:p w14:paraId="194AB7B5" w14:textId="77777777" w:rsidR="004F4CB6" w:rsidRPr="00191CC4" w:rsidRDefault="004F4CB6" w:rsidP="00AE4B48">
            <w:pPr>
              <w:jc w:val="center"/>
              <w:rPr>
                <w:b/>
                <w:szCs w:val="24"/>
                <w:lang w:eastAsia="en-US"/>
              </w:rPr>
            </w:pPr>
            <w:r w:rsidRPr="00191CC4">
              <w:rPr>
                <w:b/>
                <w:szCs w:val="24"/>
                <w:lang w:eastAsia="en-US"/>
              </w:rPr>
              <w:t xml:space="preserve">Eil. </w:t>
            </w:r>
            <w:r>
              <w:rPr>
                <w:b/>
                <w:szCs w:val="24"/>
                <w:lang w:eastAsia="en-US"/>
              </w:rPr>
              <w:t>n</w:t>
            </w:r>
            <w:r w:rsidRPr="00191CC4">
              <w:rPr>
                <w:b/>
                <w:szCs w:val="24"/>
                <w:lang w:eastAsia="en-US"/>
              </w:rPr>
              <w:t>r.</w:t>
            </w:r>
          </w:p>
        </w:tc>
        <w:tc>
          <w:tcPr>
            <w:tcW w:w="4570"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536"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4F4CB6">
        <w:tc>
          <w:tcPr>
            <w:tcW w:w="812"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570"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536" w:type="dxa"/>
          </w:tcPr>
          <w:p w14:paraId="61B62C04" w14:textId="77777777" w:rsidR="004F4CB6" w:rsidRPr="00195E11" w:rsidRDefault="004F4CB6" w:rsidP="00AE4B48">
            <w:pPr>
              <w:jc w:val="both"/>
              <w:rPr>
                <w:szCs w:val="24"/>
                <w:lang w:eastAsia="en-US"/>
              </w:rPr>
            </w:pPr>
            <w:r w:rsidRPr="00195E11">
              <w:rPr>
                <w:szCs w:val="24"/>
              </w:rPr>
              <w:t>Tiekėjo deklaracija</w:t>
            </w:r>
          </w:p>
        </w:tc>
      </w:tr>
    </w:tbl>
    <w:p w14:paraId="28CDB5E0" w14:textId="77777777" w:rsidR="004F4CB6" w:rsidRPr="00191CC4" w:rsidRDefault="004F4CB6" w:rsidP="004F4CB6">
      <w:pPr>
        <w:spacing w:after="0" w:line="240" w:lineRule="auto"/>
        <w:ind w:left="360"/>
        <w:rPr>
          <w:rFonts w:eastAsia="Times New Roman" w:cs="Times New Roman"/>
          <w:szCs w:val="24"/>
          <w:lang w:eastAsia="en-US"/>
        </w:rPr>
      </w:pPr>
    </w:p>
    <w:p w14:paraId="714BF91E" w14:textId="77777777" w:rsidR="00754107" w:rsidRDefault="00754107" w:rsidP="00754107">
      <w:pPr>
        <w:pStyle w:val="Pagrindinistekstas"/>
        <w:keepNext w:val="0"/>
        <w:numPr>
          <w:ilvl w:val="0"/>
          <w:numId w:val="27"/>
        </w:numPr>
        <w:suppressAutoHyphens w:val="0"/>
        <w:spacing w:before="0" w:after="0"/>
        <w:rPr>
          <w:bCs/>
          <w:sz w:val="24"/>
          <w:szCs w:val="24"/>
        </w:rPr>
      </w:pPr>
      <w:r>
        <w:rPr>
          <w:rFonts w:eastAsiaTheme="minorHAnsi"/>
          <w:sz w:val="24"/>
          <w:szCs w:val="24"/>
        </w:rPr>
        <w:t xml:space="preserve">Tiekėjų </w:t>
      </w:r>
      <w:r>
        <w:rPr>
          <w:bCs/>
          <w:sz w:val="24"/>
          <w:szCs w:val="24"/>
        </w:rPr>
        <w:t>kvalifikacijos reikalavimai bei reikalaujami dokumentai ir informacija, patvirtinantys šiuos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78"/>
        <w:gridCol w:w="4678"/>
      </w:tblGrid>
      <w:tr w:rsidR="00754107" w14:paraId="28A9CBBC" w14:textId="77777777" w:rsidTr="004F2FD1">
        <w:trPr>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0AA0D72F" w14:textId="77777777" w:rsidR="00754107" w:rsidRDefault="00754107" w:rsidP="004F2FD1">
            <w:pPr>
              <w:pStyle w:val="Pagrindinistekstas"/>
              <w:spacing w:line="256" w:lineRule="auto"/>
              <w:ind w:left="29" w:hanging="29"/>
              <w:jc w:val="center"/>
              <w:rPr>
                <w:b/>
                <w:sz w:val="24"/>
                <w:szCs w:val="24"/>
              </w:rPr>
            </w:pPr>
            <w:r>
              <w:rPr>
                <w:b/>
                <w:sz w:val="24"/>
                <w:szCs w:val="24"/>
              </w:rPr>
              <w:t>Eil. nr.</w:t>
            </w:r>
          </w:p>
        </w:tc>
        <w:tc>
          <w:tcPr>
            <w:tcW w:w="3978" w:type="dxa"/>
            <w:tcBorders>
              <w:top w:val="single" w:sz="4" w:space="0" w:color="auto"/>
              <w:left w:val="single" w:sz="4" w:space="0" w:color="auto"/>
              <w:bottom w:val="single" w:sz="4" w:space="0" w:color="auto"/>
              <w:right w:val="single" w:sz="4" w:space="0" w:color="auto"/>
            </w:tcBorders>
            <w:vAlign w:val="center"/>
            <w:hideMark/>
          </w:tcPr>
          <w:p w14:paraId="576BCD1C" w14:textId="77777777" w:rsidR="00754107" w:rsidRDefault="00754107" w:rsidP="004F2FD1">
            <w:pPr>
              <w:pStyle w:val="Pagrindinistekstas"/>
              <w:spacing w:line="256" w:lineRule="auto"/>
              <w:ind w:left="2"/>
              <w:jc w:val="center"/>
              <w:rPr>
                <w:b/>
                <w:sz w:val="24"/>
                <w:szCs w:val="24"/>
              </w:rPr>
            </w:pPr>
            <w:r>
              <w:rPr>
                <w:b/>
                <w:sz w:val="24"/>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DA89D5C" w14:textId="77777777" w:rsidR="00754107" w:rsidRDefault="00754107" w:rsidP="004F2FD1">
            <w:pPr>
              <w:pStyle w:val="Pagrindinistekstas"/>
              <w:spacing w:line="256" w:lineRule="auto"/>
              <w:ind w:left="71"/>
              <w:jc w:val="center"/>
              <w:rPr>
                <w:b/>
                <w:sz w:val="24"/>
                <w:szCs w:val="24"/>
              </w:rPr>
            </w:pPr>
            <w:r>
              <w:rPr>
                <w:b/>
                <w:sz w:val="24"/>
                <w:szCs w:val="24"/>
              </w:rPr>
              <w:t>Dokumentai ir informacija, kuriuos turi pateikti tiekėjai, siekiantys įrodyti, kad jų kvalifikacija atitinka keliamus reikalavimus</w:t>
            </w:r>
          </w:p>
        </w:tc>
      </w:tr>
      <w:tr w:rsidR="00754107" w14:paraId="747E2135" w14:textId="77777777" w:rsidTr="004F2FD1">
        <w:trPr>
          <w:trHeight w:val="677"/>
        </w:trPr>
        <w:tc>
          <w:tcPr>
            <w:tcW w:w="9776" w:type="dxa"/>
            <w:gridSpan w:val="3"/>
            <w:tcBorders>
              <w:top w:val="single" w:sz="4" w:space="0" w:color="auto"/>
              <w:left w:val="single" w:sz="4" w:space="0" w:color="auto"/>
              <w:bottom w:val="single" w:sz="4" w:space="0" w:color="auto"/>
              <w:right w:val="single" w:sz="4" w:space="0" w:color="auto"/>
            </w:tcBorders>
            <w:hideMark/>
          </w:tcPr>
          <w:p w14:paraId="2C3E7E40" w14:textId="77777777" w:rsidR="00754107" w:rsidRDefault="00754107" w:rsidP="00BE6FD0">
            <w:pPr>
              <w:pStyle w:val="Pagrindinistekstas"/>
              <w:spacing w:line="256" w:lineRule="auto"/>
              <w:ind w:left="0"/>
              <w:rPr>
                <w:rStyle w:val="normaltextrun"/>
                <w:rFonts w:eastAsia="Calibri"/>
                <w:shd w:val="clear" w:color="auto" w:fill="FFFFFF"/>
              </w:rPr>
            </w:pPr>
            <w:r>
              <w:rPr>
                <w:rStyle w:val="normaltextrun"/>
                <w:rFonts w:eastAsia="Calibri"/>
                <w:sz w:val="24"/>
                <w:szCs w:val="24"/>
                <w:shd w:val="clear" w:color="auto" w:fill="FFFFFF"/>
              </w:rPr>
              <w:t>Techninis ir profesinis pajėgumas</w:t>
            </w:r>
          </w:p>
        </w:tc>
      </w:tr>
      <w:tr w:rsidR="00035098" w14:paraId="5BEF00B8" w14:textId="77777777" w:rsidTr="0027581B">
        <w:trPr>
          <w:trHeight w:val="2578"/>
        </w:trPr>
        <w:tc>
          <w:tcPr>
            <w:tcW w:w="1120" w:type="dxa"/>
            <w:tcBorders>
              <w:top w:val="single" w:sz="4" w:space="0" w:color="auto"/>
              <w:left w:val="single" w:sz="4" w:space="0" w:color="auto"/>
              <w:right w:val="single" w:sz="4" w:space="0" w:color="auto"/>
            </w:tcBorders>
            <w:hideMark/>
          </w:tcPr>
          <w:p w14:paraId="25CCE4CB" w14:textId="3536A638" w:rsidR="00035098" w:rsidRDefault="00035098" w:rsidP="00BE6FD0">
            <w:pPr>
              <w:spacing w:line="240" w:lineRule="auto"/>
              <w:jc w:val="center"/>
            </w:pPr>
            <w:r>
              <w:rPr>
                <w:szCs w:val="24"/>
                <w:lang w:val="en-US"/>
              </w:rPr>
              <w:t>2</w:t>
            </w:r>
            <w:r>
              <w:rPr>
                <w:szCs w:val="24"/>
              </w:rPr>
              <w:t>.</w:t>
            </w:r>
            <w:r>
              <w:rPr>
                <w:lang w:val="en-US"/>
              </w:rPr>
              <w:t>1</w:t>
            </w:r>
            <w:r>
              <w:rPr>
                <w:szCs w:val="24"/>
              </w:rPr>
              <w:t>.</w:t>
            </w:r>
          </w:p>
        </w:tc>
        <w:tc>
          <w:tcPr>
            <w:tcW w:w="3978" w:type="dxa"/>
            <w:tcBorders>
              <w:top w:val="single" w:sz="4" w:space="0" w:color="auto"/>
              <w:left w:val="single" w:sz="4" w:space="0" w:color="auto"/>
              <w:right w:val="single" w:sz="4" w:space="0" w:color="auto"/>
            </w:tcBorders>
          </w:tcPr>
          <w:p w14:paraId="709D8B95" w14:textId="6B0ABF78" w:rsidR="00035098" w:rsidRDefault="00035098" w:rsidP="00035098">
            <w:pPr>
              <w:pStyle w:val="paragraph"/>
              <w:spacing w:before="0" w:beforeAutospacing="0" w:after="0" w:afterAutospacing="0" w:line="256" w:lineRule="auto"/>
              <w:jc w:val="both"/>
              <w:textAlignment w:val="baseline"/>
              <w:rPr>
                <w:i/>
              </w:rPr>
            </w:pPr>
            <w:r>
              <w:rPr>
                <w:rStyle w:val="normaltextrun"/>
                <w:rFonts w:eastAsia="Calibri"/>
                <w:lang w:eastAsia="en-US"/>
              </w:rPr>
              <w:t xml:space="preserve">Bent 1 (vieną) specialistą, kuris laimėjimo atveju vykdys pirkimo sutartį, atitinkantį visus šiuos reikalavimus: </w:t>
            </w:r>
            <w:r>
              <w:rPr>
                <w:rStyle w:val="eop"/>
                <w:rFonts w:eastAsia="Calibri"/>
                <w:lang w:eastAsia="en-US"/>
              </w:rPr>
              <w:t>t</w:t>
            </w:r>
            <w:r>
              <w:rPr>
                <w:rStyle w:val="normaltextrun"/>
                <w:rFonts w:eastAsia="Calibri"/>
                <w:lang w:eastAsia="en-US"/>
              </w:rPr>
              <w:t xml:space="preserve">uri teisę eiti </w:t>
            </w:r>
            <w:r>
              <w:rPr>
                <w:rStyle w:val="normaltextrun"/>
                <w:rFonts w:eastAsia="Calibri"/>
                <w:bCs/>
                <w:lang w:eastAsia="en-US"/>
              </w:rPr>
              <w:t>ypatingo</w:t>
            </w:r>
            <w:r>
              <w:rPr>
                <w:rStyle w:val="normaltextrun"/>
                <w:rFonts w:eastAsia="Calibri"/>
                <w:lang w:eastAsia="en-US"/>
              </w:rPr>
              <w:t xml:space="preserve"> </w:t>
            </w:r>
            <w:r>
              <w:rPr>
                <w:rStyle w:val="normaltextrun"/>
                <w:rFonts w:eastAsia="Calibri"/>
                <w:bCs/>
                <w:lang w:eastAsia="en-US"/>
              </w:rPr>
              <w:t xml:space="preserve">statinio statybos vadovo </w:t>
            </w:r>
            <w:r>
              <w:rPr>
                <w:rStyle w:val="normaltextrun"/>
                <w:rFonts w:eastAsia="Calibri"/>
                <w:lang w:eastAsia="en-US"/>
              </w:rPr>
              <w:t>pareigas.</w:t>
            </w:r>
            <w:r>
              <w:rPr>
                <w:rStyle w:val="eop"/>
                <w:rFonts w:eastAsia="Calibri"/>
                <w:lang w:eastAsia="en-US"/>
              </w:rPr>
              <w:t> </w:t>
            </w:r>
            <w:r>
              <w:rPr>
                <w:rStyle w:val="normaltextrun"/>
              </w:rPr>
              <w:t xml:space="preserve">Statiniai - </w:t>
            </w:r>
            <w:r>
              <w:rPr>
                <w:iCs/>
                <w:spacing w:val="2"/>
              </w:rPr>
              <w:t>negyvenamieji pastatai (kultūros paskirties)</w:t>
            </w:r>
            <w:r w:rsidRPr="00E15989">
              <w:rPr>
                <w:rStyle w:val="normaltextrun"/>
                <w:shd w:val="clear" w:color="auto" w:fill="FFFFFF"/>
              </w:rPr>
              <w:t>.</w:t>
            </w:r>
            <w:r w:rsidRPr="00E15989">
              <w:rPr>
                <w:rStyle w:val="eop"/>
                <w:shd w:val="clear" w:color="auto" w:fill="FFFFFF"/>
              </w:rPr>
              <w:t> </w:t>
            </w:r>
          </w:p>
          <w:p w14:paraId="6700B582" w14:textId="77777777" w:rsidR="00035098" w:rsidRDefault="00035098" w:rsidP="004F2FD1">
            <w:pPr>
              <w:autoSpaceDE w:val="0"/>
              <w:autoSpaceDN w:val="0"/>
              <w:ind w:firstLine="7"/>
              <w:jc w:val="both"/>
              <w:rPr>
                <w:rFonts w:cs="Times New Roman"/>
                <w:szCs w:val="24"/>
              </w:rPr>
            </w:pPr>
          </w:p>
        </w:tc>
        <w:tc>
          <w:tcPr>
            <w:tcW w:w="4678" w:type="dxa"/>
            <w:vMerge w:val="restart"/>
            <w:tcBorders>
              <w:top w:val="single" w:sz="4" w:space="0" w:color="auto"/>
              <w:left w:val="single" w:sz="4" w:space="0" w:color="auto"/>
              <w:bottom w:val="single" w:sz="4" w:space="0" w:color="auto"/>
              <w:right w:val="single" w:sz="4" w:space="0" w:color="auto"/>
            </w:tcBorders>
            <w:hideMark/>
          </w:tcPr>
          <w:p w14:paraId="21402919" w14:textId="46C410A0" w:rsidR="00035098" w:rsidRDefault="00035098" w:rsidP="004F2FD1">
            <w:pPr>
              <w:pStyle w:val="paragraph"/>
              <w:tabs>
                <w:tab w:val="left" w:pos="677"/>
              </w:tabs>
              <w:spacing w:before="0" w:beforeAutospacing="0" w:after="0" w:afterAutospacing="0" w:line="256" w:lineRule="auto"/>
              <w:jc w:val="both"/>
              <w:textAlignment w:val="baseline"/>
              <w:rPr>
                <w:lang w:eastAsia="en-US"/>
              </w:rPr>
            </w:pPr>
            <w:r>
              <w:rPr>
                <w:rStyle w:val="normaltextrun"/>
                <w:rFonts w:eastAsia="Calibri"/>
                <w:lang w:eastAsia="en-US"/>
              </w:rPr>
              <w:t>1.</w:t>
            </w:r>
            <w:r>
              <w:rPr>
                <w:lang w:eastAsia="en-US"/>
              </w:rPr>
              <w:tab/>
            </w:r>
            <w:r>
              <w:rPr>
                <w:rStyle w:val="normaltextrun"/>
                <w:rFonts w:eastAsia="Calibri"/>
                <w:lang w:eastAsia="en-US"/>
              </w:rPr>
              <w:t>Tiekėjo ar jo įgalioto asmens parašu patvirtintas specialisto, kuris bus atsakingas už pirkimo sutarties vykdymą, sąrašas, kuriame nurodoma</w:t>
            </w:r>
            <w:r>
              <w:rPr>
                <w:rStyle w:val="normaltextrun"/>
                <w:rFonts w:eastAsia="Calibri"/>
              </w:rPr>
              <w:t>s</w:t>
            </w:r>
            <w:r>
              <w:rPr>
                <w:rStyle w:val="normaltextrun"/>
                <w:rFonts w:eastAsia="Calibri"/>
                <w:lang w:eastAsia="en-US"/>
              </w:rPr>
              <w:t xml:space="preserve"> specialisto vardas, pavardė, jo pareigos, vykdant pirkimo sutartį, specialisto turimi atestatai, išdavusios institucijos pavadinimas, atestato numeris ir galiojimo laikas, kiekvieno specialisto darbų teikimo </w:t>
            </w:r>
            <w:r>
              <w:rPr>
                <w:rStyle w:val="normaltextrun"/>
                <w:rFonts w:eastAsia="Calibri"/>
                <w:lang w:eastAsia="en-US"/>
              </w:rPr>
              <w:lastRenderedPageBreak/>
              <w:t>tiekėjui teisinė forma (darbo sutartis, ketinimų protokolas ar kt.) bei esama (-os) darbovietė (-ės).</w:t>
            </w:r>
            <w:r>
              <w:rPr>
                <w:rStyle w:val="eop"/>
                <w:rFonts w:eastAsia="Calibri"/>
                <w:lang w:eastAsia="en-US"/>
              </w:rPr>
              <w:t> </w:t>
            </w:r>
          </w:p>
          <w:p w14:paraId="35757B00" w14:textId="77777777" w:rsidR="00035098" w:rsidRDefault="00035098" w:rsidP="004F2FD1">
            <w:pPr>
              <w:pStyle w:val="paragraph"/>
              <w:tabs>
                <w:tab w:val="left" w:pos="535"/>
              </w:tabs>
              <w:spacing w:before="0" w:beforeAutospacing="0" w:after="0" w:afterAutospacing="0" w:line="256" w:lineRule="auto"/>
              <w:jc w:val="both"/>
              <w:textAlignment w:val="baseline"/>
              <w:rPr>
                <w:lang w:eastAsia="en-US"/>
              </w:rPr>
            </w:pPr>
            <w:r>
              <w:rPr>
                <w:rStyle w:val="normaltextrun"/>
                <w:rFonts w:eastAsia="Calibri"/>
                <w:lang w:eastAsia="en-US"/>
              </w:rPr>
              <w:t>2.</w:t>
            </w:r>
            <w:r>
              <w:rPr>
                <w:rStyle w:val="tabchar"/>
                <w:lang w:eastAsia="en-US"/>
              </w:rPr>
              <w:tab/>
            </w:r>
            <w:r>
              <w:rPr>
                <w:rStyle w:val="normaltextrun"/>
                <w:rFonts w:eastAsia="Calibri"/>
                <w:lang w:eastAsia="en-US"/>
              </w:rPr>
              <w:t>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subteikėjo darbuotojas).</w:t>
            </w:r>
            <w:r>
              <w:rPr>
                <w:rStyle w:val="eop"/>
                <w:rFonts w:eastAsia="Calibri"/>
                <w:lang w:eastAsia="en-US"/>
              </w:rPr>
              <w:t> </w:t>
            </w:r>
          </w:p>
          <w:p w14:paraId="76FC7D72" w14:textId="29E6DF5A" w:rsidR="00035098" w:rsidRDefault="00035098" w:rsidP="004F2FD1">
            <w:pPr>
              <w:pStyle w:val="paragraph"/>
              <w:tabs>
                <w:tab w:val="left" w:pos="251"/>
              </w:tabs>
              <w:spacing w:before="0" w:beforeAutospacing="0" w:after="0" w:afterAutospacing="0" w:line="256" w:lineRule="auto"/>
              <w:jc w:val="both"/>
              <w:textAlignment w:val="baseline"/>
              <w:rPr>
                <w:lang w:eastAsia="en-US"/>
              </w:rPr>
            </w:pPr>
            <w:r>
              <w:rPr>
                <w:rStyle w:val="normaltextrun"/>
                <w:rFonts w:eastAsia="Calibri"/>
                <w:lang w:eastAsia="en-US"/>
              </w:rPr>
              <w:t>3.</w:t>
            </w:r>
            <w:r>
              <w:rPr>
                <w:rStyle w:val="tabchar"/>
                <w:lang w:eastAsia="en-US"/>
              </w:rPr>
              <w:tab/>
            </w:r>
            <w:r>
              <w:rPr>
                <w:rStyle w:val="normaltextrun"/>
                <w:rFonts w:eastAsia="Calibri"/>
              </w:rPr>
              <w:t>S</w:t>
            </w:r>
            <w:r>
              <w:rPr>
                <w:rStyle w:val="normaltextrun"/>
                <w:rFonts w:eastAsia="Calibri"/>
                <w:lang w:eastAsia="en-US"/>
              </w:rPr>
              <w:t>pecialisto kvalifikaciją pagrindžiantys dokumentai pagal kiekvieną šio punkto papunktį:</w:t>
            </w:r>
            <w:r>
              <w:rPr>
                <w:rStyle w:val="eop"/>
                <w:rFonts w:eastAsia="Calibri"/>
                <w:lang w:eastAsia="en-US"/>
              </w:rPr>
              <w:t> </w:t>
            </w:r>
          </w:p>
          <w:p w14:paraId="4F65856F" w14:textId="77777777" w:rsidR="00035098" w:rsidRDefault="00035098" w:rsidP="004F2FD1">
            <w:pPr>
              <w:pStyle w:val="paragraph"/>
              <w:spacing w:before="0" w:beforeAutospacing="0" w:after="0" w:afterAutospacing="0" w:line="256" w:lineRule="auto"/>
              <w:jc w:val="both"/>
              <w:textAlignment w:val="baseline"/>
              <w:rPr>
                <w:lang w:eastAsia="en-US"/>
              </w:rPr>
            </w:pPr>
            <w:r>
              <w:rPr>
                <w:rStyle w:val="normaltextrun"/>
                <w:rFonts w:eastAsia="Calibri"/>
                <w:lang w:eastAsia="en-US"/>
              </w:rPr>
              <w:t>Lietuvos Respublikos aplinkos ministerijos, VĮ “Statybos sektoriaus vystymo agentūra“, Lietuvos architektų rūmai ir (ar)</w:t>
            </w:r>
            <w:r>
              <w:rPr>
                <w:lang w:eastAsia="en-US"/>
              </w:rPr>
              <w:t xml:space="preserve"> </w:t>
            </w:r>
            <w:r>
              <w:rPr>
                <w:rStyle w:val="normaltextrun"/>
                <w:rFonts w:eastAsia="Calibri"/>
                <w:lang w:eastAsia="en-US"/>
              </w:rPr>
              <w:t>Lietuvos Respublikos kultūros ministerija tiekėjo siūlomam specialistui išduoto kvalifikacijos atestato arba, jeigu specialistas yra iš užsienio valstybės (tiekėjas registruotas Europos Sąjungos valstybėje narėje, Europos ekonominės erdvės valstybėje narėje, Šveicarijos Konfederacijoje arba trečiojoje šalyje), Teisės pripažinimo dokumento*, suteikiančio teisę  užsiimti su pirkimo objektu susijusia veikla, patvirtinta kopija;</w:t>
            </w:r>
          </w:p>
          <w:p w14:paraId="04BCD975" w14:textId="77777777" w:rsidR="00035098" w:rsidRDefault="00035098" w:rsidP="004F2FD1">
            <w:pPr>
              <w:pStyle w:val="Pagrindinistekstas"/>
              <w:tabs>
                <w:tab w:val="left" w:pos="321"/>
              </w:tabs>
              <w:spacing w:line="256" w:lineRule="auto"/>
              <w:ind w:left="17" w:hanging="17"/>
              <w:rPr>
                <w:szCs w:val="24"/>
              </w:rPr>
            </w:pPr>
            <w:r>
              <w:rPr>
                <w:rStyle w:val="normaltextrun"/>
                <w:rFonts w:eastAsia="Calibri"/>
                <w:szCs w:val="24"/>
              </w:rPr>
              <w:t xml:space="preserve">*Vietoj Teisės pripažinimo dokumento užsienio valstybės specialistas gali pateikti tiekėjo kilmės šalies kompetentingų institucijų išduotus dokumentus dėl teisės užsiimti su pirkimo objektu susijusia veikla ir VĮ „Statybos sektoriaus vystymo agentūra“ pateikto prašymo (su gavimo žyma, prašymo formą galima rasti </w:t>
            </w:r>
            <w:hyperlink r:id="rId11" w:history="1">
              <w:r>
                <w:rPr>
                  <w:rStyle w:val="normaltextrun"/>
                  <w:rFonts w:eastAsia="Calibri"/>
                  <w:color w:val="0070C0"/>
                  <w:szCs w:val="24"/>
                  <w:u w:val="single"/>
                </w:rPr>
                <w:t>https://www.ssva.lt/cms/registrai</w:t>
              </w:r>
            </w:hyperlink>
            <w:r>
              <w:rPr>
                <w:rStyle w:val="normaltextrun"/>
                <w:rFonts w:eastAsia="Calibri"/>
                <w:color w:val="0070C0"/>
                <w:szCs w:val="24"/>
                <w:u w:val="single"/>
              </w:rPr>
              <w:t>; https://lrkm.lrv.lt/lt/veiklos-sritys/kulturos-paveldo-specialistu-atestavimas-1/nekilnojamojo-kulturos-paveldo-apsaugos-specialistu-atestavimas-1/atestavimo-rezultatai-3 ;</w:t>
            </w:r>
            <w:r>
              <w:rPr>
                <w:szCs w:val="24"/>
              </w:rPr>
              <w:t xml:space="preserve"> </w:t>
            </w:r>
            <w:r>
              <w:rPr>
                <w:rStyle w:val="normaltextrun"/>
                <w:rFonts w:eastAsia="Calibri"/>
                <w:color w:val="0070C0"/>
                <w:szCs w:val="24"/>
                <w:u w:val="single"/>
              </w:rPr>
              <w:t>https://www.architekturumai.lt/atestavimas/</w:t>
            </w:r>
            <w:r>
              <w:rPr>
                <w:rStyle w:val="normaltextrun"/>
                <w:rFonts w:eastAsia="Calibri"/>
                <w:color w:val="0070C0"/>
                <w:szCs w:val="24"/>
              </w:rPr>
              <w:t>)</w:t>
            </w:r>
            <w:r>
              <w:rPr>
                <w:rStyle w:val="normaltextrun"/>
                <w:rFonts w:eastAsia="Calibri"/>
                <w:szCs w:val="24"/>
              </w:rPr>
              <w:t xml:space="preserve"> išduoti Teisės pripažinimo dokumentą patvirtintą kopiją. Tačiau iki sutarties pasirašymo užsienio šalies tiekėjas privalės pateikti specialisto teisės pripažinimo dokumentą.</w:t>
            </w:r>
            <w:r>
              <w:rPr>
                <w:rStyle w:val="eop"/>
                <w:rFonts w:eastAsia="Calibri"/>
                <w:szCs w:val="24"/>
              </w:rPr>
              <w:t> </w:t>
            </w:r>
          </w:p>
        </w:tc>
      </w:tr>
      <w:tr w:rsidR="006E6FA1" w14:paraId="2EF10AC8" w14:textId="77777777" w:rsidTr="001C232A">
        <w:trPr>
          <w:trHeight w:val="5792"/>
        </w:trPr>
        <w:tc>
          <w:tcPr>
            <w:tcW w:w="1120" w:type="dxa"/>
            <w:tcBorders>
              <w:top w:val="single" w:sz="4" w:space="0" w:color="auto"/>
              <w:left w:val="single" w:sz="4" w:space="0" w:color="auto"/>
              <w:right w:val="single" w:sz="4" w:space="0" w:color="auto"/>
            </w:tcBorders>
            <w:hideMark/>
          </w:tcPr>
          <w:p w14:paraId="65C7BF3D" w14:textId="19134648" w:rsidR="006E6FA1" w:rsidRDefault="006E6FA1" w:rsidP="004F2FD1">
            <w:pPr>
              <w:jc w:val="center"/>
              <w:rPr>
                <w:szCs w:val="24"/>
              </w:rPr>
            </w:pPr>
          </w:p>
        </w:tc>
        <w:tc>
          <w:tcPr>
            <w:tcW w:w="3978" w:type="dxa"/>
            <w:tcBorders>
              <w:top w:val="single" w:sz="4" w:space="0" w:color="auto"/>
              <w:left w:val="single" w:sz="4" w:space="0" w:color="auto"/>
              <w:right w:val="single" w:sz="4" w:space="0" w:color="auto"/>
            </w:tcBorders>
          </w:tcPr>
          <w:p w14:paraId="78A75411" w14:textId="77777777" w:rsidR="006E6FA1" w:rsidRDefault="006E6FA1" w:rsidP="004F2FD1">
            <w:pPr>
              <w:pStyle w:val="paragraph"/>
              <w:spacing w:before="0" w:beforeAutospacing="0" w:after="0" w:afterAutospacing="0" w:line="256" w:lineRule="auto"/>
              <w:jc w:val="both"/>
              <w:textAlignment w:val="baseline"/>
              <w:rPr>
                <w:rStyle w:val="normaltextrun"/>
                <w:rFonts w:eastAsia="Calibri"/>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6511074" w14:textId="77777777" w:rsidR="006E6FA1" w:rsidRDefault="006E6FA1" w:rsidP="004F2FD1">
            <w:pPr>
              <w:suppressAutoHyphens w:val="0"/>
              <w:spacing w:after="0" w:line="256" w:lineRule="auto"/>
              <w:rPr>
                <w:rFonts w:eastAsia="Times New Roman" w:cs="Times New Roman"/>
                <w:sz w:val="20"/>
                <w:szCs w:val="24"/>
                <w:lang w:val="x-none"/>
              </w:rPr>
            </w:pPr>
          </w:p>
        </w:tc>
      </w:tr>
    </w:tbl>
    <w:p w14:paraId="7EFB4687" w14:textId="77777777" w:rsidR="00754107" w:rsidRPr="006E6FA1" w:rsidRDefault="00754107" w:rsidP="006E6FA1">
      <w:pPr>
        <w:tabs>
          <w:tab w:val="left" w:pos="360"/>
        </w:tabs>
        <w:suppressAutoHyphens w:val="0"/>
        <w:spacing w:after="0" w:line="240" w:lineRule="auto"/>
        <w:jc w:val="both"/>
        <w:rPr>
          <w:rFonts w:eastAsia="Times New Roman" w:cs="Times New Roman"/>
          <w:szCs w:val="24"/>
          <w:lang w:eastAsia="en-US"/>
        </w:rPr>
      </w:pPr>
    </w:p>
    <w:p w14:paraId="2A2C45D8" w14:textId="77777777" w:rsidR="00277030" w:rsidRDefault="004F4CB6" w:rsidP="00277030">
      <w:pPr>
        <w:pStyle w:val="Sraopastraipa"/>
        <w:numPr>
          <w:ilvl w:val="0"/>
          <w:numId w:val="27"/>
        </w:numPr>
        <w:tabs>
          <w:tab w:val="left" w:pos="360"/>
        </w:tabs>
        <w:suppressAutoHyphens w:val="0"/>
        <w:spacing w:after="0" w:line="240" w:lineRule="auto"/>
        <w:ind w:left="0" w:firstLine="851"/>
        <w:jc w:val="both"/>
        <w:rPr>
          <w:rFonts w:eastAsia="Times New Roman" w:cs="Times New Roman"/>
          <w:szCs w:val="24"/>
          <w:lang w:eastAsia="en-US"/>
        </w:rPr>
      </w:pPr>
      <w:r w:rsidRPr="00CB56D6">
        <w:rPr>
          <w:rFonts w:eastAsia="Times New Roman" w:cs="Times New Roman"/>
          <w:szCs w:val="24"/>
          <w:lang w:eastAsia="en-US"/>
        </w:rPr>
        <w:t xml:space="preserve">Perkančioji organizacija šiame pirkime nereikalauja, kad tiekėjai laikytųsi kokybės vadybos </w:t>
      </w:r>
      <w:r w:rsidR="00035098">
        <w:rPr>
          <w:rFonts w:eastAsia="Times New Roman" w:cs="Times New Roman"/>
          <w:szCs w:val="24"/>
          <w:lang w:eastAsia="en-US"/>
        </w:rPr>
        <w:t xml:space="preserve">ir </w:t>
      </w:r>
      <w:r w:rsidR="00035098" w:rsidRPr="00CB56D6">
        <w:rPr>
          <w:rFonts w:eastAsia="Times New Roman" w:cs="Times New Roman"/>
          <w:szCs w:val="24"/>
          <w:lang w:eastAsia="en-US"/>
        </w:rPr>
        <w:t xml:space="preserve">aplinkos apsaugos vadybos </w:t>
      </w:r>
      <w:r w:rsidRPr="00CB56D6">
        <w:rPr>
          <w:rFonts w:eastAsia="Times New Roman" w:cs="Times New Roman"/>
          <w:szCs w:val="24"/>
          <w:lang w:eastAsia="en-US"/>
        </w:rPr>
        <w:t xml:space="preserve">sistemos. </w:t>
      </w:r>
    </w:p>
    <w:p w14:paraId="3C09B1B6" w14:textId="2014B49E" w:rsidR="00277030" w:rsidRPr="00277030" w:rsidRDefault="00277030" w:rsidP="00277030">
      <w:pPr>
        <w:pStyle w:val="Sraopastraipa"/>
        <w:numPr>
          <w:ilvl w:val="0"/>
          <w:numId w:val="27"/>
        </w:numPr>
        <w:tabs>
          <w:tab w:val="left" w:pos="360"/>
        </w:tabs>
        <w:suppressAutoHyphens w:val="0"/>
        <w:spacing w:after="0" w:line="240" w:lineRule="auto"/>
        <w:ind w:left="0" w:firstLine="851"/>
        <w:jc w:val="both"/>
        <w:rPr>
          <w:rFonts w:eastAsia="Times New Roman" w:cs="Times New Roman"/>
          <w:szCs w:val="24"/>
          <w:lang w:eastAsia="en-US"/>
        </w:rPr>
      </w:pPr>
      <w:r w:rsidRPr="00277030">
        <w:rPr>
          <w:rFonts w:cs="Times New Roman"/>
          <w:szCs w:val="24"/>
        </w:rPr>
        <w:lastRenderedPageBreak/>
        <w:t xml:space="preserve">Tuo atveju, jeigu </w:t>
      </w:r>
      <w:r>
        <w:rPr>
          <w:rFonts w:cs="Times New Roman"/>
          <w:szCs w:val="24"/>
        </w:rPr>
        <w:t>Tiekėjo</w:t>
      </w:r>
      <w:r w:rsidRPr="00277030">
        <w:rPr>
          <w:rFonts w:cs="Times New Roman"/>
          <w:szCs w:val="24"/>
        </w:rPr>
        <w:t xml:space="preserve"> kvalifikacija dėl teisės verstis atitinkama veikla nebuvo tikrinama arba tikrinama ne visa apimtimi, </w:t>
      </w:r>
      <w:r>
        <w:rPr>
          <w:rFonts w:cs="Times New Roman"/>
          <w:szCs w:val="24"/>
        </w:rPr>
        <w:t>Tiekėjas Perkančiajai organizacijai</w:t>
      </w:r>
      <w:r w:rsidRPr="00277030">
        <w:rPr>
          <w:rFonts w:cs="Times New Roman"/>
          <w:szCs w:val="24"/>
        </w:rPr>
        <w:t xml:space="preserve"> įsipareigoja, kad Sutartį vykdys tik tokią teisę turintys asmenys.</w:t>
      </w:r>
    </w:p>
    <w:p w14:paraId="5B5B617A" w14:textId="77777777" w:rsidR="00035098" w:rsidRDefault="00035098" w:rsidP="00035098">
      <w:pPr>
        <w:tabs>
          <w:tab w:val="left" w:pos="360"/>
        </w:tabs>
        <w:suppressAutoHyphens w:val="0"/>
        <w:spacing w:after="0" w:line="240" w:lineRule="auto"/>
        <w:jc w:val="both"/>
        <w:rPr>
          <w:rFonts w:eastAsia="Times New Roman" w:cs="Times New Roman"/>
          <w:szCs w:val="24"/>
          <w:lang w:eastAsia="en-US"/>
        </w:rPr>
      </w:pP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0"/>
    </w:p>
    <w:sectPr w:rsidR="00EF369A" w:rsidRPr="00CB56D6"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3CAD" w14:textId="77777777" w:rsidR="000E5B28" w:rsidRDefault="000E5B28" w:rsidP="009704AF">
      <w:pPr>
        <w:spacing w:after="0" w:line="240" w:lineRule="auto"/>
      </w:pPr>
      <w:r>
        <w:separator/>
      </w:r>
    </w:p>
  </w:endnote>
  <w:endnote w:type="continuationSeparator" w:id="0">
    <w:p w14:paraId="4F151969" w14:textId="77777777" w:rsidR="000E5B28" w:rsidRDefault="000E5B28"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F5E2" w14:textId="77777777" w:rsidR="000E5B28" w:rsidRDefault="000E5B28" w:rsidP="009704AF">
      <w:pPr>
        <w:spacing w:after="0" w:line="240" w:lineRule="auto"/>
      </w:pPr>
      <w:r>
        <w:separator/>
      </w:r>
    </w:p>
  </w:footnote>
  <w:footnote w:type="continuationSeparator" w:id="0">
    <w:p w14:paraId="1FB41F56" w14:textId="77777777" w:rsidR="000E5B28" w:rsidRDefault="000E5B28"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23"/>
  </w:num>
  <w:num w:numId="5">
    <w:abstractNumId w:val="20"/>
  </w:num>
  <w:num w:numId="6">
    <w:abstractNumId w:val="6"/>
  </w:num>
  <w:num w:numId="7">
    <w:abstractNumId w:val="2"/>
  </w:num>
  <w:num w:numId="8">
    <w:abstractNumId w:val="3"/>
  </w:num>
  <w:num w:numId="9">
    <w:abstractNumId w:val="24"/>
  </w:num>
  <w:num w:numId="10">
    <w:abstractNumId w:val="13"/>
  </w:num>
  <w:num w:numId="11">
    <w:abstractNumId w:val="25"/>
  </w:num>
  <w:num w:numId="12">
    <w:abstractNumId w:val="21"/>
  </w:num>
  <w:num w:numId="13">
    <w:abstractNumId w:val="11"/>
  </w:num>
  <w:num w:numId="14">
    <w:abstractNumId w:val="19"/>
  </w:num>
  <w:num w:numId="15">
    <w:abstractNumId w:val="26"/>
  </w:num>
  <w:num w:numId="16">
    <w:abstractNumId w:val="9"/>
  </w:num>
  <w:num w:numId="17">
    <w:abstractNumId w:val="18"/>
  </w:num>
  <w:num w:numId="18">
    <w:abstractNumId w:val="16"/>
  </w:num>
  <w:num w:numId="19">
    <w:abstractNumId w:val="14"/>
  </w:num>
  <w:num w:numId="20">
    <w:abstractNumId w:val="1"/>
  </w:num>
  <w:num w:numId="21">
    <w:abstractNumId w:val="8"/>
  </w:num>
  <w:num w:numId="22">
    <w:abstractNumId w:val="17"/>
  </w:num>
  <w:num w:numId="23">
    <w:abstractNumId w:val="10"/>
  </w:num>
  <w:num w:numId="24">
    <w:abstractNumId w:val="7"/>
  </w:num>
  <w:num w:numId="25">
    <w:abstractNumId w:val="4"/>
  </w:num>
  <w:num w:numId="26">
    <w:abstractNumId w:val="15"/>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509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030"/>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75CD9"/>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867"/>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E6FD0"/>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803542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Props1.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1C6D2-2D9A-4F72-A529-987A2D7B3984}">
  <ds:schemaRefs>
    <ds:schemaRef ds:uri="http://schemas.microsoft.com/sharepoint/v3/contenttype/forms"/>
  </ds:schemaRefs>
</ds:datastoreItem>
</file>

<file path=customXml/itemProps3.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4.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2738</Words>
  <Characters>1562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cp:revision>
  <cp:lastPrinted>2020-06-16T06:01:00Z</cp:lastPrinted>
  <dcterms:created xsi:type="dcterms:W3CDTF">2025-06-19T15:26:00Z</dcterms:created>
  <dcterms:modified xsi:type="dcterms:W3CDTF">2025-06-19T15:37:00Z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