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693A2E16"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C57ED4">
        <w:rPr>
          <w:rFonts w:eastAsia="Times New Roman"/>
          <w:color w:val="000000" w:themeColor="text1"/>
          <w:szCs w:val="24"/>
          <w:lang w:val="fi-FI" w:eastAsia="lt-LT"/>
        </w:rPr>
        <w:t>5</w:t>
      </w:r>
      <w:r>
        <w:rPr>
          <w:rFonts w:eastAsia="Times New Roman"/>
          <w:color w:val="000000" w:themeColor="text1"/>
          <w:szCs w:val="24"/>
          <w:lang w:eastAsia="lt-LT"/>
        </w:rPr>
        <w:t xml:space="preserve"> m. </w:t>
      </w:r>
      <w:r w:rsidR="008866FB">
        <w:rPr>
          <w:rFonts w:eastAsia="Times New Roman"/>
          <w:color w:val="000000" w:themeColor="text1"/>
          <w:szCs w:val="24"/>
          <w:lang w:eastAsia="lt-LT"/>
        </w:rPr>
        <w:t>birželio</w:t>
      </w:r>
      <w:r w:rsidR="00BD7CE6">
        <w:rPr>
          <w:rFonts w:eastAsia="Times New Roman"/>
          <w:color w:val="000000" w:themeColor="text1"/>
          <w:szCs w:val="24"/>
          <w:lang w:eastAsia="lt-LT"/>
        </w:rPr>
        <w:t xml:space="preserve"> 27</w:t>
      </w:r>
      <w:r>
        <w:rPr>
          <w:rFonts w:eastAsia="Times New Roman"/>
          <w:color w:val="000000" w:themeColor="text1"/>
          <w:szCs w:val="24"/>
          <w:lang w:eastAsia="lt-LT"/>
        </w:rPr>
        <w:t xml:space="preserve"> d. </w:t>
      </w:r>
    </w:p>
    <w:p w14:paraId="4351F359" w14:textId="0C1475CF" w:rsidR="000631B2" w:rsidRPr="00344599" w:rsidRDefault="000C7F38"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344599">
        <w:rPr>
          <w:rFonts w:eastAsia="Times New Roman"/>
          <w:color w:val="000000" w:themeColor="text1"/>
          <w:szCs w:val="24"/>
          <w:lang w:eastAsia="lt-LT"/>
        </w:rPr>
        <w:t xml:space="preserve">Viešųjų pirkimų komisijos posėdžio protokolo Nr. </w:t>
      </w:r>
      <w:r w:rsidR="00BD7CE6">
        <w:rPr>
          <w:rFonts w:eastAsia="Times New Roman"/>
          <w:color w:val="000000" w:themeColor="text1"/>
          <w:szCs w:val="24"/>
          <w:lang w:eastAsia="lt-LT"/>
        </w:rPr>
        <w:t>1</w:t>
      </w:r>
      <w:r w:rsidRPr="00344599">
        <w:rPr>
          <w:rFonts w:eastAsia="Times New Roman"/>
          <w:color w:val="000000" w:themeColor="text1"/>
          <w:szCs w:val="24"/>
          <w:lang w:eastAsia="lt-LT"/>
        </w:rPr>
        <w:t xml:space="preserve"> sprendimu</w:t>
      </w:r>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77777777" w:rsidR="000631B2" w:rsidRDefault="000631B2" w:rsidP="002F5AAE">
      <w:pPr>
        <w:tabs>
          <w:tab w:val="left" w:pos="709"/>
        </w:tabs>
        <w:spacing w:after="0"/>
        <w:jc w:val="center"/>
        <w:rPr>
          <w:b/>
          <w:color w:val="222222"/>
          <w:szCs w:val="24"/>
          <w:shd w:val="clear" w:color="auto" w:fill="FFFFFF"/>
          <w:lang w:eastAsia="en-US"/>
        </w:rPr>
      </w:pPr>
    </w:p>
    <w:p w14:paraId="74E115C3" w14:textId="77777777" w:rsidR="000631B2" w:rsidRDefault="000631B2" w:rsidP="002F5AAE">
      <w:pPr>
        <w:tabs>
          <w:tab w:val="left" w:pos="709"/>
        </w:tabs>
        <w:spacing w:after="0"/>
        <w:jc w:val="center"/>
        <w:rPr>
          <w:b/>
          <w:color w:val="222222"/>
          <w:szCs w:val="24"/>
          <w:shd w:val="clear" w:color="auto" w:fill="FFFFFF"/>
        </w:rPr>
      </w:pPr>
    </w:p>
    <w:p w14:paraId="7A0CD0BF" w14:textId="77777777" w:rsidR="000631B2" w:rsidRDefault="000631B2" w:rsidP="002F5AAE">
      <w:pPr>
        <w:tabs>
          <w:tab w:val="left" w:pos="709"/>
        </w:tabs>
        <w:spacing w:after="0"/>
        <w:jc w:val="center"/>
        <w:rPr>
          <w:b/>
          <w:color w:val="222222"/>
          <w:szCs w:val="24"/>
          <w:shd w:val="clear" w:color="auto" w:fill="FFFFFF"/>
        </w:rPr>
      </w:pPr>
      <w:r>
        <w:rPr>
          <w:b/>
          <w:color w:val="222222"/>
          <w:szCs w:val="24"/>
          <w:shd w:val="clear" w:color="auto" w:fill="FFFFFF"/>
        </w:rPr>
        <w:t>VILNIAUS GAONO ŽYDŲ ISTORIJOS MUZIEJUS</w:t>
      </w:r>
    </w:p>
    <w:p w14:paraId="58B139C7" w14:textId="77777777" w:rsidR="000631B2" w:rsidRDefault="000631B2" w:rsidP="002F5AAE">
      <w:pPr>
        <w:tabs>
          <w:tab w:val="left" w:pos="709"/>
        </w:tabs>
        <w:spacing w:after="0"/>
        <w:jc w:val="center"/>
        <w:rPr>
          <w:sz w:val="22"/>
        </w:rPr>
      </w:pPr>
      <w:r>
        <w:t xml:space="preserve">juridinio asmens kodas </w:t>
      </w:r>
      <w:r>
        <w:rPr>
          <w:color w:val="222222"/>
          <w:shd w:val="clear" w:color="auto" w:fill="FFFFFF"/>
        </w:rPr>
        <w:t>190757374</w:t>
      </w:r>
    </w:p>
    <w:p w14:paraId="22027404" w14:textId="77777777" w:rsidR="000631B2" w:rsidRDefault="000631B2" w:rsidP="002F5AAE">
      <w:pPr>
        <w:tabs>
          <w:tab w:val="left" w:pos="709"/>
        </w:tabs>
        <w:spacing w:after="0"/>
        <w:jc w:val="center"/>
      </w:pPr>
      <w:r>
        <w:rPr>
          <w:shd w:val="clear" w:color="auto" w:fill="FFFFFF"/>
        </w:rPr>
        <w:t>Naugarduko g. 10, LT-01309 Vilnius</w:t>
      </w:r>
    </w:p>
    <w:p w14:paraId="5329866F" w14:textId="0BE470E5" w:rsidR="000631B2" w:rsidRDefault="000631B2" w:rsidP="002F5AAE">
      <w:pPr>
        <w:tabs>
          <w:tab w:val="left" w:pos="709"/>
        </w:tabs>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251CB0FA" w:rsidR="007E3AC2" w:rsidRPr="00D04267" w:rsidRDefault="00B100D1" w:rsidP="00DC6707">
      <w:pPr>
        <w:pStyle w:val="Pagrindinistekstas"/>
        <w:spacing w:before="0" w:after="0"/>
        <w:ind w:left="142"/>
        <w:jc w:val="center"/>
        <w:rPr>
          <w:b/>
          <w:szCs w:val="24"/>
        </w:rPr>
      </w:pPr>
      <w:r w:rsidRPr="00D04267">
        <w:rPr>
          <w:b/>
          <w:szCs w:val="24"/>
          <w:lang w:eastAsia="en-US"/>
        </w:rPr>
        <w:t xml:space="preserve">DĖL </w:t>
      </w:r>
      <w:r w:rsidR="00DC6707" w:rsidRPr="000B0543">
        <w:rPr>
          <w:b/>
          <w:bCs/>
          <w:sz w:val="24"/>
          <w:szCs w:val="24"/>
          <w:lang w:eastAsia="lt-LT"/>
        </w:rPr>
        <w:t xml:space="preserve">ŽAKO LIPŠICO MUZIEJUJE </w:t>
      </w:r>
      <w:r w:rsidR="00DC6707" w:rsidRPr="000B0543">
        <w:rPr>
          <w:rFonts w:eastAsia="SimSun"/>
          <w:b/>
          <w:color w:val="000000"/>
          <w:sz w:val="24"/>
          <w:szCs w:val="24"/>
          <w:lang w:eastAsia="zh-CN"/>
        </w:rPr>
        <w:t xml:space="preserve">ŠV. JOKŪBO G. 17, </w:t>
      </w:r>
      <w:r w:rsidR="00DC6707" w:rsidRPr="000B0543">
        <w:rPr>
          <w:b/>
          <w:bCs/>
          <w:sz w:val="24"/>
          <w:szCs w:val="24"/>
          <w:lang w:eastAsia="lt-LT"/>
        </w:rPr>
        <w:t xml:space="preserve">DRUSKININKUOSE NUOLATINĖS EKSPOZICIJOS </w:t>
      </w:r>
      <w:r w:rsidR="008866FB">
        <w:rPr>
          <w:b/>
          <w:bCs/>
          <w:sz w:val="24"/>
          <w:szCs w:val="24"/>
          <w:lang w:val="en-US" w:eastAsia="lt-LT"/>
        </w:rPr>
        <w:t>ROLETŲ</w:t>
      </w:r>
      <w:r w:rsidR="00DC6707">
        <w:rPr>
          <w:b/>
          <w:bCs/>
          <w:sz w:val="24"/>
          <w:szCs w:val="24"/>
          <w:lang w:val="lt-LT" w:eastAsia="lt-LT"/>
        </w:rPr>
        <w:t xml:space="preserve"> </w:t>
      </w:r>
      <w:r w:rsidR="007E3AC2" w:rsidRPr="00DC6707">
        <w:rPr>
          <w:b/>
          <w:sz w:val="24"/>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BD7CE6"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BD7CE6"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BD7CE6"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BD7CE6"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BD7CE6"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BD7CE6"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2F273280" w:rsidR="00C666F9" w:rsidRPr="00596D35" w:rsidRDefault="00596D35" w:rsidP="002F5AAE">
      <w:pPr>
        <w:pStyle w:val="Default"/>
        <w:numPr>
          <w:ilvl w:val="1"/>
          <w:numId w:val="31"/>
        </w:numPr>
        <w:tabs>
          <w:tab w:val="left" w:pos="709"/>
        </w:tabs>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Kvazisubtiekėjas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r w:rsidRPr="000B1062">
        <w:rPr>
          <w:i/>
          <w:iCs/>
          <w:color w:val="000000" w:themeColor="text1"/>
        </w:rPr>
        <w:t xml:space="preserve">ex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(kvazisubtiekėjų),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FDE4" w14:textId="77777777" w:rsidR="00BA0372" w:rsidRDefault="00BA0372" w:rsidP="009704AF">
      <w:pPr>
        <w:spacing w:after="0" w:line="240" w:lineRule="auto"/>
      </w:pPr>
      <w:r>
        <w:separator/>
      </w:r>
    </w:p>
  </w:endnote>
  <w:endnote w:type="continuationSeparator" w:id="0">
    <w:p w14:paraId="72E4C9E7" w14:textId="77777777" w:rsidR="00BA0372" w:rsidRDefault="00BA0372" w:rsidP="009704AF">
      <w:pPr>
        <w:spacing w:after="0" w:line="240" w:lineRule="auto"/>
      </w:pPr>
      <w:r>
        <w:continuationSeparator/>
      </w:r>
    </w:p>
  </w:endnote>
  <w:endnote w:type="continuationNotice" w:id="1">
    <w:p w14:paraId="1E7A54CF" w14:textId="77777777" w:rsidR="00BA0372" w:rsidRDefault="00BA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7CFF" w14:textId="77777777" w:rsidR="00BA0372" w:rsidRDefault="00BA0372" w:rsidP="009704AF">
      <w:pPr>
        <w:spacing w:after="0" w:line="240" w:lineRule="auto"/>
      </w:pPr>
      <w:r>
        <w:separator/>
      </w:r>
    </w:p>
  </w:footnote>
  <w:footnote w:type="continuationSeparator" w:id="0">
    <w:p w14:paraId="58FA112B" w14:textId="77777777" w:rsidR="00BA0372" w:rsidRDefault="00BA0372" w:rsidP="009704AF">
      <w:pPr>
        <w:spacing w:after="0" w:line="240" w:lineRule="auto"/>
      </w:pPr>
      <w:r>
        <w:continuationSeparator/>
      </w:r>
    </w:p>
  </w:footnote>
  <w:footnote w:type="continuationNotice" w:id="1">
    <w:p w14:paraId="7C238AA0" w14:textId="77777777" w:rsidR="00BA0372" w:rsidRDefault="00BA0372">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D7CE6"/>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35238</Words>
  <Characters>20087</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5</cp:revision>
  <cp:lastPrinted>2020-06-16T06:01:00Z</cp:lastPrinted>
  <dcterms:created xsi:type="dcterms:W3CDTF">2025-04-10T14:12:00Z</dcterms:created>
  <dcterms:modified xsi:type="dcterms:W3CDTF">2025-06-26T17:36:00Z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