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7770C57F" w:rsidR="000F17D6" w:rsidRPr="00117F86" w:rsidRDefault="000F17D6" w:rsidP="000F17D6">
      <w:pPr>
        <w:jc w:val="right"/>
        <w:rPr>
          <w:rFonts w:ascii="Jost" w:hAnsi="Jost"/>
        </w:rPr>
      </w:pPr>
      <w:r w:rsidRPr="00117F86">
        <w:rPr>
          <w:rFonts w:ascii="Jost" w:hAnsi="Jost"/>
        </w:rPr>
        <w:t xml:space="preserve"> </w:t>
      </w:r>
    </w:p>
    <w:p w14:paraId="058888F4" w14:textId="77777777" w:rsidR="000F17D6" w:rsidRPr="00117F86" w:rsidRDefault="000F17D6" w:rsidP="000F17D6">
      <w:pPr>
        <w:rPr>
          <w:rFonts w:ascii="Jost" w:hAnsi="Jost"/>
        </w:rPr>
      </w:pPr>
    </w:p>
    <w:p w14:paraId="61FAB302" w14:textId="77777777" w:rsidR="000F17D6" w:rsidRPr="00117F86" w:rsidRDefault="000F17D6" w:rsidP="000F17D6">
      <w:pPr>
        <w:rPr>
          <w:rFonts w:ascii="Jost" w:hAnsi="Jost"/>
          <w:i/>
          <w:iCs/>
        </w:rPr>
      </w:pPr>
      <w:r w:rsidRPr="00117F86">
        <w:rPr>
          <w:rFonts w:ascii="Jost" w:hAnsi="Jost"/>
          <w:i/>
          <w:iCs/>
        </w:rPr>
        <w:t>Tiekėjams</w:t>
      </w:r>
    </w:p>
    <w:p w14:paraId="69B240AC" w14:textId="77777777" w:rsidR="000F17D6" w:rsidRPr="00117F86" w:rsidRDefault="000F17D6" w:rsidP="000F17D6">
      <w:pPr>
        <w:rPr>
          <w:rFonts w:ascii="Jost" w:hAnsi="Jost"/>
          <w:i/>
          <w:iCs/>
        </w:rPr>
      </w:pPr>
      <w:r w:rsidRPr="00117F86">
        <w:rPr>
          <w:rFonts w:ascii="Jost" w:hAnsi="Jost"/>
          <w:i/>
          <w:iCs/>
        </w:rPr>
        <w:t>Siunčiama CVP IS priemonėmis</w:t>
      </w:r>
    </w:p>
    <w:p w14:paraId="7667E45E" w14:textId="77777777" w:rsidR="000F17D6" w:rsidRPr="00117F86" w:rsidRDefault="000F17D6" w:rsidP="000F17D6">
      <w:pPr>
        <w:rPr>
          <w:rFonts w:ascii="Jost" w:hAnsi="Jost"/>
          <w:b/>
          <w:bCs/>
        </w:rPr>
      </w:pPr>
    </w:p>
    <w:p w14:paraId="0AB0DAD8" w14:textId="77777777" w:rsidR="000F17D6" w:rsidRPr="00117F86" w:rsidRDefault="000F17D6" w:rsidP="000F17D6">
      <w:pPr>
        <w:rPr>
          <w:rFonts w:ascii="Jost" w:hAnsi="Jost"/>
          <w:b/>
          <w:bCs/>
        </w:rPr>
      </w:pPr>
    </w:p>
    <w:p w14:paraId="3DC84B23" w14:textId="7BA5804A" w:rsidR="000F17D6" w:rsidRPr="00117F86" w:rsidRDefault="000F17D6" w:rsidP="000F17D6">
      <w:pPr>
        <w:rPr>
          <w:rFonts w:ascii="Jost" w:hAnsi="Jost"/>
          <w:b/>
          <w:bCs/>
        </w:rPr>
      </w:pPr>
      <w:r w:rsidRPr="00117F86">
        <w:rPr>
          <w:rFonts w:ascii="Jost" w:hAnsi="Jost"/>
          <w:b/>
          <w:bCs/>
        </w:rPr>
        <w:t>DĖL PATEIKT</w:t>
      </w:r>
      <w:r w:rsidR="00376FF7" w:rsidRPr="00117F86">
        <w:rPr>
          <w:rFonts w:ascii="Jost" w:hAnsi="Jost"/>
          <w:b/>
          <w:bCs/>
        </w:rPr>
        <w:t>O</w:t>
      </w:r>
      <w:r w:rsidRPr="00117F86">
        <w:rPr>
          <w:rFonts w:ascii="Jost" w:hAnsi="Jost"/>
          <w:b/>
          <w:bCs/>
        </w:rPr>
        <w:t xml:space="preserve"> PAKLAUSIM</w:t>
      </w:r>
      <w:r w:rsidR="00376FF7" w:rsidRPr="00117F86">
        <w:rPr>
          <w:rFonts w:ascii="Jost" w:hAnsi="Jost"/>
          <w:b/>
          <w:bCs/>
        </w:rPr>
        <w:t>O</w:t>
      </w:r>
    </w:p>
    <w:p w14:paraId="47F7602C" w14:textId="77777777" w:rsidR="000F17D6" w:rsidRPr="00117F86" w:rsidRDefault="000F17D6" w:rsidP="000F17D6">
      <w:pPr>
        <w:jc w:val="center"/>
        <w:rPr>
          <w:rFonts w:ascii="Jost" w:hAnsi="Jost"/>
          <w:b/>
          <w:bCs/>
        </w:rPr>
      </w:pPr>
    </w:p>
    <w:p w14:paraId="398D9FD3" w14:textId="5374E5DE" w:rsidR="004724B7" w:rsidRPr="00117F86" w:rsidRDefault="004724B7" w:rsidP="00106C33">
      <w:pPr>
        <w:ind w:firstLine="720"/>
        <w:jc w:val="both"/>
        <w:rPr>
          <w:rFonts w:ascii="Jost" w:hAnsi="Jost"/>
        </w:rPr>
      </w:pPr>
      <w:r w:rsidRPr="00117F86">
        <w:rPr>
          <w:rFonts w:ascii="Jost" w:hAnsi="Jost"/>
        </w:rPr>
        <w:t xml:space="preserve">Viešoji įstaiga CPO LT (toliau – CPO LT), </w:t>
      </w:r>
      <w:bookmarkStart w:id="0" w:name="_Hlk120190959"/>
      <w:r w:rsidRPr="00117F86">
        <w:rPr>
          <w:rFonts w:ascii="Jost" w:hAnsi="Jost"/>
        </w:rPr>
        <w:t xml:space="preserve">vykdydama viešąjį pirkimą </w:t>
      </w:r>
      <w:r w:rsidR="00524B8D" w:rsidRPr="00117F86">
        <w:rPr>
          <w:rFonts w:ascii="Jost" w:hAnsi="Jost"/>
        </w:rPr>
        <w:t>„</w:t>
      </w:r>
      <w:r w:rsidR="00FA5A56" w:rsidRPr="00117F86">
        <w:rPr>
          <w:rFonts w:ascii="Jost" w:hAnsi="Jost"/>
          <w:color w:val="000000"/>
        </w:rPr>
        <w:t xml:space="preserve">Respublikinės Panevėžio ligoninės HIS plėtros paslaugų įsigijimas, plėtojant </w:t>
      </w:r>
      <w:r w:rsidR="00FA5A56" w:rsidRPr="00117F86">
        <w:rPr>
          <w:rFonts w:ascii="Jost" w:hAnsi="Jost"/>
        </w:rPr>
        <w:t xml:space="preserve">medicininių klasterių duomenų mainus ir stebėseną“ </w:t>
      </w:r>
      <w:r w:rsidRPr="00117F86">
        <w:rPr>
          <w:rFonts w:ascii="Jost" w:hAnsi="Jost"/>
        </w:rPr>
        <w:t>atviro (</w:t>
      </w:r>
      <w:r w:rsidR="00376FF7" w:rsidRPr="00117F86">
        <w:rPr>
          <w:rFonts w:ascii="Jost" w:hAnsi="Jost"/>
        </w:rPr>
        <w:t>tarptautinio</w:t>
      </w:r>
      <w:r w:rsidRPr="00117F86">
        <w:rPr>
          <w:rFonts w:ascii="Jost" w:hAnsi="Jost"/>
        </w:rPr>
        <w:t>) konkurso būdu</w:t>
      </w:r>
      <w:r w:rsidR="00F71DC1" w:rsidRPr="00117F86">
        <w:rPr>
          <w:rFonts w:ascii="Jost" w:hAnsi="Jost"/>
        </w:rPr>
        <w:t xml:space="preserve"> (pirkimo Nr. </w:t>
      </w:r>
      <w:r w:rsidR="00FA5A56" w:rsidRPr="00117F86">
        <w:rPr>
          <w:rFonts w:ascii="Jost" w:hAnsi="Jost"/>
        </w:rPr>
        <w:t>2824</w:t>
      </w:r>
      <w:r w:rsidR="00F84782">
        <w:rPr>
          <w:rFonts w:ascii="Jost" w:hAnsi="Jost"/>
        </w:rPr>
        <w:t>8</w:t>
      </w:r>
      <w:r w:rsidR="00FA5A56" w:rsidRPr="00117F86">
        <w:rPr>
          <w:rFonts w:ascii="Jost" w:hAnsi="Jost"/>
        </w:rPr>
        <w:t>15</w:t>
      </w:r>
      <w:r w:rsidR="00F71DC1" w:rsidRPr="00117F86">
        <w:rPr>
          <w:rFonts w:ascii="Jost" w:hAnsi="Jost"/>
        </w:rPr>
        <w:t>, toliau – Pirkimas)</w:t>
      </w:r>
      <w:r w:rsidRPr="00117F86">
        <w:rPr>
          <w:rFonts w:ascii="Jost" w:hAnsi="Jost"/>
        </w:rPr>
        <w:t xml:space="preserve">, </w:t>
      </w:r>
      <w:bookmarkEnd w:id="0"/>
      <w:r w:rsidR="00322AFC" w:rsidRPr="00117F86">
        <w:rPr>
          <w:rFonts w:ascii="Jost" w:hAnsi="Jost"/>
        </w:rPr>
        <w:t>2025-</w:t>
      </w:r>
      <w:r w:rsidR="001330CA" w:rsidRPr="00117F86">
        <w:rPr>
          <w:rFonts w:ascii="Jost" w:hAnsi="Jost"/>
        </w:rPr>
        <w:t>06-23</w:t>
      </w:r>
      <w:r w:rsidRPr="00117F86">
        <w:rPr>
          <w:rFonts w:ascii="Jost" w:hAnsi="Jost"/>
        </w:rPr>
        <w:t xml:space="preserve"> CVP IS priemonėmis gavo potencial</w:t>
      </w:r>
      <w:r w:rsidR="001E350E" w:rsidRPr="00117F86">
        <w:rPr>
          <w:rFonts w:ascii="Jost" w:hAnsi="Jost"/>
        </w:rPr>
        <w:t>aus</w:t>
      </w:r>
      <w:r w:rsidRPr="00117F86">
        <w:rPr>
          <w:rFonts w:ascii="Jost" w:hAnsi="Jost"/>
        </w:rPr>
        <w:t xml:space="preserve"> tiekėj</w:t>
      </w:r>
      <w:r w:rsidR="001E350E" w:rsidRPr="00117F86">
        <w:rPr>
          <w:rFonts w:ascii="Jost" w:hAnsi="Jost"/>
        </w:rPr>
        <w:t>o</w:t>
      </w:r>
      <w:r w:rsidRPr="00117F86">
        <w:rPr>
          <w:rFonts w:ascii="Jost" w:hAnsi="Jost"/>
        </w:rPr>
        <w:t xml:space="preserve"> paklausim</w:t>
      </w:r>
      <w:r w:rsidR="001E350E" w:rsidRPr="00117F86">
        <w:rPr>
          <w:rFonts w:ascii="Jost" w:hAnsi="Jost"/>
        </w:rPr>
        <w:t>ą</w:t>
      </w:r>
      <w:r w:rsidRPr="00117F86">
        <w:rPr>
          <w:rFonts w:ascii="Jost" w:hAnsi="Jost"/>
        </w:rPr>
        <w:t xml:space="preserve">. </w:t>
      </w:r>
    </w:p>
    <w:p w14:paraId="0939295D" w14:textId="3536EDCF" w:rsidR="004724B7" w:rsidRPr="00117F86" w:rsidRDefault="004724B7" w:rsidP="00106C33">
      <w:pPr>
        <w:ind w:firstLine="720"/>
        <w:jc w:val="both"/>
        <w:rPr>
          <w:rFonts w:ascii="Jost" w:hAnsi="Jost"/>
        </w:rPr>
      </w:pPr>
      <w:r w:rsidRPr="00117F86">
        <w:rPr>
          <w:rFonts w:ascii="Jost" w:hAnsi="Jost"/>
        </w:rPr>
        <w:t>Paklausim</w:t>
      </w:r>
      <w:r w:rsidR="00AB7038" w:rsidRPr="00117F86">
        <w:rPr>
          <w:rFonts w:ascii="Jost" w:hAnsi="Jost"/>
        </w:rPr>
        <w:t>a</w:t>
      </w:r>
      <w:r w:rsidR="001E350E" w:rsidRPr="00117F86">
        <w:rPr>
          <w:rFonts w:ascii="Jost" w:hAnsi="Jost"/>
        </w:rPr>
        <w:t>s</w:t>
      </w:r>
      <w:r w:rsidRPr="00117F86">
        <w:rPr>
          <w:rFonts w:ascii="Jost" w:hAnsi="Jost"/>
        </w:rPr>
        <w:t xml:space="preserve"> pateikt</w:t>
      </w:r>
      <w:r w:rsidR="001E350E" w:rsidRPr="00117F86">
        <w:rPr>
          <w:rFonts w:ascii="Jost" w:hAnsi="Jost"/>
        </w:rPr>
        <w:t>as</w:t>
      </w:r>
      <w:r w:rsidRPr="00117F86">
        <w:rPr>
          <w:rFonts w:ascii="Jost" w:hAnsi="Jost"/>
        </w:rPr>
        <w:t xml:space="preserve"> </w:t>
      </w:r>
      <w:r w:rsidR="00D466CA" w:rsidRPr="00117F86">
        <w:rPr>
          <w:rFonts w:ascii="Jost" w:hAnsi="Jost" w:cs="Calibri"/>
          <w:noProof/>
        </w:rPr>
        <w:t xml:space="preserve">laikantis Pirkimo dokumentų Specialiųjų sąlygų 1 priedo „Terminai“ lentelės 3 eil. nustatyto termino </w:t>
      </w:r>
      <w:r w:rsidR="00D466CA" w:rsidRPr="00117F86">
        <w:rPr>
          <w:rFonts w:ascii="Jost" w:hAnsi="Jost" w:cs="Calibri"/>
          <w:i/>
          <w:iCs/>
          <w:noProof/>
        </w:rPr>
        <w:t>„Prašymą paaiškinti, patikslinti pirkimo sąlygas tiekėjas turi pateikti ne vėliau kaip: 9 (devynios) dienos iki pasiūlymų pateikimo dienos.“</w:t>
      </w:r>
      <w:r w:rsidR="00D466CA" w:rsidRPr="00117F86">
        <w:rPr>
          <w:rFonts w:ascii="Jost" w:hAnsi="Jost" w:cs="Calibri"/>
          <w:noProof/>
        </w:rPr>
        <w:t>, t.</w:t>
      </w:r>
      <w:r w:rsidR="00CA077F" w:rsidRPr="00117F86">
        <w:rPr>
          <w:rFonts w:ascii="Jost" w:hAnsi="Jost" w:cs="Calibri"/>
          <w:noProof/>
        </w:rPr>
        <w:t xml:space="preserve"> </w:t>
      </w:r>
      <w:r w:rsidR="00D466CA" w:rsidRPr="00117F86">
        <w:rPr>
          <w:rFonts w:ascii="Jost" w:hAnsi="Jost" w:cs="Calibri"/>
          <w:noProof/>
        </w:rPr>
        <w:t>y. pateiktas laiku, todėl nagrinėtinas</w:t>
      </w:r>
      <w:r w:rsidRPr="00117F86">
        <w:rPr>
          <w:rFonts w:ascii="Jost" w:hAnsi="Jost"/>
        </w:rPr>
        <w:t>.</w:t>
      </w:r>
    </w:p>
    <w:p w14:paraId="70F481BD" w14:textId="5108BA47" w:rsidR="004724B7" w:rsidRPr="00117F86" w:rsidRDefault="004724B7" w:rsidP="00106C33">
      <w:pPr>
        <w:ind w:firstLine="720"/>
        <w:jc w:val="both"/>
        <w:rPr>
          <w:rFonts w:ascii="Jost" w:hAnsi="Jost"/>
        </w:rPr>
      </w:pPr>
      <w:r w:rsidRPr="00117F86">
        <w:rPr>
          <w:rFonts w:ascii="Jost" w:hAnsi="Jost"/>
        </w:rPr>
        <w:t>CPO LT viešojo pirkimo komisija (toliau – Komisija), vadovau</w:t>
      </w:r>
      <w:r w:rsidR="00C918C4" w:rsidRPr="00117F86">
        <w:rPr>
          <w:rFonts w:ascii="Jost" w:hAnsi="Jost"/>
        </w:rPr>
        <w:t>damasi</w:t>
      </w:r>
      <w:r w:rsidRPr="00117F86">
        <w:rPr>
          <w:rFonts w:ascii="Jost" w:hAnsi="Jost"/>
        </w:rPr>
        <w:t xml:space="preserve"> Lietuvos Respublikos viešųjų pirkimų įstatymo</w:t>
      </w:r>
      <w:r w:rsidR="00C918C4" w:rsidRPr="00117F86">
        <w:rPr>
          <w:rFonts w:ascii="Jost" w:hAnsi="Jost"/>
        </w:rPr>
        <w:t xml:space="preserve"> (toliau – VPĮ)</w:t>
      </w:r>
      <w:r w:rsidRPr="00117F86">
        <w:rPr>
          <w:rFonts w:ascii="Jost" w:hAnsi="Jost"/>
        </w:rPr>
        <w:t xml:space="preserve"> 36 str. 5 d.  ir Pirkimo dokumentų Bendrųjų sąlygų 5.2 p., teikia atsakym</w:t>
      </w:r>
      <w:r w:rsidR="001E350E" w:rsidRPr="00117F86">
        <w:rPr>
          <w:rFonts w:ascii="Jost" w:hAnsi="Jost"/>
        </w:rPr>
        <w:t>ą</w:t>
      </w:r>
      <w:r w:rsidRPr="00117F86">
        <w:rPr>
          <w:rFonts w:ascii="Jost" w:hAnsi="Jost"/>
        </w:rPr>
        <w:t xml:space="preserve"> į </w:t>
      </w:r>
      <w:r w:rsidR="00C918C4" w:rsidRPr="00117F86">
        <w:rPr>
          <w:rFonts w:ascii="Jost" w:hAnsi="Jost"/>
        </w:rPr>
        <w:t xml:space="preserve">paklausime </w:t>
      </w:r>
      <w:r w:rsidRPr="00117F86">
        <w:rPr>
          <w:rFonts w:ascii="Jost" w:hAnsi="Jost"/>
        </w:rPr>
        <w:t>pateikt</w:t>
      </w:r>
      <w:r w:rsidR="00C918C4" w:rsidRPr="00117F86">
        <w:rPr>
          <w:rFonts w:ascii="Jost" w:hAnsi="Jost"/>
        </w:rPr>
        <w:t>us</w:t>
      </w:r>
      <w:r w:rsidRPr="00117F86">
        <w:rPr>
          <w:rFonts w:ascii="Jost" w:hAnsi="Jost"/>
        </w:rPr>
        <w:t xml:space="preserve"> </w:t>
      </w:r>
      <w:r w:rsidR="00C918C4" w:rsidRPr="00117F86">
        <w:rPr>
          <w:rFonts w:ascii="Jost" w:hAnsi="Jost"/>
        </w:rPr>
        <w:t>klausimus</w:t>
      </w:r>
      <w:r w:rsidRPr="00117F86">
        <w:rPr>
          <w:rFonts w:ascii="Jost" w:hAnsi="Jost"/>
        </w:rPr>
        <w:t>:</w:t>
      </w:r>
    </w:p>
    <w:tbl>
      <w:tblPr>
        <w:tblStyle w:val="Lentelstinklelis"/>
        <w:tblW w:w="9923" w:type="dxa"/>
        <w:tblInd w:w="-5" w:type="dxa"/>
        <w:tblLook w:val="04A0" w:firstRow="1" w:lastRow="0" w:firstColumn="1" w:lastColumn="0" w:noHBand="0" w:noVBand="1"/>
      </w:tblPr>
      <w:tblGrid>
        <w:gridCol w:w="9923"/>
      </w:tblGrid>
      <w:tr w:rsidR="004724B7" w:rsidRPr="00117F86" w14:paraId="0D7C0412" w14:textId="77777777" w:rsidTr="00F84782">
        <w:trPr>
          <w:trHeight w:val="368"/>
        </w:trPr>
        <w:tc>
          <w:tcPr>
            <w:tcW w:w="9923" w:type="dxa"/>
            <w:shd w:val="clear" w:color="auto" w:fill="DAE9F7" w:themeFill="text2" w:themeFillTint="1A"/>
            <w:vAlign w:val="center"/>
          </w:tcPr>
          <w:p w14:paraId="6F222F43" w14:textId="79210CB5" w:rsidR="004724B7" w:rsidRPr="00117F86" w:rsidRDefault="004724B7" w:rsidP="00106C33">
            <w:pPr>
              <w:shd w:val="clear" w:color="auto" w:fill="DAE9F7" w:themeFill="text2" w:themeFillTint="1A"/>
              <w:rPr>
                <w:rFonts w:ascii="Jost" w:hAnsi="Jost"/>
                <w:b/>
                <w:bCs/>
                <w:lang w:val="lt-LT"/>
              </w:rPr>
            </w:pPr>
            <w:r w:rsidRPr="00117F86">
              <w:rPr>
                <w:rFonts w:ascii="Jost" w:hAnsi="Jost"/>
                <w:b/>
                <w:bCs/>
                <w:lang w:val="lt-LT"/>
              </w:rPr>
              <w:t>Klausimas</w:t>
            </w:r>
            <w:r w:rsidR="001558F6" w:rsidRPr="00117F86">
              <w:rPr>
                <w:rFonts w:ascii="Jost" w:hAnsi="Jost"/>
                <w:b/>
                <w:bCs/>
                <w:lang w:val="lt-LT"/>
              </w:rPr>
              <w:t xml:space="preserve"> 1</w:t>
            </w:r>
            <w:r w:rsidRPr="00117F86">
              <w:rPr>
                <w:rFonts w:ascii="Jost" w:hAnsi="Jost"/>
                <w:b/>
                <w:bCs/>
                <w:lang w:val="lt-LT"/>
              </w:rPr>
              <w:t xml:space="preserve"> </w:t>
            </w:r>
            <w:r w:rsidRPr="00117F86">
              <w:rPr>
                <w:rFonts w:ascii="Jost" w:hAnsi="Jost"/>
                <w:lang w:val="lt-LT"/>
              </w:rPr>
              <w:t>(klausimo tekstas netaisytas)</w:t>
            </w:r>
          </w:p>
        </w:tc>
      </w:tr>
      <w:tr w:rsidR="004724B7" w:rsidRPr="00117F86" w14:paraId="7B2B4C43" w14:textId="77777777" w:rsidTr="00F84782">
        <w:trPr>
          <w:trHeight w:val="750"/>
        </w:trPr>
        <w:tc>
          <w:tcPr>
            <w:tcW w:w="9923" w:type="dxa"/>
            <w:shd w:val="clear" w:color="auto" w:fill="auto"/>
          </w:tcPr>
          <w:p w14:paraId="5A4A9B0E" w14:textId="3B35B937" w:rsidR="004724B7" w:rsidRPr="00117F86" w:rsidRDefault="00EA0873" w:rsidP="00106C33">
            <w:pPr>
              <w:tabs>
                <w:tab w:val="num" w:pos="462"/>
              </w:tabs>
              <w:jc w:val="both"/>
              <w:rPr>
                <w:rFonts w:ascii="Jost" w:hAnsi="Jost"/>
                <w:i/>
                <w:iCs/>
                <w:lang w:val="lt-LT"/>
              </w:rPr>
            </w:pPr>
            <w:r w:rsidRPr="00117F86">
              <w:rPr>
                <w:rFonts w:ascii="Jost" w:hAnsi="Jost"/>
                <w:i/>
                <w:iCs/>
                <w:lang w:val="lt-LT"/>
              </w:rPr>
              <w:t xml:space="preserve">Sutarties projekto specialiosiose sąlygose nėra numatyto dalinio apmokėjimo už suteiktas paslaugas. Ar pasirašant sutartį bus galima numatyti dalinį atsiskaitymą už suteiktas paslaugas (pvz. 60 proc. po bandomosios eksploatacijos pradžios ar 10 proc. po projekto plano patvirtinimo)? </w:t>
            </w:r>
          </w:p>
        </w:tc>
      </w:tr>
      <w:tr w:rsidR="004724B7" w:rsidRPr="00117F86" w14:paraId="3D3F5DDE" w14:textId="77777777" w:rsidTr="00F84782">
        <w:trPr>
          <w:trHeight w:val="366"/>
        </w:trPr>
        <w:tc>
          <w:tcPr>
            <w:tcW w:w="9923" w:type="dxa"/>
            <w:shd w:val="clear" w:color="auto" w:fill="C1E4F5" w:themeFill="accent1" w:themeFillTint="33"/>
          </w:tcPr>
          <w:p w14:paraId="4719A0EC" w14:textId="77777777" w:rsidR="004724B7" w:rsidRPr="00117F86" w:rsidRDefault="004724B7" w:rsidP="00106C33">
            <w:pPr>
              <w:shd w:val="clear" w:color="auto" w:fill="DAE9F7" w:themeFill="text2" w:themeFillTint="1A"/>
              <w:jc w:val="both"/>
              <w:rPr>
                <w:rFonts w:ascii="Jost" w:hAnsi="Jost"/>
                <w:lang w:val="lt-LT"/>
              </w:rPr>
            </w:pPr>
            <w:r w:rsidRPr="00117F86">
              <w:rPr>
                <w:rFonts w:ascii="Jost" w:hAnsi="Jost"/>
                <w:b/>
                <w:bCs/>
                <w:lang w:val="lt-LT"/>
              </w:rPr>
              <w:t>Atsakymas</w:t>
            </w:r>
          </w:p>
        </w:tc>
      </w:tr>
      <w:tr w:rsidR="004724B7" w:rsidRPr="00117F86" w14:paraId="14FF951C" w14:textId="77777777" w:rsidTr="00F84782">
        <w:trPr>
          <w:trHeight w:val="400"/>
        </w:trPr>
        <w:tc>
          <w:tcPr>
            <w:tcW w:w="9923" w:type="dxa"/>
            <w:shd w:val="clear" w:color="auto" w:fill="auto"/>
          </w:tcPr>
          <w:p w14:paraId="4300E936" w14:textId="77D4758A" w:rsidR="00DE357B" w:rsidRPr="00117F86" w:rsidRDefault="00811008" w:rsidP="00106C33">
            <w:pPr>
              <w:tabs>
                <w:tab w:val="left" w:pos="426"/>
              </w:tabs>
              <w:jc w:val="both"/>
              <w:rPr>
                <w:rFonts w:ascii="Jost" w:hAnsi="Jost"/>
                <w:lang w:val="lt-LT"/>
              </w:rPr>
            </w:pPr>
            <w:r w:rsidRPr="00117F86">
              <w:rPr>
                <w:rFonts w:ascii="Jost" w:hAnsi="Jost"/>
                <w:lang w:val="lt-LT"/>
              </w:rPr>
              <w:t>Dėkojame už Jūsų klausimą.</w:t>
            </w:r>
            <w:r w:rsidR="00AB6536" w:rsidRPr="00117F86">
              <w:rPr>
                <w:rFonts w:ascii="Jost" w:hAnsi="Jost"/>
                <w:lang w:val="lt-LT"/>
              </w:rPr>
              <w:t xml:space="preserve"> Atsakydami paaiškiname, kadangi paslaugų sutarties vykdymo laikotarpis yra labai trumpas </w:t>
            </w:r>
            <w:r w:rsidR="004E7DB5" w:rsidRPr="00117F86">
              <w:rPr>
                <w:rFonts w:ascii="Jost" w:hAnsi="Jost"/>
                <w:lang w:val="lt-LT"/>
              </w:rPr>
              <w:t>(</w:t>
            </w:r>
            <w:r w:rsidR="00031696" w:rsidRPr="00117F86">
              <w:rPr>
                <w:rFonts w:ascii="Jost" w:hAnsi="Jost"/>
                <w:lang w:val="lt-LT"/>
              </w:rPr>
              <w:t xml:space="preserve">sutarties vykdymas </w:t>
            </w:r>
            <w:r w:rsidR="004E7DB5" w:rsidRPr="00117F86">
              <w:rPr>
                <w:rFonts w:ascii="Jost" w:hAnsi="Jost"/>
                <w:lang w:val="lt-LT"/>
              </w:rPr>
              <w:t>iki 2026-04-2</w:t>
            </w:r>
            <w:r w:rsidR="00031696" w:rsidRPr="00117F86">
              <w:rPr>
                <w:rFonts w:ascii="Jost" w:hAnsi="Jost"/>
                <w:lang w:val="lt-LT"/>
              </w:rPr>
              <w:t>3</w:t>
            </w:r>
            <w:r w:rsidR="004E7DB5" w:rsidRPr="00117F86">
              <w:rPr>
                <w:rFonts w:ascii="Jost" w:hAnsi="Jost"/>
                <w:lang w:val="lt-LT"/>
              </w:rPr>
              <w:t xml:space="preserve">), </w:t>
            </w:r>
            <w:r w:rsidR="00BE3C5E" w:rsidRPr="00117F86">
              <w:rPr>
                <w:rFonts w:ascii="Jost" w:hAnsi="Jost"/>
                <w:lang w:val="lt-LT"/>
              </w:rPr>
              <w:t>dalinis apmokėjimas už suteiktas paslaugas nėra numatomas</w:t>
            </w:r>
            <w:r w:rsidR="00AB6536" w:rsidRPr="00117F86">
              <w:rPr>
                <w:rFonts w:ascii="Jost" w:hAnsi="Jost"/>
                <w:lang w:val="lt-LT"/>
              </w:rPr>
              <w:t>.</w:t>
            </w:r>
          </w:p>
        </w:tc>
      </w:tr>
      <w:tr w:rsidR="00DC4224" w:rsidRPr="00117F86" w14:paraId="212DC45C" w14:textId="77777777" w:rsidTr="00F84782">
        <w:trPr>
          <w:trHeight w:val="400"/>
        </w:trPr>
        <w:tc>
          <w:tcPr>
            <w:tcW w:w="9923" w:type="dxa"/>
            <w:shd w:val="clear" w:color="auto" w:fill="DAE9F7" w:themeFill="text2" w:themeFillTint="1A"/>
          </w:tcPr>
          <w:p w14:paraId="38D6BD6D" w14:textId="6626A5AE" w:rsidR="00DC4224" w:rsidRPr="00117F86" w:rsidRDefault="00C90B7F" w:rsidP="00106C33">
            <w:pPr>
              <w:shd w:val="clear" w:color="auto" w:fill="DAE9F7" w:themeFill="text2" w:themeFillTint="1A"/>
              <w:jc w:val="both"/>
              <w:rPr>
                <w:rFonts w:ascii="Jost" w:hAnsi="Jost"/>
                <w:lang w:val="lt-LT"/>
              </w:rPr>
            </w:pPr>
            <w:r w:rsidRPr="00117F86">
              <w:rPr>
                <w:rFonts w:ascii="Jost" w:hAnsi="Jost"/>
                <w:b/>
                <w:bCs/>
                <w:lang w:val="lt-LT"/>
              </w:rPr>
              <w:t xml:space="preserve">Klausimas 2 </w:t>
            </w:r>
            <w:r w:rsidRPr="00117F86">
              <w:rPr>
                <w:rFonts w:ascii="Jost" w:hAnsi="Jost"/>
                <w:lang w:val="lt-LT"/>
              </w:rPr>
              <w:t>(klausimo tekstas netaisytas)</w:t>
            </w:r>
          </w:p>
        </w:tc>
      </w:tr>
      <w:tr w:rsidR="00DC4224" w:rsidRPr="00117F86" w14:paraId="7D95FF85" w14:textId="77777777" w:rsidTr="00F84782">
        <w:trPr>
          <w:trHeight w:val="400"/>
        </w:trPr>
        <w:tc>
          <w:tcPr>
            <w:tcW w:w="9923" w:type="dxa"/>
            <w:shd w:val="clear" w:color="auto" w:fill="auto"/>
          </w:tcPr>
          <w:p w14:paraId="7577521C" w14:textId="1F9428DF" w:rsidR="00DC4224" w:rsidRPr="00117F86" w:rsidRDefault="00711BD9" w:rsidP="00106C33">
            <w:pPr>
              <w:spacing w:before="100" w:beforeAutospacing="1" w:after="100" w:afterAutospacing="1"/>
              <w:jc w:val="both"/>
              <w:rPr>
                <w:rFonts w:ascii="Jost" w:hAnsi="Jost"/>
                <w:i/>
                <w:iCs/>
                <w:lang w:val="lt-LT"/>
              </w:rPr>
            </w:pPr>
            <w:r w:rsidRPr="00117F86">
              <w:rPr>
                <w:rFonts w:ascii="Jost" w:hAnsi="Jost"/>
                <w:i/>
                <w:iCs/>
                <w:lang w:val="lt-LT"/>
              </w:rPr>
              <w:t xml:space="preserve">Sutarties projekto bendrosiose ir specialiosiose sąlygose nėra aprašytos tiekėjo intelektinės teisės. Siūlome sutarties projekto specialiosiose sąlygose numatyti punktą atitinkantį Lietuvos Respublikos valstybės informacinių išteklių valdymo įstatymo 21 straipsnio 6 punkto nuostatas, kad &lt;...&gt; Autorių turtinių teisių į sukurtą programinę įrangą, parengtus projektinius dokumentus perdavimas informacinių sistemų valdytojui, užsakiusiam sukurti programinę įrangą ar parengti projektinius dokumentus, neturi apriboti šias teises perdavusio asmens teisės be atskiro informacinių sistemų valdytojo sutikimo toliau plėtoti, tobulinti ir atlikti kitus reikiamus veiksmus su sukurta programine įranga ar parengtais projektiniais dokumentais, išskyrus atvejus, kai užsakęs sukurti programinę įrangą ar parengti projektinius dokumentus informacinių sistemų valdytojas pagrįstai reikalauja kitaip.&lt;...&gt; </w:t>
            </w:r>
          </w:p>
        </w:tc>
      </w:tr>
      <w:tr w:rsidR="00DC4224" w:rsidRPr="00117F86" w14:paraId="73349BD3" w14:textId="77777777" w:rsidTr="00F84782">
        <w:trPr>
          <w:trHeight w:val="400"/>
        </w:trPr>
        <w:tc>
          <w:tcPr>
            <w:tcW w:w="9923" w:type="dxa"/>
            <w:shd w:val="clear" w:color="auto" w:fill="DAE9F7" w:themeFill="text2" w:themeFillTint="1A"/>
          </w:tcPr>
          <w:p w14:paraId="6F1AD39A" w14:textId="2C1CF87D" w:rsidR="00DC4224" w:rsidRPr="00117F86" w:rsidRDefault="00C90B7F" w:rsidP="00106C33">
            <w:pPr>
              <w:shd w:val="clear" w:color="auto" w:fill="DAE9F7" w:themeFill="text2" w:themeFillTint="1A"/>
              <w:spacing w:before="100" w:beforeAutospacing="1" w:after="100" w:afterAutospacing="1"/>
              <w:jc w:val="both"/>
              <w:rPr>
                <w:rFonts w:ascii="Jost" w:hAnsi="Jost"/>
                <w:b/>
                <w:bCs/>
                <w:lang w:val="lt-LT"/>
              </w:rPr>
            </w:pPr>
            <w:r w:rsidRPr="00117F86">
              <w:rPr>
                <w:rFonts w:ascii="Jost" w:hAnsi="Jost"/>
                <w:b/>
                <w:bCs/>
                <w:lang w:val="lt-LT"/>
              </w:rPr>
              <w:t>Atsakymas</w:t>
            </w:r>
          </w:p>
        </w:tc>
      </w:tr>
      <w:tr w:rsidR="00DC4224" w:rsidRPr="00117F86" w14:paraId="64D14061" w14:textId="77777777" w:rsidTr="00F84782">
        <w:trPr>
          <w:trHeight w:val="400"/>
        </w:trPr>
        <w:tc>
          <w:tcPr>
            <w:tcW w:w="9923" w:type="dxa"/>
            <w:shd w:val="clear" w:color="auto" w:fill="auto"/>
          </w:tcPr>
          <w:p w14:paraId="0F0F9B9B" w14:textId="5EADA7DC" w:rsidR="00DC4224" w:rsidRPr="00117F86" w:rsidRDefault="00DC4224" w:rsidP="00106C33">
            <w:pPr>
              <w:jc w:val="both"/>
              <w:rPr>
                <w:rFonts w:ascii="Jost" w:hAnsi="Jost"/>
                <w:lang w:val="lt-LT"/>
              </w:rPr>
            </w:pPr>
            <w:r w:rsidRPr="00117F86">
              <w:rPr>
                <w:rFonts w:ascii="Jost" w:eastAsia="Times New Roman" w:hAnsi="Jost"/>
                <w:kern w:val="2"/>
                <w:lang w:val="lt-LT"/>
              </w:rPr>
              <w:t xml:space="preserve">Atsakydami į Jūsų klausimą </w:t>
            </w:r>
            <w:r w:rsidR="00CF235A" w:rsidRPr="00117F86">
              <w:rPr>
                <w:rFonts w:ascii="Jost" w:eastAsia="Times New Roman" w:hAnsi="Jost"/>
                <w:kern w:val="2"/>
                <w:lang w:val="lt-LT"/>
              </w:rPr>
              <w:t>paaiškiname</w:t>
            </w:r>
            <w:r w:rsidRPr="00117F86">
              <w:rPr>
                <w:rFonts w:ascii="Jost" w:eastAsia="Times New Roman" w:hAnsi="Jost"/>
                <w:kern w:val="2"/>
                <w:lang w:val="lt-LT"/>
              </w:rPr>
              <w:t xml:space="preserve">, kad </w:t>
            </w:r>
            <w:r w:rsidR="00277ACF" w:rsidRPr="00117F86">
              <w:rPr>
                <w:rFonts w:ascii="Jost" w:eastAsia="Times New Roman" w:hAnsi="Jost"/>
                <w:kern w:val="2"/>
                <w:lang w:val="lt-LT"/>
              </w:rPr>
              <w:t>Specialiųjų pirkimo sąlygų 2 priedo „</w:t>
            </w:r>
            <w:r w:rsidR="00277ACF" w:rsidRPr="00117F86">
              <w:rPr>
                <w:rFonts w:ascii="Jost" w:hAnsi="Jost"/>
                <w:lang w:val="lt-LT"/>
              </w:rPr>
              <w:t>Techninė specifikacija“</w:t>
            </w:r>
            <w:r w:rsidR="00C83F81">
              <w:rPr>
                <w:rFonts w:ascii="Jost" w:hAnsi="Jost"/>
                <w:lang w:val="lt-LT"/>
              </w:rPr>
              <w:t xml:space="preserve"> (toliau – TS) </w:t>
            </w:r>
            <w:r w:rsidR="00277ACF" w:rsidRPr="00117F86">
              <w:rPr>
                <w:rFonts w:ascii="Jost" w:hAnsi="Jost"/>
                <w:lang w:val="lt-LT"/>
              </w:rPr>
              <w:t xml:space="preserve"> 1.4. punkte „Sistemos vystymą bei veikimą ir Paslaugų teikimą reglamentuojantys teisės aktai, reikalavimai ir standartai“ yra nurodytas </w:t>
            </w:r>
            <w:r w:rsidR="00481C91" w:rsidRPr="00117F86">
              <w:rPr>
                <w:rFonts w:ascii="Jost" w:hAnsi="Jost"/>
                <w:lang w:val="lt-LT"/>
              </w:rPr>
              <w:t>Lietuvos Respublikos valstybės informacinių išteklių valdymo įstatymas</w:t>
            </w:r>
            <w:r w:rsidR="00E72964" w:rsidRPr="00117F86">
              <w:rPr>
                <w:rFonts w:ascii="Jost" w:hAnsi="Jost"/>
                <w:lang w:val="lt-LT"/>
              </w:rPr>
              <w:t>, kuris</w:t>
            </w:r>
            <w:r w:rsidR="00277ACF" w:rsidRPr="00117F86">
              <w:rPr>
                <w:rFonts w:ascii="Jost" w:hAnsi="Jost"/>
                <w:lang w:val="lt-LT"/>
              </w:rPr>
              <w:t xml:space="preserve"> galioja tiek perkančiajai organizacijai</w:t>
            </w:r>
            <w:r w:rsidR="00383929" w:rsidRPr="00117F86">
              <w:rPr>
                <w:rFonts w:ascii="Jost" w:hAnsi="Jost"/>
                <w:lang w:val="lt-LT"/>
              </w:rPr>
              <w:t>,</w:t>
            </w:r>
            <w:r w:rsidR="00277ACF" w:rsidRPr="00117F86">
              <w:rPr>
                <w:rFonts w:ascii="Jost" w:hAnsi="Jost"/>
                <w:lang w:val="lt-LT"/>
              </w:rPr>
              <w:t xml:space="preserve"> tiek paslaugų tiekėjui.</w:t>
            </w:r>
            <w:r w:rsidR="00CF235A" w:rsidRPr="00117F86">
              <w:rPr>
                <w:rFonts w:ascii="Jost" w:hAnsi="Jost"/>
                <w:lang w:val="lt-LT"/>
              </w:rPr>
              <w:t xml:space="preserve"> </w:t>
            </w:r>
            <w:r w:rsidR="00475AC1" w:rsidRPr="00117F86">
              <w:rPr>
                <w:rFonts w:ascii="Jost" w:hAnsi="Jost"/>
                <w:lang w:val="lt-LT"/>
              </w:rPr>
              <w:t xml:space="preserve">Pabrėžiame, kad </w:t>
            </w:r>
            <w:r w:rsidR="0065209C">
              <w:rPr>
                <w:rFonts w:ascii="Jost" w:hAnsi="Jost"/>
                <w:lang w:val="lt-LT"/>
              </w:rPr>
              <w:t>TS</w:t>
            </w:r>
            <w:r w:rsidR="00A62405" w:rsidRPr="00117F86">
              <w:rPr>
                <w:rFonts w:ascii="Jost" w:hAnsi="Jost"/>
                <w:lang w:val="lt-LT"/>
              </w:rPr>
              <w:t xml:space="preserve"> yra Sutarties priedas</w:t>
            </w:r>
            <w:r w:rsidR="00172D09" w:rsidRPr="00117F86">
              <w:rPr>
                <w:rFonts w:ascii="Jost" w:hAnsi="Jost"/>
                <w:lang w:val="lt-LT"/>
              </w:rPr>
              <w:t xml:space="preserve">. </w:t>
            </w:r>
            <w:r w:rsidR="00B577D1" w:rsidRPr="00117F86">
              <w:rPr>
                <w:rFonts w:ascii="Jost" w:hAnsi="Jost"/>
                <w:lang w:val="lt-LT"/>
              </w:rPr>
              <w:t>Autorių turtin</w:t>
            </w:r>
            <w:r w:rsidR="00180313" w:rsidRPr="00117F86">
              <w:rPr>
                <w:rFonts w:ascii="Jost" w:hAnsi="Jost"/>
                <w:lang w:val="lt-LT"/>
              </w:rPr>
              <w:t>es</w:t>
            </w:r>
            <w:r w:rsidR="00B577D1" w:rsidRPr="00117F86">
              <w:rPr>
                <w:rFonts w:ascii="Jost" w:hAnsi="Jost"/>
                <w:lang w:val="lt-LT"/>
              </w:rPr>
              <w:t xml:space="preserve"> teis</w:t>
            </w:r>
            <w:r w:rsidR="00180313" w:rsidRPr="00117F86">
              <w:rPr>
                <w:rFonts w:ascii="Jost" w:hAnsi="Jost"/>
                <w:lang w:val="lt-LT"/>
              </w:rPr>
              <w:t xml:space="preserve">es </w:t>
            </w:r>
            <w:r w:rsidR="00B577D1" w:rsidRPr="00117F86">
              <w:rPr>
                <w:rFonts w:ascii="Jost" w:hAnsi="Jost"/>
                <w:lang w:val="lt-LT"/>
              </w:rPr>
              <w:t xml:space="preserve">į sukurtą programinę įrangą </w:t>
            </w:r>
            <w:r w:rsidR="00475AC1" w:rsidRPr="00117F86">
              <w:rPr>
                <w:rFonts w:ascii="Jost" w:hAnsi="Jost"/>
                <w:lang w:val="lt-LT"/>
              </w:rPr>
              <w:t xml:space="preserve">apibrėžia nurodytas įstatymas, tai vien tai, kad sutartyje neatkartotos įstatymo nuostatos nereiškia, kad </w:t>
            </w:r>
            <w:r w:rsidR="00180313" w:rsidRPr="00117F86">
              <w:rPr>
                <w:rFonts w:ascii="Jost" w:hAnsi="Jost"/>
                <w:lang w:val="lt-LT"/>
              </w:rPr>
              <w:t>S</w:t>
            </w:r>
            <w:r w:rsidR="00475AC1" w:rsidRPr="00117F86">
              <w:rPr>
                <w:rFonts w:ascii="Jost" w:hAnsi="Jost"/>
                <w:lang w:val="lt-LT"/>
              </w:rPr>
              <w:t>utarties šalims jis nebus taikomas ir jos galės jo nesilaikyti.</w:t>
            </w:r>
          </w:p>
        </w:tc>
      </w:tr>
      <w:tr w:rsidR="00EA0873" w:rsidRPr="00117F86" w14:paraId="43960C96" w14:textId="77777777" w:rsidTr="00F84782">
        <w:trPr>
          <w:trHeight w:val="400"/>
        </w:trPr>
        <w:tc>
          <w:tcPr>
            <w:tcW w:w="9923" w:type="dxa"/>
            <w:shd w:val="clear" w:color="auto" w:fill="DAE9F7" w:themeFill="text2" w:themeFillTint="1A"/>
          </w:tcPr>
          <w:p w14:paraId="37C60AB8" w14:textId="29DCE7CC" w:rsidR="00EA0873" w:rsidRPr="00117F86" w:rsidRDefault="00EA0873"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t xml:space="preserve">Klausimas 3 </w:t>
            </w:r>
            <w:r w:rsidRPr="00117F86">
              <w:rPr>
                <w:rFonts w:ascii="Jost" w:hAnsi="Jost"/>
                <w:lang w:val="lt-LT"/>
              </w:rPr>
              <w:t>(klausimo tekstas netaisytas)</w:t>
            </w:r>
          </w:p>
        </w:tc>
      </w:tr>
      <w:tr w:rsidR="00EA0873" w:rsidRPr="00117F86" w14:paraId="347AC8C0" w14:textId="77777777" w:rsidTr="00F84782">
        <w:trPr>
          <w:trHeight w:val="400"/>
        </w:trPr>
        <w:tc>
          <w:tcPr>
            <w:tcW w:w="9923" w:type="dxa"/>
            <w:shd w:val="clear" w:color="auto" w:fill="auto"/>
          </w:tcPr>
          <w:p w14:paraId="39636086" w14:textId="7BD329AF" w:rsidR="00EA0873" w:rsidRPr="00117F86" w:rsidRDefault="00A9105A" w:rsidP="00106C33">
            <w:pPr>
              <w:tabs>
                <w:tab w:val="left" w:pos="567"/>
                <w:tab w:val="left" w:pos="851"/>
                <w:tab w:val="left" w:pos="992"/>
                <w:tab w:val="left" w:pos="1134"/>
              </w:tabs>
              <w:jc w:val="both"/>
              <w:textAlignment w:val="center"/>
              <w:rPr>
                <w:rFonts w:ascii="Jost" w:eastAsia="Times New Roman" w:hAnsi="Jost"/>
                <w:i/>
                <w:iCs/>
                <w:kern w:val="2"/>
                <w:lang w:val="lt-LT"/>
              </w:rPr>
            </w:pPr>
            <w:r w:rsidRPr="00117F86">
              <w:rPr>
                <w:rFonts w:ascii="Jost" w:eastAsia="Times New Roman" w:hAnsi="Jost"/>
                <w:i/>
                <w:iCs/>
                <w:kern w:val="2"/>
                <w:lang w:val="lt-LT"/>
              </w:rPr>
              <w:lastRenderedPageBreak/>
              <w:t>Prašome paaiškinti ar 4 lentelėje 2 eilutėje reikalavimas „Elektroninės Sveikatos Istorijos Sistema (ESIS) modulis“ „Turi būti modernizuotas naudojant šiuolaikines technologijas ir sukurti aprašyti funkciniai reikalavimai.“ reiškia, kad naudoti šiuolaikines technologijas reikia tik naujai kuriamiems moduliams, o ne perkurti iš naujo šio projekto apimtyje VISĄ „Elektroninės Sveikatos Istorijos Sistema (ESIS) modulis“ šiuolaikinėmis technologijomis. Taip pat prašome paaiškinti ar reikės perkurti iš naujos langus, kuriuose bus pridedamas prie esamos informacijos vienas kitas naujas laukas, nekuriant naujo duomenų rinkinio ar formos.</w:t>
            </w:r>
          </w:p>
        </w:tc>
      </w:tr>
      <w:tr w:rsidR="00094EC1" w:rsidRPr="00117F86" w14:paraId="30D02B7D" w14:textId="77777777" w:rsidTr="00F84782">
        <w:trPr>
          <w:trHeight w:val="400"/>
        </w:trPr>
        <w:tc>
          <w:tcPr>
            <w:tcW w:w="9923" w:type="dxa"/>
            <w:shd w:val="clear" w:color="auto" w:fill="DAE9F7" w:themeFill="text2" w:themeFillTint="1A"/>
          </w:tcPr>
          <w:p w14:paraId="30CC8327" w14:textId="30AE30D5" w:rsidR="00094EC1" w:rsidRPr="00117F86" w:rsidRDefault="00094EC1" w:rsidP="00106C33">
            <w:pPr>
              <w:tabs>
                <w:tab w:val="left" w:pos="567"/>
                <w:tab w:val="left" w:pos="851"/>
                <w:tab w:val="left" w:pos="992"/>
                <w:tab w:val="left" w:pos="1134"/>
              </w:tabs>
              <w:jc w:val="both"/>
              <w:textAlignment w:val="center"/>
              <w:rPr>
                <w:rFonts w:ascii="Jost" w:eastAsia="Times New Roman" w:hAnsi="Jost"/>
                <w:kern w:val="2"/>
                <w:lang w:val="lt-LT"/>
              </w:rPr>
            </w:pPr>
            <w:proofErr w:type="spellStart"/>
            <w:r w:rsidRPr="00973EFC">
              <w:rPr>
                <w:rFonts w:ascii="Jost" w:hAnsi="Jost"/>
                <w:b/>
                <w:bCs/>
              </w:rPr>
              <w:t>Atsakymas</w:t>
            </w:r>
            <w:proofErr w:type="spellEnd"/>
          </w:p>
        </w:tc>
      </w:tr>
      <w:tr w:rsidR="00094EC1" w:rsidRPr="00117F86" w14:paraId="0581CA2D" w14:textId="77777777" w:rsidTr="00F84782">
        <w:trPr>
          <w:trHeight w:val="400"/>
        </w:trPr>
        <w:tc>
          <w:tcPr>
            <w:tcW w:w="9923" w:type="dxa"/>
            <w:shd w:val="clear" w:color="auto" w:fill="auto"/>
          </w:tcPr>
          <w:p w14:paraId="78E2DA2D" w14:textId="4DA6EE41" w:rsidR="0084122F" w:rsidRDefault="001C4C9F" w:rsidP="00333563">
            <w:pPr>
              <w:tabs>
                <w:tab w:val="left" w:pos="567"/>
                <w:tab w:val="left" w:pos="851"/>
                <w:tab w:val="left" w:pos="992"/>
                <w:tab w:val="left" w:pos="1134"/>
              </w:tabs>
              <w:jc w:val="both"/>
              <w:textAlignment w:val="center"/>
              <w:rPr>
                <w:rFonts w:ascii="Jost" w:hAnsi="Jost"/>
                <w:lang w:val="lt-LT"/>
              </w:rPr>
            </w:pPr>
            <w:r w:rsidRPr="00117F86">
              <w:rPr>
                <w:rFonts w:ascii="Jost" w:hAnsi="Jost"/>
                <w:lang w:val="lt-LT"/>
              </w:rPr>
              <w:t xml:space="preserve">Paaiškiname, kad </w:t>
            </w:r>
            <w:r w:rsidR="0065209C">
              <w:rPr>
                <w:rFonts w:ascii="Jost" w:hAnsi="Jost"/>
                <w:lang w:val="lt-LT"/>
              </w:rPr>
              <w:t>TS</w:t>
            </w:r>
            <w:r w:rsidR="00973EFC">
              <w:rPr>
                <w:rFonts w:ascii="Jost" w:hAnsi="Jost"/>
                <w:lang w:val="lt-LT"/>
              </w:rPr>
              <w:t xml:space="preserve"> </w:t>
            </w:r>
            <w:r w:rsidR="00333563" w:rsidRPr="00A922F8">
              <w:rPr>
                <w:rFonts w:ascii="Jost" w:hAnsi="Jost"/>
                <w:lang w:val="lt-LT"/>
              </w:rPr>
              <w:t>4 lentel</w:t>
            </w:r>
            <w:r w:rsidR="00333563">
              <w:rPr>
                <w:rFonts w:ascii="Jost" w:hAnsi="Jost"/>
                <w:lang w:val="lt-LT"/>
              </w:rPr>
              <w:t xml:space="preserve">ė yra </w:t>
            </w:r>
            <w:r w:rsidR="00973EFC">
              <w:rPr>
                <w:rFonts w:ascii="Jost" w:hAnsi="Jost"/>
                <w:lang w:val="lt-LT"/>
              </w:rPr>
              <w:t xml:space="preserve">nurodytas </w:t>
            </w:r>
            <w:r w:rsidR="00333563">
              <w:rPr>
                <w:rFonts w:ascii="Jost" w:hAnsi="Jost"/>
                <w:lang w:val="lt-LT"/>
              </w:rPr>
              <w:t>esamos situacijos aprašym</w:t>
            </w:r>
            <w:r w:rsidR="00973EFC">
              <w:rPr>
                <w:rFonts w:ascii="Jost" w:hAnsi="Jost"/>
                <w:lang w:val="lt-LT"/>
              </w:rPr>
              <w:t>as</w:t>
            </w:r>
            <w:r w:rsidR="00333563">
              <w:rPr>
                <w:rFonts w:ascii="Jost" w:hAnsi="Jost"/>
                <w:lang w:val="lt-LT"/>
              </w:rPr>
              <w:t xml:space="preserve"> TS dalyje</w:t>
            </w:r>
            <w:r w:rsidR="00973EFC">
              <w:rPr>
                <w:rFonts w:ascii="Jost" w:hAnsi="Jost"/>
                <w:lang w:val="lt-LT"/>
              </w:rPr>
              <w:t>, o</w:t>
            </w:r>
            <w:r w:rsidR="00333563">
              <w:rPr>
                <w:rFonts w:ascii="Jost" w:hAnsi="Jost"/>
                <w:lang w:val="lt-LT"/>
              </w:rPr>
              <w:t xml:space="preserve"> </w:t>
            </w:r>
            <w:r w:rsidR="0065209C">
              <w:rPr>
                <w:rFonts w:ascii="Jost" w:hAnsi="Jost"/>
                <w:lang w:val="lt-LT"/>
              </w:rPr>
              <w:t xml:space="preserve">TS </w:t>
            </w:r>
            <w:r w:rsidR="00333563" w:rsidRPr="00973EFC">
              <w:rPr>
                <w:rFonts w:ascii="Jost" w:hAnsi="Jost"/>
                <w:lang w:val="lt-LT"/>
              </w:rPr>
              <w:t xml:space="preserve">7 </w:t>
            </w:r>
            <w:r w:rsidR="00333563">
              <w:rPr>
                <w:rFonts w:ascii="Jost" w:hAnsi="Jost"/>
                <w:lang w:val="lt-LT"/>
              </w:rPr>
              <w:t xml:space="preserve">lentelėje </w:t>
            </w:r>
            <w:r w:rsidR="0084122F">
              <w:rPr>
                <w:rFonts w:ascii="Jost" w:hAnsi="Jost"/>
                <w:lang w:val="lt-LT"/>
              </w:rPr>
              <w:t>pirmame</w:t>
            </w:r>
            <w:r w:rsidR="00333563" w:rsidRPr="00973EFC">
              <w:rPr>
                <w:rFonts w:ascii="Jost" w:hAnsi="Jost"/>
                <w:lang w:val="lt-LT"/>
              </w:rPr>
              <w:t xml:space="preserve"> </w:t>
            </w:r>
            <w:r w:rsidR="00333563">
              <w:rPr>
                <w:rFonts w:ascii="Jost" w:hAnsi="Jost"/>
                <w:lang w:val="lt-LT"/>
              </w:rPr>
              <w:t>reikalavime</w:t>
            </w:r>
            <w:r w:rsidR="0084122F">
              <w:rPr>
                <w:rFonts w:ascii="Jost" w:hAnsi="Jost"/>
                <w:lang w:val="lt-LT"/>
              </w:rPr>
              <w:t xml:space="preserve"> Reik_1</w:t>
            </w:r>
            <w:r w:rsidR="00333563">
              <w:rPr>
                <w:rFonts w:ascii="Jost" w:hAnsi="Jost"/>
                <w:lang w:val="lt-LT"/>
              </w:rPr>
              <w:t xml:space="preserve"> nurod</w:t>
            </w:r>
            <w:r w:rsidR="00973EFC">
              <w:rPr>
                <w:rFonts w:ascii="Jost" w:hAnsi="Jost"/>
                <w:lang w:val="lt-LT"/>
              </w:rPr>
              <w:t>yta</w:t>
            </w:r>
            <w:r w:rsidR="00333563">
              <w:rPr>
                <w:rFonts w:ascii="Jost" w:hAnsi="Jost"/>
                <w:lang w:val="lt-LT"/>
              </w:rPr>
              <w:t>, kad „</w:t>
            </w:r>
            <w:r w:rsidR="00333563" w:rsidRPr="00333563">
              <w:rPr>
                <w:rFonts w:ascii="Jost" w:hAnsi="Jost"/>
                <w:lang w:val="lt-LT"/>
              </w:rPr>
              <w:t xml:space="preserve">Naujai kuriamiems nepriklausomiems moduliams turi būti nenaudojamas pasenusios technologijos, kaip, pavyzdžiui, Microsoft ASP.NET MVC v.4 programinės platformos sprendimas </w:t>
            </w:r>
            <w:r w:rsidR="00973EFC">
              <w:rPr>
                <w:rFonts w:ascii="Jost" w:hAnsi="Jost"/>
                <w:lang w:val="lt-LT"/>
              </w:rPr>
              <w:t>–</w:t>
            </w:r>
            <w:r w:rsidR="00333563" w:rsidRPr="00333563">
              <w:rPr>
                <w:rFonts w:ascii="Jost" w:hAnsi="Jost"/>
                <w:lang w:val="lt-LT"/>
              </w:rPr>
              <w:t xml:space="preserve"> turi būti naudojamos aktualios ir gamintojo palaikomos atitinkamos programinės įrangos platformos versijos.</w:t>
            </w:r>
            <w:r w:rsidR="00333563">
              <w:rPr>
                <w:rFonts w:ascii="Jost" w:hAnsi="Jost"/>
                <w:lang w:val="lt-LT"/>
              </w:rPr>
              <w:t>“,</w:t>
            </w:r>
            <w:r w:rsidR="0084122F">
              <w:rPr>
                <w:rFonts w:ascii="Jost" w:hAnsi="Jost"/>
                <w:lang w:val="lt-LT"/>
              </w:rPr>
              <w:t xml:space="preserve"> </w:t>
            </w:r>
            <w:r w:rsidR="00333563">
              <w:rPr>
                <w:rFonts w:ascii="Jost" w:hAnsi="Jost"/>
                <w:lang w:val="lt-LT"/>
              </w:rPr>
              <w:t>todėl modernizuojamiems funkcionalumams gali būti naudojama ASP.NET MVC</w:t>
            </w:r>
            <w:r w:rsidRPr="00117F86">
              <w:rPr>
                <w:rFonts w:ascii="Jost" w:hAnsi="Jost"/>
                <w:lang w:val="lt-LT"/>
              </w:rPr>
              <w:t xml:space="preserve"> </w:t>
            </w:r>
            <w:r w:rsidR="00333563">
              <w:rPr>
                <w:rFonts w:ascii="Jost" w:hAnsi="Jost"/>
                <w:lang w:val="lt-LT"/>
              </w:rPr>
              <w:t xml:space="preserve">programinė įranga. </w:t>
            </w:r>
          </w:p>
          <w:p w14:paraId="0582C9BB" w14:textId="13C8F493" w:rsidR="00094EC1" w:rsidRPr="00117F86" w:rsidRDefault="001C4C9F" w:rsidP="0033356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lang w:val="lt-LT"/>
              </w:rPr>
              <w:t>Jeigu  modernizuojamoje formoje keičiamų laukų apimtis yra nedidelė, tuomet lango/formos perkurti iš naujo nereikia.</w:t>
            </w:r>
          </w:p>
        </w:tc>
      </w:tr>
      <w:tr w:rsidR="00094EC1" w:rsidRPr="00117F86" w14:paraId="06EC2324" w14:textId="77777777" w:rsidTr="00F84782">
        <w:trPr>
          <w:trHeight w:val="400"/>
        </w:trPr>
        <w:tc>
          <w:tcPr>
            <w:tcW w:w="9923" w:type="dxa"/>
            <w:shd w:val="clear" w:color="auto" w:fill="DAE9F7" w:themeFill="text2" w:themeFillTint="1A"/>
          </w:tcPr>
          <w:p w14:paraId="345DA0BC" w14:textId="0EC83B71" w:rsidR="00094EC1" w:rsidRPr="00117F86" w:rsidRDefault="00094EC1"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t xml:space="preserve">Klausimas 4 </w:t>
            </w:r>
            <w:r w:rsidRPr="00117F86">
              <w:rPr>
                <w:rFonts w:ascii="Jost" w:hAnsi="Jost"/>
                <w:lang w:val="lt-LT"/>
              </w:rPr>
              <w:t>(klausimo tekstas netaisytas)</w:t>
            </w:r>
          </w:p>
        </w:tc>
      </w:tr>
      <w:tr w:rsidR="00094EC1" w:rsidRPr="00117F86" w14:paraId="0A29BF1A" w14:textId="77777777" w:rsidTr="00F84782">
        <w:trPr>
          <w:trHeight w:val="400"/>
        </w:trPr>
        <w:tc>
          <w:tcPr>
            <w:tcW w:w="9923" w:type="dxa"/>
            <w:shd w:val="clear" w:color="auto" w:fill="auto"/>
          </w:tcPr>
          <w:p w14:paraId="2D7C071D" w14:textId="62B0CAA0" w:rsidR="00094EC1" w:rsidRPr="00117F86" w:rsidRDefault="00094EC1" w:rsidP="00106C33">
            <w:pPr>
              <w:tabs>
                <w:tab w:val="left" w:pos="567"/>
                <w:tab w:val="left" w:pos="851"/>
                <w:tab w:val="left" w:pos="992"/>
                <w:tab w:val="left" w:pos="1134"/>
              </w:tabs>
              <w:jc w:val="both"/>
              <w:textAlignment w:val="center"/>
              <w:rPr>
                <w:rFonts w:ascii="Jost" w:eastAsia="Times New Roman" w:hAnsi="Jost"/>
                <w:i/>
                <w:iCs/>
                <w:kern w:val="2"/>
                <w:lang w:val="lt-LT"/>
              </w:rPr>
            </w:pPr>
            <w:r w:rsidRPr="00117F86">
              <w:rPr>
                <w:rFonts w:ascii="Jost" w:eastAsia="Times New Roman" w:hAnsi="Jost"/>
                <w:i/>
                <w:iCs/>
                <w:kern w:val="2"/>
                <w:lang w:val="lt-LT"/>
              </w:rPr>
              <w:t xml:space="preserve">Prašome paaiškinti ar vadovaujantis „Reik_2“ reikalavimu galima modeliuoti ir derinti duomenų rinkinius </w:t>
            </w:r>
            <w:proofErr w:type="spellStart"/>
            <w:r w:rsidRPr="00117F86">
              <w:rPr>
                <w:rFonts w:ascii="Jost" w:eastAsia="Times New Roman" w:hAnsi="Jost"/>
                <w:i/>
                <w:iCs/>
                <w:kern w:val="2"/>
                <w:lang w:val="lt-LT"/>
              </w:rPr>
              <w:t>openEHR</w:t>
            </w:r>
            <w:proofErr w:type="spellEnd"/>
            <w:r w:rsidRPr="00117F86">
              <w:rPr>
                <w:rFonts w:ascii="Jost" w:eastAsia="Times New Roman" w:hAnsi="Jost"/>
                <w:i/>
                <w:iCs/>
                <w:kern w:val="2"/>
                <w:lang w:val="lt-LT"/>
              </w:rPr>
              <w:t xml:space="preserve"> formate, o jų saugojimą įgyvendinti reliacinėje MS SQL duomenų bazėje? Jei būtina </w:t>
            </w:r>
            <w:proofErr w:type="spellStart"/>
            <w:r w:rsidRPr="00117F86">
              <w:rPr>
                <w:rFonts w:ascii="Jost" w:eastAsia="Times New Roman" w:hAnsi="Jost"/>
                <w:i/>
                <w:iCs/>
                <w:kern w:val="2"/>
                <w:lang w:val="lt-LT"/>
              </w:rPr>
              <w:t>openEHR</w:t>
            </w:r>
            <w:proofErr w:type="spellEnd"/>
            <w:r w:rsidRPr="00117F86">
              <w:rPr>
                <w:rFonts w:ascii="Jost" w:eastAsia="Times New Roman" w:hAnsi="Jost"/>
                <w:i/>
                <w:iCs/>
                <w:kern w:val="2"/>
                <w:lang w:val="lt-LT"/>
              </w:rPr>
              <w:t xml:space="preserve"> formate – siūlome nurodyti, kad jis taikomas tik naujai kuriamiems duomenų rinkiniams ir nėra taikomas plečiamiems duomenų, kur pridedamas vienas ar keli nauji laukai prie esamo duomenų rinkinio / modelio.</w:t>
            </w:r>
          </w:p>
        </w:tc>
      </w:tr>
      <w:tr w:rsidR="00094EC1" w:rsidRPr="00117F86" w14:paraId="1D435F0B" w14:textId="77777777" w:rsidTr="00F84782">
        <w:trPr>
          <w:trHeight w:val="400"/>
        </w:trPr>
        <w:tc>
          <w:tcPr>
            <w:tcW w:w="9923" w:type="dxa"/>
            <w:shd w:val="clear" w:color="auto" w:fill="DAE9F7" w:themeFill="text2" w:themeFillTint="1A"/>
          </w:tcPr>
          <w:p w14:paraId="49715E81" w14:textId="69685830" w:rsidR="00094EC1" w:rsidRPr="00117F86" w:rsidRDefault="00094EC1"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t>Atsakymas</w:t>
            </w:r>
          </w:p>
        </w:tc>
      </w:tr>
      <w:tr w:rsidR="00094EC1" w:rsidRPr="00117F86" w14:paraId="11AA696D" w14:textId="77777777" w:rsidTr="00F84782">
        <w:trPr>
          <w:trHeight w:val="400"/>
        </w:trPr>
        <w:tc>
          <w:tcPr>
            <w:tcW w:w="9923" w:type="dxa"/>
            <w:shd w:val="clear" w:color="auto" w:fill="auto"/>
          </w:tcPr>
          <w:p w14:paraId="2B371739" w14:textId="74E746EC" w:rsidR="004C4F2C" w:rsidRPr="00973EFC" w:rsidRDefault="004C4F2C" w:rsidP="00106C33">
            <w:pPr>
              <w:jc w:val="both"/>
              <w:rPr>
                <w:rFonts w:ascii="Jost" w:hAnsi="Jost"/>
                <w:lang w:val="lt-LT"/>
              </w:rPr>
            </w:pPr>
            <w:r w:rsidRPr="00973EFC">
              <w:rPr>
                <w:rFonts w:ascii="Jost" w:hAnsi="Jost"/>
                <w:lang w:val="lt-LT"/>
              </w:rPr>
              <w:t xml:space="preserve">Paaiškiname, kad </w:t>
            </w:r>
            <w:proofErr w:type="spellStart"/>
            <w:r w:rsidRPr="00973EFC">
              <w:rPr>
                <w:rFonts w:ascii="Jost" w:hAnsi="Jost"/>
                <w:lang w:val="lt-LT"/>
              </w:rPr>
              <w:t>OpenEHR</w:t>
            </w:r>
            <w:proofErr w:type="spellEnd"/>
            <w:r w:rsidRPr="00973EFC">
              <w:rPr>
                <w:rFonts w:ascii="Jost" w:hAnsi="Jost"/>
                <w:lang w:val="lt-LT"/>
              </w:rPr>
              <w:t xml:space="preserve"> rinkiniams saugoti galima naudoti MS SQL ar kitas reliacines duomenų bazes. </w:t>
            </w:r>
          </w:p>
          <w:p w14:paraId="6FD9CD6B" w14:textId="591D91B5" w:rsidR="00094EC1" w:rsidRPr="00973EFC" w:rsidRDefault="004C4F2C" w:rsidP="00106C33">
            <w:pPr>
              <w:tabs>
                <w:tab w:val="left" w:pos="567"/>
                <w:tab w:val="left" w:pos="851"/>
                <w:tab w:val="left" w:pos="992"/>
                <w:tab w:val="left" w:pos="1134"/>
              </w:tabs>
              <w:jc w:val="both"/>
              <w:textAlignment w:val="center"/>
              <w:rPr>
                <w:rFonts w:ascii="Jost" w:eastAsia="Times New Roman" w:hAnsi="Jost"/>
                <w:kern w:val="2"/>
                <w:lang w:val="lt-LT"/>
              </w:rPr>
            </w:pPr>
            <w:proofErr w:type="spellStart"/>
            <w:r w:rsidRPr="00973EFC">
              <w:rPr>
                <w:rFonts w:ascii="Jost" w:hAnsi="Jost"/>
                <w:lang w:val="lt-LT"/>
              </w:rPr>
              <w:t>OpenEHR</w:t>
            </w:r>
            <w:proofErr w:type="spellEnd"/>
            <w:r w:rsidRPr="00973EFC">
              <w:rPr>
                <w:rFonts w:ascii="Jost" w:hAnsi="Jost"/>
                <w:lang w:val="lt-LT"/>
              </w:rPr>
              <w:t xml:space="preserve"> standarto naudojimas yra nebūtinas, jis yra pateiktas kaip pavyzdinis duomenų saugojimo standartas</w:t>
            </w:r>
            <w:r w:rsidR="00973EFC">
              <w:rPr>
                <w:rFonts w:ascii="Jost" w:hAnsi="Jost"/>
                <w:lang w:val="lt-LT"/>
              </w:rPr>
              <w:t>.</w:t>
            </w:r>
          </w:p>
        </w:tc>
      </w:tr>
      <w:tr w:rsidR="00094EC1" w:rsidRPr="00117F86" w14:paraId="728A6BCE" w14:textId="77777777" w:rsidTr="00F84782">
        <w:trPr>
          <w:trHeight w:val="400"/>
        </w:trPr>
        <w:tc>
          <w:tcPr>
            <w:tcW w:w="9923" w:type="dxa"/>
            <w:shd w:val="clear" w:color="auto" w:fill="DAE9F7" w:themeFill="text2" w:themeFillTint="1A"/>
          </w:tcPr>
          <w:p w14:paraId="50FF7077" w14:textId="46E07606" w:rsidR="00094EC1" w:rsidRPr="00973EFC" w:rsidRDefault="00094EC1" w:rsidP="00106C33">
            <w:pPr>
              <w:tabs>
                <w:tab w:val="left" w:pos="567"/>
                <w:tab w:val="left" w:pos="851"/>
                <w:tab w:val="left" w:pos="992"/>
                <w:tab w:val="left" w:pos="1134"/>
              </w:tabs>
              <w:jc w:val="both"/>
              <w:textAlignment w:val="center"/>
              <w:rPr>
                <w:rFonts w:ascii="Jost" w:eastAsia="Times New Roman" w:hAnsi="Jost"/>
                <w:kern w:val="2"/>
                <w:lang w:val="lt-LT"/>
              </w:rPr>
            </w:pPr>
            <w:r w:rsidRPr="00973EFC">
              <w:rPr>
                <w:rFonts w:ascii="Jost" w:hAnsi="Jost"/>
                <w:b/>
                <w:bCs/>
                <w:lang w:val="lt-LT"/>
              </w:rPr>
              <w:t xml:space="preserve">Klausimas 5 </w:t>
            </w:r>
            <w:r w:rsidRPr="00973EFC">
              <w:rPr>
                <w:rFonts w:ascii="Jost" w:hAnsi="Jost"/>
                <w:lang w:val="lt-LT"/>
              </w:rPr>
              <w:t>(klausimo tekstas netaisytas)</w:t>
            </w:r>
          </w:p>
        </w:tc>
      </w:tr>
      <w:tr w:rsidR="00094EC1" w:rsidRPr="00117F86" w14:paraId="1D69D004" w14:textId="77777777" w:rsidTr="00F84782">
        <w:trPr>
          <w:trHeight w:val="400"/>
        </w:trPr>
        <w:tc>
          <w:tcPr>
            <w:tcW w:w="9923" w:type="dxa"/>
            <w:shd w:val="clear" w:color="auto" w:fill="auto"/>
          </w:tcPr>
          <w:p w14:paraId="3FFE64B2" w14:textId="607C3302" w:rsidR="00094EC1" w:rsidRPr="00973EFC" w:rsidRDefault="00094EC1" w:rsidP="00106C33">
            <w:pPr>
              <w:tabs>
                <w:tab w:val="left" w:pos="567"/>
                <w:tab w:val="left" w:pos="851"/>
                <w:tab w:val="left" w:pos="992"/>
                <w:tab w:val="left" w:pos="1134"/>
              </w:tabs>
              <w:jc w:val="both"/>
              <w:textAlignment w:val="center"/>
              <w:rPr>
                <w:rFonts w:ascii="Jost" w:eastAsia="Times New Roman" w:hAnsi="Jost"/>
                <w:i/>
                <w:iCs/>
                <w:kern w:val="2"/>
                <w:lang w:val="lt-LT"/>
              </w:rPr>
            </w:pPr>
            <w:r w:rsidRPr="00973EFC">
              <w:rPr>
                <w:rFonts w:ascii="Jost" w:eastAsia="Times New Roman" w:hAnsi="Jost"/>
                <w:i/>
                <w:iCs/>
                <w:kern w:val="2"/>
                <w:lang w:val="lt-LT"/>
              </w:rPr>
              <w:t xml:space="preserve">Prašome paaiškinti ar vadovaujantis „Reik_3“ reikalavimu reikės tik įgyvendinti duomenų mainus į / iš ESPBI naudojantis HL7 FHIR? Ar turės būti sukurta duomenų prieiga prie RPL IS duomenų naudojant HL7 FHIR? Atsižvelgiant į tai, kad duomenys bus </w:t>
            </w:r>
            <w:proofErr w:type="spellStart"/>
            <w:r w:rsidRPr="00973EFC">
              <w:rPr>
                <w:rFonts w:ascii="Jost" w:eastAsia="Times New Roman" w:hAnsi="Jost"/>
                <w:i/>
                <w:iCs/>
                <w:kern w:val="2"/>
                <w:lang w:val="lt-LT"/>
              </w:rPr>
              <w:t>openEHR</w:t>
            </w:r>
            <w:proofErr w:type="spellEnd"/>
            <w:r w:rsidRPr="00973EFC">
              <w:rPr>
                <w:rFonts w:ascii="Jost" w:eastAsia="Times New Roman" w:hAnsi="Jost"/>
                <w:i/>
                <w:iCs/>
                <w:kern w:val="2"/>
                <w:lang w:val="lt-LT"/>
              </w:rPr>
              <w:t xml:space="preserve"> formate – siūlome numatyti, kad duomenų prieigos API turi užtikrinti skaitymą </w:t>
            </w:r>
            <w:proofErr w:type="spellStart"/>
            <w:r w:rsidRPr="00973EFC">
              <w:rPr>
                <w:rFonts w:ascii="Jost" w:eastAsia="Times New Roman" w:hAnsi="Jost"/>
                <w:i/>
                <w:iCs/>
                <w:kern w:val="2"/>
                <w:lang w:val="lt-LT"/>
              </w:rPr>
              <w:t>openEHR</w:t>
            </w:r>
            <w:proofErr w:type="spellEnd"/>
            <w:r w:rsidRPr="00973EFC">
              <w:rPr>
                <w:rFonts w:ascii="Jost" w:eastAsia="Times New Roman" w:hAnsi="Jost"/>
                <w:i/>
                <w:iCs/>
                <w:kern w:val="2"/>
                <w:lang w:val="lt-LT"/>
              </w:rPr>
              <w:t xml:space="preserve"> formate. </w:t>
            </w:r>
          </w:p>
        </w:tc>
      </w:tr>
      <w:tr w:rsidR="00094EC1" w:rsidRPr="00117F86" w14:paraId="57E5E42F" w14:textId="77777777" w:rsidTr="00F84782">
        <w:trPr>
          <w:trHeight w:val="400"/>
        </w:trPr>
        <w:tc>
          <w:tcPr>
            <w:tcW w:w="9923" w:type="dxa"/>
            <w:shd w:val="clear" w:color="auto" w:fill="DAE9F7" w:themeFill="text2" w:themeFillTint="1A"/>
          </w:tcPr>
          <w:p w14:paraId="0BB272AC" w14:textId="5240F6E2" w:rsidR="00094EC1" w:rsidRPr="00973EFC" w:rsidRDefault="00094EC1" w:rsidP="00106C33">
            <w:pPr>
              <w:tabs>
                <w:tab w:val="left" w:pos="567"/>
                <w:tab w:val="left" w:pos="851"/>
                <w:tab w:val="left" w:pos="992"/>
                <w:tab w:val="left" w:pos="1134"/>
              </w:tabs>
              <w:jc w:val="both"/>
              <w:textAlignment w:val="center"/>
              <w:rPr>
                <w:rFonts w:ascii="Jost" w:eastAsia="Times New Roman" w:hAnsi="Jost"/>
                <w:kern w:val="2"/>
                <w:lang w:val="lt-LT"/>
              </w:rPr>
            </w:pPr>
            <w:r w:rsidRPr="00973EFC">
              <w:rPr>
                <w:rFonts w:ascii="Jost" w:hAnsi="Jost"/>
                <w:b/>
                <w:bCs/>
                <w:lang w:val="lt-LT"/>
              </w:rPr>
              <w:t>Atsakymas</w:t>
            </w:r>
          </w:p>
        </w:tc>
      </w:tr>
      <w:tr w:rsidR="00094EC1" w:rsidRPr="00117F86" w14:paraId="70742E0D" w14:textId="77777777" w:rsidTr="00F84782">
        <w:trPr>
          <w:trHeight w:val="400"/>
        </w:trPr>
        <w:tc>
          <w:tcPr>
            <w:tcW w:w="9923" w:type="dxa"/>
            <w:shd w:val="clear" w:color="auto" w:fill="auto"/>
          </w:tcPr>
          <w:p w14:paraId="754366D9" w14:textId="2F6DC723" w:rsidR="0084122F" w:rsidRPr="00973EFC" w:rsidRDefault="00EC6CCD" w:rsidP="00106C33">
            <w:pPr>
              <w:tabs>
                <w:tab w:val="left" w:pos="567"/>
                <w:tab w:val="left" w:pos="851"/>
                <w:tab w:val="left" w:pos="992"/>
                <w:tab w:val="left" w:pos="1134"/>
              </w:tabs>
              <w:jc w:val="both"/>
              <w:textAlignment w:val="center"/>
              <w:rPr>
                <w:rFonts w:ascii="Jost" w:hAnsi="Jost"/>
                <w:lang w:val="lt-LT"/>
              </w:rPr>
            </w:pPr>
            <w:r w:rsidRPr="00973EFC">
              <w:rPr>
                <w:rFonts w:ascii="Jost" w:hAnsi="Jost"/>
                <w:lang w:val="lt-LT"/>
              </w:rPr>
              <w:t xml:space="preserve">Paaiškiname, kad HL7 FHIR turės būti naudojami </w:t>
            </w:r>
            <w:r w:rsidR="000F76FA" w:rsidRPr="00973EFC">
              <w:rPr>
                <w:rFonts w:ascii="Jost" w:hAnsi="Jost"/>
                <w:lang w:val="lt-LT"/>
              </w:rPr>
              <w:t xml:space="preserve">tik tiems duomenims, kurie yra / bus aprašyti </w:t>
            </w:r>
            <w:r w:rsidRPr="00973EFC">
              <w:rPr>
                <w:rFonts w:ascii="Jost" w:hAnsi="Jost"/>
                <w:lang w:val="lt-LT"/>
              </w:rPr>
              <w:t>ESPBI IS sąsajų specifikacij</w:t>
            </w:r>
            <w:r w:rsidR="000F76FA" w:rsidRPr="00973EFC">
              <w:rPr>
                <w:rFonts w:ascii="Jost" w:hAnsi="Jost"/>
                <w:lang w:val="lt-LT"/>
              </w:rPr>
              <w:t>ose</w:t>
            </w:r>
            <w:r w:rsidRPr="00973EFC">
              <w:rPr>
                <w:rFonts w:ascii="Jost" w:hAnsi="Jost"/>
                <w:lang w:val="lt-LT"/>
              </w:rPr>
              <w:t xml:space="preserve"> duomenų teikimui/gavimui  į/iš ESPBI IS</w:t>
            </w:r>
            <w:r w:rsidR="000F76FA" w:rsidRPr="00973EFC">
              <w:rPr>
                <w:rFonts w:ascii="Jost" w:hAnsi="Jost"/>
                <w:lang w:val="lt-LT"/>
              </w:rPr>
              <w:t>, o ne prieigai prie visų RPL IS duomenų</w:t>
            </w:r>
            <w:r w:rsidRPr="00973EFC">
              <w:rPr>
                <w:rFonts w:ascii="Jost" w:hAnsi="Jost"/>
                <w:lang w:val="lt-LT"/>
              </w:rPr>
              <w:t>.</w:t>
            </w:r>
            <w:r w:rsidR="000F76FA" w:rsidRPr="00973EFC">
              <w:rPr>
                <w:rFonts w:ascii="Jost" w:hAnsi="Jost"/>
                <w:lang w:val="lt-LT"/>
              </w:rPr>
              <w:t xml:space="preserve"> </w:t>
            </w:r>
          </w:p>
          <w:p w14:paraId="350A8A9B" w14:textId="217D4F40" w:rsidR="00094EC1" w:rsidRPr="00973EFC" w:rsidRDefault="000F76FA" w:rsidP="00106C33">
            <w:pPr>
              <w:tabs>
                <w:tab w:val="left" w:pos="567"/>
                <w:tab w:val="left" w:pos="851"/>
                <w:tab w:val="left" w:pos="992"/>
                <w:tab w:val="left" w:pos="1134"/>
              </w:tabs>
              <w:jc w:val="both"/>
              <w:textAlignment w:val="center"/>
              <w:rPr>
                <w:rFonts w:ascii="Jost" w:eastAsia="Times New Roman" w:hAnsi="Jost"/>
                <w:kern w:val="2"/>
                <w:lang w:val="lt-LT"/>
              </w:rPr>
            </w:pPr>
            <w:proofErr w:type="spellStart"/>
            <w:r w:rsidRPr="00973EFC">
              <w:rPr>
                <w:rFonts w:ascii="Jost" w:hAnsi="Jost"/>
                <w:lang w:val="lt-LT"/>
              </w:rPr>
              <w:t>OpenEHR</w:t>
            </w:r>
            <w:proofErr w:type="spellEnd"/>
            <w:r w:rsidRPr="00973EFC">
              <w:rPr>
                <w:rFonts w:ascii="Jost" w:hAnsi="Jost"/>
                <w:lang w:val="lt-LT"/>
              </w:rPr>
              <w:t xml:space="preserve"> yra pateiktas kaip pavyzdinis duomenų saugojimo standartas, tad reikalavimas užtikrinti API </w:t>
            </w:r>
            <w:r w:rsidR="00985282" w:rsidRPr="00973EFC">
              <w:rPr>
                <w:rFonts w:ascii="Jost" w:hAnsi="Jost"/>
                <w:lang w:val="lt-LT"/>
              </w:rPr>
              <w:t>skaitymą</w:t>
            </w:r>
            <w:r w:rsidRPr="00973EFC">
              <w:rPr>
                <w:rFonts w:ascii="Jost" w:hAnsi="Jost"/>
                <w:lang w:val="lt-LT"/>
              </w:rPr>
              <w:t xml:space="preserve"> </w:t>
            </w:r>
            <w:proofErr w:type="spellStart"/>
            <w:r w:rsidRPr="00973EFC">
              <w:rPr>
                <w:rFonts w:ascii="Jost" w:hAnsi="Jost"/>
                <w:lang w:val="lt-LT"/>
              </w:rPr>
              <w:t>OpenEHR</w:t>
            </w:r>
            <w:proofErr w:type="spellEnd"/>
            <w:r w:rsidRPr="00973EFC">
              <w:rPr>
                <w:rFonts w:ascii="Jost" w:hAnsi="Jost"/>
                <w:lang w:val="lt-LT"/>
              </w:rPr>
              <w:t xml:space="preserve"> formatu netaikytinas.</w:t>
            </w:r>
          </w:p>
        </w:tc>
      </w:tr>
      <w:tr w:rsidR="00094EC1" w:rsidRPr="00117F86" w14:paraId="62B24A17" w14:textId="77777777" w:rsidTr="00F84782">
        <w:trPr>
          <w:trHeight w:val="400"/>
        </w:trPr>
        <w:tc>
          <w:tcPr>
            <w:tcW w:w="9923" w:type="dxa"/>
            <w:shd w:val="clear" w:color="auto" w:fill="DAE9F7" w:themeFill="text2" w:themeFillTint="1A"/>
          </w:tcPr>
          <w:p w14:paraId="2D604E8D" w14:textId="62C9FE40" w:rsidR="00094EC1" w:rsidRPr="00117F86" w:rsidRDefault="00094EC1"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t xml:space="preserve">Klausimas 6 </w:t>
            </w:r>
            <w:r w:rsidRPr="00117F86">
              <w:rPr>
                <w:rFonts w:ascii="Jost" w:hAnsi="Jost"/>
                <w:lang w:val="lt-LT"/>
              </w:rPr>
              <w:t>(klausimo tekstas netaisytas)</w:t>
            </w:r>
          </w:p>
        </w:tc>
      </w:tr>
      <w:tr w:rsidR="00094EC1" w:rsidRPr="00117F86" w14:paraId="46484967" w14:textId="77777777" w:rsidTr="00F84782">
        <w:trPr>
          <w:trHeight w:val="400"/>
        </w:trPr>
        <w:tc>
          <w:tcPr>
            <w:tcW w:w="9923" w:type="dxa"/>
            <w:shd w:val="clear" w:color="auto" w:fill="auto"/>
          </w:tcPr>
          <w:p w14:paraId="4D796C9B" w14:textId="161064B3" w:rsidR="00094EC1" w:rsidRPr="00117F86" w:rsidRDefault="00094EC1" w:rsidP="00106C33">
            <w:pPr>
              <w:tabs>
                <w:tab w:val="left" w:pos="567"/>
                <w:tab w:val="left" w:pos="851"/>
                <w:tab w:val="left" w:pos="992"/>
                <w:tab w:val="left" w:pos="1134"/>
              </w:tabs>
              <w:jc w:val="both"/>
              <w:textAlignment w:val="center"/>
              <w:rPr>
                <w:rFonts w:ascii="Jost" w:eastAsia="Times New Roman" w:hAnsi="Jost"/>
                <w:i/>
                <w:iCs/>
                <w:kern w:val="2"/>
                <w:lang w:val="lt-LT"/>
              </w:rPr>
            </w:pPr>
            <w:r w:rsidRPr="00117F86">
              <w:rPr>
                <w:rFonts w:ascii="Jost" w:eastAsia="Times New Roman" w:hAnsi="Jost"/>
                <w:i/>
                <w:iCs/>
                <w:kern w:val="2"/>
                <w:lang w:val="lt-LT"/>
              </w:rPr>
              <w:t xml:space="preserve">Prašome paaiškinti ar </w:t>
            </w:r>
            <w:proofErr w:type="spellStart"/>
            <w:r w:rsidRPr="00117F86">
              <w:rPr>
                <w:rFonts w:ascii="Jost" w:eastAsia="Times New Roman" w:hAnsi="Jost"/>
                <w:i/>
                <w:iCs/>
                <w:kern w:val="2"/>
                <w:lang w:val="lt-LT"/>
              </w:rPr>
              <w:t>openEHR</w:t>
            </w:r>
            <w:proofErr w:type="spellEnd"/>
            <w:r w:rsidRPr="00117F86">
              <w:rPr>
                <w:rFonts w:ascii="Jost" w:eastAsia="Times New Roman" w:hAnsi="Jost"/>
                <w:i/>
                <w:iCs/>
                <w:kern w:val="2"/>
                <w:lang w:val="lt-LT"/>
              </w:rPr>
              <w:t xml:space="preserve"> duomenų saugojimui ir tvarkymui naudojamos programinės įrangos bei „</w:t>
            </w:r>
            <w:proofErr w:type="spellStart"/>
            <w:r w:rsidRPr="00117F86">
              <w:rPr>
                <w:rFonts w:ascii="Jost" w:eastAsia="Times New Roman" w:hAnsi="Jost"/>
                <w:i/>
                <w:iCs/>
                <w:kern w:val="2"/>
                <w:lang w:val="lt-LT"/>
              </w:rPr>
              <w:t>low-code</w:t>
            </w:r>
            <w:proofErr w:type="spellEnd"/>
            <w:r w:rsidRPr="00117F86">
              <w:rPr>
                <w:rFonts w:ascii="Jost" w:eastAsia="Times New Roman" w:hAnsi="Jost"/>
                <w:i/>
                <w:iCs/>
                <w:kern w:val="2"/>
                <w:lang w:val="lt-LT"/>
              </w:rPr>
              <w:t xml:space="preserve">“ programinės įrangos priemonių licencijavimas gali būti toks pat kaip analitinės programinės įrangos, </w:t>
            </w:r>
            <w:proofErr w:type="spellStart"/>
            <w:r w:rsidRPr="00117F86">
              <w:rPr>
                <w:rFonts w:ascii="Jost" w:eastAsia="Times New Roman" w:hAnsi="Jost"/>
                <w:i/>
                <w:iCs/>
                <w:kern w:val="2"/>
                <w:lang w:val="lt-LT"/>
              </w:rPr>
              <w:t>t.y</w:t>
            </w:r>
            <w:proofErr w:type="spellEnd"/>
            <w:r w:rsidRPr="00117F86">
              <w:rPr>
                <w:rFonts w:ascii="Jost" w:eastAsia="Times New Roman" w:hAnsi="Jost"/>
                <w:i/>
                <w:iCs/>
                <w:kern w:val="2"/>
                <w:lang w:val="lt-LT"/>
              </w:rPr>
              <w:t xml:space="preserve">. 12 mėnesių nuo garantijos pradžios užtikrinant visų to periodo pacientų duomenų tvarkymą neribojant naudotojų skaičiaus. </w:t>
            </w:r>
          </w:p>
        </w:tc>
      </w:tr>
      <w:tr w:rsidR="00094EC1" w:rsidRPr="00117F86" w14:paraId="3A0F80F2" w14:textId="77777777" w:rsidTr="00F84782">
        <w:trPr>
          <w:trHeight w:val="400"/>
        </w:trPr>
        <w:tc>
          <w:tcPr>
            <w:tcW w:w="9923" w:type="dxa"/>
            <w:shd w:val="clear" w:color="auto" w:fill="DAE9F7" w:themeFill="text2" w:themeFillTint="1A"/>
          </w:tcPr>
          <w:p w14:paraId="62037795" w14:textId="0FD29737" w:rsidR="00094EC1" w:rsidRPr="00973EFC" w:rsidRDefault="00094EC1" w:rsidP="00106C33">
            <w:pPr>
              <w:tabs>
                <w:tab w:val="left" w:pos="567"/>
                <w:tab w:val="left" w:pos="851"/>
                <w:tab w:val="left" w:pos="992"/>
                <w:tab w:val="left" w:pos="1134"/>
              </w:tabs>
              <w:jc w:val="both"/>
              <w:textAlignment w:val="center"/>
              <w:rPr>
                <w:rFonts w:ascii="Jost" w:eastAsia="Times New Roman" w:hAnsi="Jost"/>
                <w:kern w:val="2"/>
                <w:lang w:val="lt-LT"/>
              </w:rPr>
            </w:pPr>
            <w:r w:rsidRPr="00973EFC">
              <w:rPr>
                <w:rFonts w:ascii="Jost" w:hAnsi="Jost"/>
                <w:b/>
                <w:bCs/>
                <w:lang w:val="lt-LT"/>
              </w:rPr>
              <w:t>Atsakymas</w:t>
            </w:r>
          </w:p>
        </w:tc>
      </w:tr>
      <w:tr w:rsidR="00B546B9" w:rsidRPr="00117F86" w14:paraId="4CA545EF" w14:textId="77777777" w:rsidTr="00F84782">
        <w:trPr>
          <w:trHeight w:val="400"/>
        </w:trPr>
        <w:tc>
          <w:tcPr>
            <w:tcW w:w="9923" w:type="dxa"/>
            <w:shd w:val="clear" w:color="auto" w:fill="auto"/>
          </w:tcPr>
          <w:p w14:paraId="6EAD1251" w14:textId="77777777" w:rsidR="00B546B9" w:rsidRPr="00973EFC" w:rsidRDefault="00B546B9" w:rsidP="00106C33">
            <w:pPr>
              <w:jc w:val="both"/>
              <w:rPr>
                <w:rFonts w:ascii="Jost" w:hAnsi="Jost"/>
                <w:lang w:val="lt-LT"/>
              </w:rPr>
            </w:pPr>
            <w:r w:rsidRPr="00973EFC">
              <w:rPr>
                <w:rFonts w:ascii="Jost" w:hAnsi="Jost"/>
                <w:lang w:val="lt-LT"/>
              </w:rPr>
              <w:t xml:space="preserve">Paaiškiname, kad taip,  </w:t>
            </w:r>
            <w:proofErr w:type="spellStart"/>
            <w:r w:rsidRPr="00973EFC">
              <w:rPr>
                <w:rFonts w:ascii="Jost" w:hAnsi="Jost"/>
                <w:lang w:val="lt-LT"/>
              </w:rPr>
              <w:t>openEHR</w:t>
            </w:r>
            <w:proofErr w:type="spellEnd"/>
            <w:r w:rsidRPr="00973EFC">
              <w:rPr>
                <w:rFonts w:ascii="Jost" w:hAnsi="Jost"/>
                <w:lang w:val="lt-LT"/>
              </w:rPr>
              <w:t xml:space="preserve"> duomenų saugojimui ir tvarkymui naudojamos programinės </w:t>
            </w:r>
          </w:p>
          <w:p w14:paraId="53BE7542" w14:textId="245B026C" w:rsidR="00B546B9" w:rsidRPr="00973EFC" w:rsidRDefault="00B546B9" w:rsidP="00106C33">
            <w:pPr>
              <w:jc w:val="both"/>
              <w:rPr>
                <w:rFonts w:ascii="Jost" w:eastAsia="Times New Roman" w:hAnsi="Jost"/>
                <w:kern w:val="2"/>
                <w:lang w:val="lt-LT"/>
              </w:rPr>
            </w:pPr>
            <w:r w:rsidRPr="00973EFC">
              <w:rPr>
                <w:rFonts w:ascii="Jost" w:hAnsi="Jost"/>
                <w:lang w:val="lt-LT"/>
              </w:rPr>
              <w:t>įrangos bei „</w:t>
            </w:r>
            <w:proofErr w:type="spellStart"/>
            <w:r w:rsidRPr="00973EFC">
              <w:rPr>
                <w:rFonts w:ascii="Jost" w:hAnsi="Jost"/>
                <w:lang w:val="lt-LT"/>
              </w:rPr>
              <w:t>low-code</w:t>
            </w:r>
            <w:proofErr w:type="spellEnd"/>
            <w:r w:rsidRPr="00973EFC">
              <w:rPr>
                <w:rFonts w:ascii="Jost" w:hAnsi="Jost"/>
                <w:lang w:val="lt-LT"/>
              </w:rPr>
              <w:t>“ programinės įrangos priemonių licencijavimas gali būti toks pat kaip analitinės programinės įrangos, t.</w:t>
            </w:r>
            <w:r w:rsidR="00C57417" w:rsidRPr="00973EFC">
              <w:rPr>
                <w:rFonts w:ascii="Jost" w:hAnsi="Jost"/>
                <w:lang w:val="lt-LT"/>
              </w:rPr>
              <w:t xml:space="preserve"> </w:t>
            </w:r>
            <w:r w:rsidRPr="00973EFC">
              <w:rPr>
                <w:rFonts w:ascii="Jost" w:hAnsi="Jost"/>
                <w:lang w:val="lt-LT"/>
              </w:rPr>
              <w:t xml:space="preserve">y. 12 mėnesių nuo garantijos pradžios. Tačiau </w:t>
            </w:r>
            <w:r w:rsidR="000A26A0" w:rsidRPr="00973EFC">
              <w:rPr>
                <w:rFonts w:ascii="Jost" w:hAnsi="Jost"/>
                <w:lang w:val="lt-LT"/>
              </w:rPr>
              <w:t>paaiškiname</w:t>
            </w:r>
            <w:r w:rsidRPr="00973EFC">
              <w:rPr>
                <w:rFonts w:ascii="Jost" w:hAnsi="Jost"/>
                <w:lang w:val="lt-LT"/>
              </w:rPr>
              <w:t xml:space="preserve">, </w:t>
            </w:r>
            <w:r w:rsidRPr="00973EFC">
              <w:rPr>
                <w:rFonts w:ascii="Jost" w:hAnsi="Jost"/>
                <w:lang w:val="lt-LT"/>
              </w:rPr>
              <w:lastRenderedPageBreak/>
              <w:t xml:space="preserve">kad šiomis priemonėmis Projekto metu sukurti / modernizuoti duomenų aprašymai, archetipai, formos, šablonai (angl. </w:t>
            </w:r>
            <w:proofErr w:type="spellStart"/>
            <w:r w:rsidRPr="00973EFC">
              <w:rPr>
                <w:rFonts w:ascii="Jost" w:hAnsi="Jost"/>
                <w:lang w:val="lt-LT"/>
              </w:rPr>
              <w:t>template</w:t>
            </w:r>
            <w:proofErr w:type="spellEnd"/>
            <w:r w:rsidRPr="00973EFC">
              <w:rPr>
                <w:rFonts w:ascii="Jost" w:hAnsi="Jost"/>
                <w:lang w:val="lt-LT"/>
              </w:rPr>
              <w:t>) ir kiti rezultatai turi būti pateikti RPL</w:t>
            </w:r>
            <w:r w:rsidR="0005038E" w:rsidRPr="00973EFC">
              <w:rPr>
                <w:rFonts w:ascii="Jost" w:hAnsi="Jost"/>
                <w:lang w:val="lt-LT"/>
              </w:rPr>
              <w:t>.</w:t>
            </w:r>
            <w:r w:rsidRPr="00973EFC">
              <w:rPr>
                <w:rFonts w:ascii="Jost" w:hAnsi="Jost"/>
                <w:lang w:val="lt-LT"/>
              </w:rPr>
              <w:t xml:space="preserve"> </w:t>
            </w:r>
          </w:p>
        </w:tc>
      </w:tr>
      <w:tr w:rsidR="00B546B9" w:rsidRPr="00117F86" w14:paraId="78A171EA" w14:textId="77777777" w:rsidTr="00F84782">
        <w:trPr>
          <w:trHeight w:val="400"/>
        </w:trPr>
        <w:tc>
          <w:tcPr>
            <w:tcW w:w="9923" w:type="dxa"/>
            <w:shd w:val="clear" w:color="auto" w:fill="DAE9F7" w:themeFill="text2" w:themeFillTint="1A"/>
          </w:tcPr>
          <w:p w14:paraId="468F0AE3" w14:textId="1BE84FB5" w:rsidR="00B546B9" w:rsidRPr="00117F86" w:rsidRDefault="00B546B9"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lastRenderedPageBreak/>
              <w:t xml:space="preserve">Klausimas 7 </w:t>
            </w:r>
            <w:r w:rsidRPr="00117F86">
              <w:rPr>
                <w:rFonts w:ascii="Jost" w:hAnsi="Jost"/>
                <w:lang w:val="lt-LT"/>
              </w:rPr>
              <w:t>(klausimo tekstas netaisytas)</w:t>
            </w:r>
          </w:p>
        </w:tc>
      </w:tr>
      <w:tr w:rsidR="00B546B9" w:rsidRPr="00117F86" w14:paraId="708371FF" w14:textId="77777777" w:rsidTr="00F84782">
        <w:trPr>
          <w:trHeight w:val="400"/>
        </w:trPr>
        <w:tc>
          <w:tcPr>
            <w:tcW w:w="9923" w:type="dxa"/>
            <w:shd w:val="clear" w:color="auto" w:fill="auto"/>
          </w:tcPr>
          <w:p w14:paraId="1822221D" w14:textId="71860730" w:rsidR="00B546B9" w:rsidRPr="00117F86" w:rsidRDefault="00B546B9"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eastAsia="Times New Roman" w:hAnsi="Jost"/>
                <w:i/>
                <w:iCs/>
                <w:kern w:val="2"/>
                <w:lang w:val="lt-LT"/>
              </w:rPr>
              <w:t>Prašome patikslinti „Veiklos ir duomenų tvarkymo operacijų apimtys“ informacija papildomai nurodant per metus gydytų unikalių pacientų skaičių bei kiek buvo gydyta pacientų ambulatoriškai.</w:t>
            </w:r>
          </w:p>
        </w:tc>
      </w:tr>
      <w:tr w:rsidR="00B546B9" w:rsidRPr="00117F86" w14:paraId="2AD5E9D9" w14:textId="77777777" w:rsidTr="00F84782">
        <w:trPr>
          <w:trHeight w:val="400"/>
        </w:trPr>
        <w:tc>
          <w:tcPr>
            <w:tcW w:w="9923" w:type="dxa"/>
            <w:shd w:val="clear" w:color="auto" w:fill="DAE9F7" w:themeFill="text2" w:themeFillTint="1A"/>
          </w:tcPr>
          <w:p w14:paraId="404ED1DD" w14:textId="3F9729D3" w:rsidR="00B546B9" w:rsidRPr="00117F86" w:rsidRDefault="00B546B9"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t>Atsakymas</w:t>
            </w:r>
          </w:p>
        </w:tc>
      </w:tr>
      <w:tr w:rsidR="00B546B9" w:rsidRPr="00117F86" w14:paraId="7CDC4E43" w14:textId="77777777" w:rsidTr="00F84782">
        <w:trPr>
          <w:trHeight w:val="400"/>
        </w:trPr>
        <w:tc>
          <w:tcPr>
            <w:tcW w:w="9923" w:type="dxa"/>
            <w:shd w:val="clear" w:color="auto" w:fill="auto"/>
          </w:tcPr>
          <w:p w14:paraId="676DDDA1" w14:textId="33B20EFB" w:rsidR="00B546B9" w:rsidRPr="00117F86" w:rsidRDefault="00370952"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lang w:val="lt-LT"/>
              </w:rPr>
              <w:t>U</w:t>
            </w:r>
            <w:r w:rsidR="00336605" w:rsidRPr="00117F86">
              <w:rPr>
                <w:rFonts w:ascii="Jost" w:hAnsi="Jost"/>
                <w:lang w:val="lt-LT"/>
              </w:rPr>
              <w:t>nikalių</w:t>
            </w:r>
            <w:r>
              <w:rPr>
                <w:rFonts w:ascii="Jost" w:hAnsi="Jost"/>
                <w:lang w:val="lt-LT"/>
              </w:rPr>
              <w:t xml:space="preserve"> </w:t>
            </w:r>
            <w:r w:rsidR="00336605" w:rsidRPr="00117F86">
              <w:rPr>
                <w:rFonts w:ascii="Jost" w:hAnsi="Jost"/>
                <w:lang w:val="lt-LT"/>
              </w:rPr>
              <w:t>stacionarinių pacientų skaičius per metus yra 24 687. Unikalių ambulatorinių pacientų</w:t>
            </w:r>
            <w:r>
              <w:rPr>
                <w:rFonts w:ascii="Jost" w:hAnsi="Jost"/>
                <w:lang w:val="lt-LT"/>
              </w:rPr>
              <w:t xml:space="preserve"> skaičius </w:t>
            </w:r>
            <w:r w:rsidR="00336605" w:rsidRPr="00117F86">
              <w:rPr>
                <w:rFonts w:ascii="Jost" w:hAnsi="Jost"/>
                <w:lang w:val="lt-LT"/>
              </w:rPr>
              <w:t>per metus</w:t>
            </w:r>
            <w:r>
              <w:rPr>
                <w:rFonts w:ascii="Jost" w:hAnsi="Jost"/>
                <w:lang w:val="lt-LT"/>
              </w:rPr>
              <w:t xml:space="preserve"> –</w:t>
            </w:r>
            <w:r w:rsidR="00336605" w:rsidRPr="00117F86">
              <w:rPr>
                <w:rFonts w:ascii="Jost" w:hAnsi="Jost"/>
                <w:lang w:val="lt-LT"/>
              </w:rPr>
              <w:t xml:space="preserve"> 103 105.</w:t>
            </w:r>
          </w:p>
        </w:tc>
      </w:tr>
      <w:tr w:rsidR="00B546B9" w:rsidRPr="00117F86" w14:paraId="0F906B3F" w14:textId="77777777" w:rsidTr="00F84782">
        <w:trPr>
          <w:trHeight w:val="400"/>
        </w:trPr>
        <w:tc>
          <w:tcPr>
            <w:tcW w:w="9923" w:type="dxa"/>
            <w:shd w:val="clear" w:color="auto" w:fill="DAE9F7" w:themeFill="text2" w:themeFillTint="1A"/>
          </w:tcPr>
          <w:p w14:paraId="414502FD" w14:textId="32C2A6BB" w:rsidR="00B546B9" w:rsidRPr="00117F86" w:rsidRDefault="00B546B9"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t xml:space="preserve">Klausimas 8 </w:t>
            </w:r>
            <w:r w:rsidRPr="00117F86">
              <w:rPr>
                <w:rFonts w:ascii="Jost" w:hAnsi="Jost"/>
                <w:lang w:val="lt-LT"/>
              </w:rPr>
              <w:t>(klausimo tekstas netaisytas)</w:t>
            </w:r>
          </w:p>
        </w:tc>
      </w:tr>
      <w:tr w:rsidR="00B546B9" w:rsidRPr="00117F86" w14:paraId="2BB13373" w14:textId="77777777" w:rsidTr="00F84782">
        <w:trPr>
          <w:trHeight w:val="400"/>
        </w:trPr>
        <w:tc>
          <w:tcPr>
            <w:tcW w:w="9923" w:type="dxa"/>
            <w:shd w:val="clear" w:color="auto" w:fill="auto"/>
          </w:tcPr>
          <w:p w14:paraId="77BD13E5" w14:textId="5470935C" w:rsidR="00B546B9" w:rsidRPr="00117F86" w:rsidRDefault="00B546B9"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eastAsia="Times New Roman" w:hAnsi="Jost"/>
                <w:i/>
                <w:iCs/>
                <w:kern w:val="2"/>
                <w:lang w:val="lt-LT"/>
              </w:rPr>
              <w:t xml:space="preserve">Prašome paaiškinti ar patikslinti 19 lentelės tekstą „Reikalingas skaitmenizavimas (galimas įgyvendinimas elektroniniame medicinos dokumente E025 arba kaip naujo API).“. Atkreiptinas dėmesys, kad RPL IS naudojasi ESPBI E025 ar kitais API, todėl šio konkurso tiekėjas neturės galimybių vykdyti ESPBI API pakeitimų. </w:t>
            </w:r>
          </w:p>
        </w:tc>
      </w:tr>
      <w:tr w:rsidR="00B546B9" w:rsidRPr="00117F86" w14:paraId="3E9987F1" w14:textId="77777777" w:rsidTr="00F84782">
        <w:trPr>
          <w:trHeight w:val="400"/>
        </w:trPr>
        <w:tc>
          <w:tcPr>
            <w:tcW w:w="9923" w:type="dxa"/>
            <w:shd w:val="clear" w:color="auto" w:fill="DAE9F7" w:themeFill="text2" w:themeFillTint="1A"/>
          </w:tcPr>
          <w:p w14:paraId="409210C1" w14:textId="12EDBB55" w:rsidR="00B546B9" w:rsidRPr="00117F86" w:rsidRDefault="00B546B9"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t>Atsakymas</w:t>
            </w:r>
          </w:p>
        </w:tc>
      </w:tr>
      <w:tr w:rsidR="00B546B9" w:rsidRPr="00117F86" w14:paraId="688F1291" w14:textId="77777777" w:rsidTr="00F84782">
        <w:trPr>
          <w:trHeight w:val="400"/>
        </w:trPr>
        <w:tc>
          <w:tcPr>
            <w:tcW w:w="9923" w:type="dxa"/>
            <w:shd w:val="clear" w:color="auto" w:fill="auto"/>
          </w:tcPr>
          <w:p w14:paraId="7BA5F3E5" w14:textId="77777777" w:rsidR="000B7B60" w:rsidRPr="00117F86" w:rsidRDefault="000B7B60" w:rsidP="00106C33">
            <w:pPr>
              <w:jc w:val="both"/>
              <w:rPr>
                <w:rFonts w:ascii="Jost" w:hAnsi="Jost"/>
                <w:lang w:val="lt-LT"/>
              </w:rPr>
            </w:pPr>
            <w:r w:rsidRPr="00117F86">
              <w:rPr>
                <w:rFonts w:ascii="Jost" w:hAnsi="Jost"/>
                <w:lang w:val="lt-LT"/>
              </w:rPr>
              <w:t>Paaiškiname, kad alternatyvos yra nurodytos, kadangi šio pirkimo metu dar nėra paskelbtos ESBPI IS atnaujintų API specifikacijos. Tiekėjas turės naudotis ESPBI IS API specifikacijomis, ar tai būtų  pasirinktas E025 medicininio duomenų rinkinio atnaujinimas ar duomenų teikimas naujai apibrėžtame duomenų rinkinyje.</w:t>
            </w:r>
          </w:p>
          <w:p w14:paraId="06C5AD1E" w14:textId="288A8C55" w:rsidR="00B546B9" w:rsidRPr="00117F86" w:rsidRDefault="000B7B60"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lang w:val="lt-LT"/>
              </w:rPr>
              <w:t>Tiekėjas neturės vykdyti ESPBI API pakeitimų.</w:t>
            </w:r>
          </w:p>
        </w:tc>
      </w:tr>
      <w:tr w:rsidR="00B546B9" w:rsidRPr="00117F86" w14:paraId="55B710D5" w14:textId="77777777" w:rsidTr="00F84782">
        <w:trPr>
          <w:trHeight w:val="400"/>
        </w:trPr>
        <w:tc>
          <w:tcPr>
            <w:tcW w:w="9923" w:type="dxa"/>
            <w:shd w:val="clear" w:color="auto" w:fill="DAE9F7" w:themeFill="text2" w:themeFillTint="1A"/>
          </w:tcPr>
          <w:p w14:paraId="793A896D" w14:textId="106D2586" w:rsidR="00B546B9" w:rsidRPr="00117F86" w:rsidRDefault="00B546B9"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t xml:space="preserve">Klausimas 9 </w:t>
            </w:r>
            <w:r w:rsidRPr="00117F86">
              <w:rPr>
                <w:rFonts w:ascii="Jost" w:hAnsi="Jost"/>
                <w:lang w:val="lt-LT"/>
              </w:rPr>
              <w:t>(klausimo tekstas netaisytas)</w:t>
            </w:r>
          </w:p>
        </w:tc>
      </w:tr>
      <w:tr w:rsidR="00B546B9" w:rsidRPr="00117F86" w14:paraId="35B580B1" w14:textId="77777777" w:rsidTr="00F84782">
        <w:trPr>
          <w:trHeight w:val="400"/>
        </w:trPr>
        <w:tc>
          <w:tcPr>
            <w:tcW w:w="9923" w:type="dxa"/>
            <w:shd w:val="clear" w:color="auto" w:fill="auto"/>
          </w:tcPr>
          <w:p w14:paraId="02D80E9E" w14:textId="6F6167ED" w:rsidR="00B546B9" w:rsidRPr="00117F86" w:rsidRDefault="00B546B9" w:rsidP="00106C33">
            <w:pPr>
              <w:tabs>
                <w:tab w:val="left" w:pos="567"/>
                <w:tab w:val="left" w:pos="851"/>
                <w:tab w:val="left" w:pos="992"/>
                <w:tab w:val="left" w:pos="1134"/>
              </w:tabs>
              <w:jc w:val="both"/>
              <w:textAlignment w:val="center"/>
              <w:rPr>
                <w:rFonts w:ascii="Jost" w:eastAsia="Times New Roman" w:hAnsi="Jost"/>
                <w:i/>
                <w:iCs/>
                <w:kern w:val="2"/>
                <w:lang w:val="lt-LT"/>
              </w:rPr>
            </w:pPr>
            <w:r w:rsidRPr="00117F86">
              <w:rPr>
                <w:rFonts w:ascii="Jost" w:eastAsia="Times New Roman" w:hAnsi="Jost"/>
                <w:i/>
                <w:iCs/>
                <w:kern w:val="2"/>
                <w:lang w:val="lt-LT"/>
              </w:rPr>
              <w:t xml:space="preserve">Prašome paaiškinti ar vadovaujantis „Reik_52“ pakaks įdiegti naują analizės ir ataskaitų priemonę (pvz. Power BI) ir joje realizuoti šio projekto ataskaitas skirtas skaičiuoti rodikliams ir nekeliamas reikalavimas perkelti visas ataskaitas išvardintas 1 Priede „Ataskaitų tipai“. </w:t>
            </w:r>
          </w:p>
        </w:tc>
      </w:tr>
      <w:tr w:rsidR="00B546B9" w:rsidRPr="00117F86" w14:paraId="59AC986C" w14:textId="77777777" w:rsidTr="00F84782">
        <w:trPr>
          <w:trHeight w:val="400"/>
        </w:trPr>
        <w:tc>
          <w:tcPr>
            <w:tcW w:w="9923" w:type="dxa"/>
            <w:shd w:val="clear" w:color="auto" w:fill="DAE9F7" w:themeFill="text2" w:themeFillTint="1A"/>
          </w:tcPr>
          <w:p w14:paraId="21D73F85" w14:textId="38CC55B7" w:rsidR="00B546B9" w:rsidRPr="00117F86" w:rsidRDefault="00B546B9"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t>Atsakymas</w:t>
            </w:r>
          </w:p>
        </w:tc>
      </w:tr>
      <w:tr w:rsidR="009A6E37" w:rsidRPr="00117F86" w14:paraId="44C70D1C" w14:textId="77777777" w:rsidTr="00F84782">
        <w:trPr>
          <w:trHeight w:val="400"/>
        </w:trPr>
        <w:tc>
          <w:tcPr>
            <w:tcW w:w="9923" w:type="dxa"/>
            <w:shd w:val="clear" w:color="auto" w:fill="auto"/>
          </w:tcPr>
          <w:p w14:paraId="3524185A" w14:textId="61190416" w:rsidR="009A6E37" w:rsidRPr="00117F86" w:rsidRDefault="009A6E37"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lang w:val="lt-LT"/>
              </w:rPr>
              <w:t>Paaiškiname, kad reik_52 galioja tik šio projekto apimtyje kuriamoms medicininių klasterių veiklos rodiklių ataskaitoms.</w:t>
            </w:r>
          </w:p>
        </w:tc>
      </w:tr>
      <w:tr w:rsidR="009A6E37" w:rsidRPr="00117F86" w14:paraId="56748B7A" w14:textId="77777777" w:rsidTr="00F84782">
        <w:trPr>
          <w:trHeight w:val="400"/>
        </w:trPr>
        <w:tc>
          <w:tcPr>
            <w:tcW w:w="9923" w:type="dxa"/>
            <w:shd w:val="clear" w:color="auto" w:fill="DAE9F7" w:themeFill="text2" w:themeFillTint="1A"/>
          </w:tcPr>
          <w:p w14:paraId="3BA57B36" w14:textId="670123AF" w:rsidR="009A6E37" w:rsidRPr="00117F86" w:rsidRDefault="009A6E37"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t xml:space="preserve">Klausimas 10 </w:t>
            </w:r>
            <w:r w:rsidRPr="00117F86">
              <w:rPr>
                <w:rFonts w:ascii="Jost" w:hAnsi="Jost"/>
                <w:lang w:val="lt-LT"/>
              </w:rPr>
              <w:t>(klausimo tekstas netaisytas)</w:t>
            </w:r>
          </w:p>
        </w:tc>
      </w:tr>
      <w:tr w:rsidR="009A6E37" w:rsidRPr="00117F86" w14:paraId="49344E74" w14:textId="77777777" w:rsidTr="00F84782">
        <w:trPr>
          <w:trHeight w:val="400"/>
        </w:trPr>
        <w:tc>
          <w:tcPr>
            <w:tcW w:w="9923" w:type="dxa"/>
            <w:shd w:val="clear" w:color="auto" w:fill="auto"/>
          </w:tcPr>
          <w:p w14:paraId="1DCC7F17" w14:textId="7AA5750D" w:rsidR="009A6E37" w:rsidRPr="00BB2691" w:rsidRDefault="009A6E37" w:rsidP="00106C33">
            <w:pPr>
              <w:tabs>
                <w:tab w:val="left" w:pos="567"/>
                <w:tab w:val="left" w:pos="851"/>
                <w:tab w:val="left" w:pos="992"/>
                <w:tab w:val="left" w:pos="1134"/>
              </w:tabs>
              <w:jc w:val="both"/>
              <w:textAlignment w:val="center"/>
              <w:rPr>
                <w:rFonts w:ascii="Jost" w:eastAsia="Times New Roman" w:hAnsi="Jost"/>
                <w:i/>
                <w:iCs/>
                <w:kern w:val="2"/>
                <w:lang w:val="lt-LT"/>
              </w:rPr>
            </w:pPr>
            <w:r w:rsidRPr="00BB2691">
              <w:rPr>
                <w:rFonts w:ascii="Jost" w:eastAsia="Times New Roman" w:hAnsi="Jost"/>
                <w:i/>
                <w:iCs/>
                <w:kern w:val="2"/>
                <w:lang w:val="lt-LT"/>
              </w:rPr>
              <w:t xml:space="preserve">Prašome paaiškinti ar vadovaujantis „Reik_81“ pakaks pateikti tik tuos išeities tekstus, kurie yra sukurti šio projekto apimtyje, o visa kita programinė įranga galės būti pateikta naudojimui be išeities tekstų, lygiai taip pat kaip nurodyta šio skyriaus pastaboje dėl Standartinių (licencijuojamų) produktų, kuriems išeities kodai neturi būti pateikiami. </w:t>
            </w:r>
          </w:p>
        </w:tc>
      </w:tr>
      <w:tr w:rsidR="009A6E37" w:rsidRPr="00117F86" w14:paraId="713E6AD0" w14:textId="77777777" w:rsidTr="00F84782">
        <w:trPr>
          <w:trHeight w:val="400"/>
        </w:trPr>
        <w:tc>
          <w:tcPr>
            <w:tcW w:w="9923" w:type="dxa"/>
            <w:shd w:val="clear" w:color="auto" w:fill="DAE9F7" w:themeFill="text2" w:themeFillTint="1A"/>
          </w:tcPr>
          <w:p w14:paraId="43F0356D" w14:textId="28A32CB1" w:rsidR="009A6E37" w:rsidRPr="00117F86" w:rsidRDefault="009A6E37"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t>Atsakymas</w:t>
            </w:r>
          </w:p>
        </w:tc>
      </w:tr>
      <w:tr w:rsidR="0034072A" w:rsidRPr="00117F86" w14:paraId="62E2DB97" w14:textId="77777777" w:rsidTr="00F84782">
        <w:trPr>
          <w:trHeight w:val="400"/>
        </w:trPr>
        <w:tc>
          <w:tcPr>
            <w:tcW w:w="9923" w:type="dxa"/>
            <w:shd w:val="clear" w:color="auto" w:fill="auto"/>
          </w:tcPr>
          <w:p w14:paraId="05171DE7" w14:textId="40397BEE" w:rsidR="0034072A" w:rsidRPr="00117F86" w:rsidRDefault="0034072A"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lang w:val="lt-LT"/>
              </w:rPr>
              <w:t>Paaiškiname, kad taip, pakaks – turės būti pateikta tik išeities tekstai sukurti šio projekto apimtyje, visa kita programinė įranga galės būti pateikiama naudojimui be išeities tekstų.</w:t>
            </w:r>
          </w:p>
        </w:tc>
      </w:tr>
      <w:tr w:rsidR="0034072A" w:rsidRPr="00117F86" w14:paraId="37F7A33A" w14:textId="77777777" w:rsidTr="00F84782">
        <w:trPr>
          <w:trHeight w:val="400"/>
        </w:trPr>
        <w:tc>
          <w:tcPr>
            <w:tcW w:w="9923" w:type="dxa"/>
            <w:shd w:val="clear" w:color="auto" w:fill="DAE9F7" w:themeFill="text2" w:themeFillTint="1A"/>
          </w:tcPr>
          <w:p w14:paraId="0237F67C" w14:textId="1561880D" w:rsidR="0034072A" w:rsidRPr="00117F86" w:rsidRDefault="0034072A"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t xml:space="preserve">Klausimas 11 </w:t>
            </w:r>
            <w:r w:rsidRPr="00117F86">
              <w:rPr>
                <w:rFonts w:ascii="Jost" w:hAnsi="Jost"/>
                <w:lang w:val="lt-LT"/>
              </w:rPr>
              <w:t>(klausimo tekstas netaisytas)</w:t>
            </w:r>
          </w:p>
        </w:tc>
      </w:tr>
      <w:tr w:rsidR="0034072A" w:rsidRPr="00117F86" w14:paraId="6A402486" w14:textId="77777777" w:rsidTr="00F84782">
        <w:trPr>
          <w:trHeight w:val="400"/>
        </w:trPr>
        <w:tc>
          <w:tcPr>
            <w:tcW w:w="9923" w:type="dxa"/>
            <w:shd w:val="clear" w:color="auto" w:fill="auto"/>
          </w:tcPr>
          <w:p w14:paraId="20BF6987" w14:textId="31D1B982" w:rsidR="0034072A" w:rsidRPr="00BB2691" w:rsidRDefault="0034072A" w:rsidP="00106C33">
            <w:pPr>
              <w:tabs>
                <w:tab w:val="left" w:pos="567"/>
                <w:tab w:val="left" w:pos="851"/>
                <w:tab w:val="left" w:pos="992"/>
                <w:tab w:val="left" w:pos="1134"/>
              </w:tabs>
              <w:jc w:val="both"/>
              <w:textAlignment w:val="center"/>
              <w:rPr>
                <w:rFonts w:ascii="Jost" w:eastAsia="Times New Roman" w:hAnsi="Jost"/>
                <w:i/>
                <w:iCs/>
                <w:kern w:val="2"/>
                <w:lang w:val="lt-LT"/>
              </w:rPr>
            </w:pPr>
            <w:r w:rsidRPr="00BB2691">
              <w:rPr>
                <w:rFonts w:ascii="Jost" w:eastAsia="Times New Roman" w:hAnsi="Jost"/>
                <w:i/>
                <w:iCs/>
                <w:kern w:val="2"/>
                <w:lang w:val="lt-LT"/>
              </w:rPr>
              <w:t xml:space="preserve">Prašome paaiškinti ar vadovaujantis „Reik_85“ pakaks pateikti ir atnaujinti išeities tekstus tik tuo atveju jei pakeitimai atliekami garantinio aptarnavimo apimtyje, o tiekėjas neprivalės pateikti išeities tekstų jei pakeitimai bus atliekami kitų sutarčių apimtyje ar tiekėjo resursais, o užsakovus norės juos gauti priežiūros ar panašios sutarties apimtyje nemokant visos pakeitimų atlikimo kainos. </w:t>
            </w:r>
          </w:p>
        </w:tc>
      </w:tr>
      <w:tr w:rsidR="0034072A" w:rsidRPr="00117F86" w14:paraId="43D468E4" w14:textId="77777777" w:rsidTr="00F84782">
        <w:trPr>
          <w:trHeight w:val="400"/>
        </w:trPr>
        <w:tc>
          <w:tcPr>
            <w:tcW w:w="9923" w:type="dxa"/>
            <w:shd w:val="clear" w:color="auto" w:fill="DAE9F7" w:themeFill="text2" w:themeFillTint="1A"/>
          </w:tcPr>
          <w:p w14:paraId="402AC500" w14:textId="1ADB203C" w:rsidR="0034072A" w:rsidRPr="00117F86" w:rsidRDefault="0034072A"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t>Atsakymas</w:t>
            </w:r>
          </w:p>
        </w:tc>
      </w:tr>
      <w:tr w:rsidR="00DF0222" w:rsidRPr="00117F86" w14:paraId="06F16A7C" w14:textId="77777777" w:rsidTr="00F84782">
        <w:trPr>
          <w:trHeight w:val="400"/>
        </w:trPr>
        <w:tc>
          <w:tcPr>
            <w:tcW w:w="9923" w:type="dxa"/>
            <w:shd w:val="clear" w:color="auto" w:fill="auto"/>
          </w:tcPr>
          <w:p w14:paraId="538A97E1" w14:textId="38D91DA1" w:rsidR="00DF0222" w:rsidRPr="00117F86" w:rsidRDefault="00DF0222" w:rsidP="00106C33">
            <w:pPr>
              <w:jc w:val="both"/>
              <w:rPr>
                <w:rFonts w:ascii="Jost" w:eastAsia="Times New Roman" w:hAnsi="Jost"/>
                <w:kern w:val="2"/>
                <w:lang w:val="lt-LT"/>
              </w:rPr>
            </w:pPr>
            <w:r w:rsidRPr="00117F86">
              <w:rPr>
                <w:rFonts w:ascii="Jost" w:hAnsi="Jost"/>
                <w:lang w:val="lt-LT"/>
              </w:rPr>
              <w:t>Paaiškiname, kad pateikti ir atnaujinti išeities tekstus reikalaujama tik tuo atveju jei pakeitimai atliekami garantinio aptarnavimo apimtyje</w:t>
            </w:r>
            <w:r w:rsidR="00FE51E3">
              <w:rPr>
                <w:rFonts w:ascii="Jost" w:hAnsi="Jost"/>
                <w:lang w:val="lt-LT"/>
              </w:rPr>
              <w:t>,</w:t>
            </w:r>
            <w:r w:rsidRPr="00117F86">
              <w:rPr>
                <w:rFonts w:ascii="Jost" w:hAnsi="Jost"/>
                <w:lang w:val="lt-LT"/>
              </w:rPr>
              <w:t xml:space="preserve"> t.</w:t>
            </w:r>
            <w:r w:rsidR="00FE51E3">
              <w:rPr>
                <w:rFonts w:ascii="Jost" w:hAnsi="Jost"/>
                <w:lang w:val="lt-LT"/>
              </w:rPr>
              <w:t xml:space="preserve"> </w:t>
            </w:r>
            <w:r w:rsidRPr="00117F86">
              <w:rPr>
                <w:rFonts w:ascii="Jost" w:hAnsi="Jost"/>
                <w:lang w:val="lt-LT"/>
              </w:rPr>
              <w:t>y. tik šio projekto apimtyje.</w:t>
            </w:r>
          </w:p>
        </w:tc>
      </w:tr>
      <w:tr w:rsidR="00DF0222" w:rsidRPr="00117F86" w14:paraId="399ECCFA" w14:textId="77777777" w:rsidTr="00F84782">
        <w:trPr>
          <w:trHeight w:val="400"/>
        </w:trPr>
        <w:tc>
          <w:tcPr>
            <w:tcW w:w="9923" w:type="dxa"/>
            <w:shd w:val="clear" w:color="auto" w:fill="DAE9F7" w:themeFill="text2" w:themeFillTint="1A"/>
          </w:tcPr>
          <w:p w14:paraId="392ACA47" w14:textId="2FD69CD0" w:rsidR="00DF0222" w:rsidRPr="00117F86" w:rsidRDefault="00DF0222"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t xml:space="preserve">Klausimas 12 </w:t>
            </w:r>
            <w:r w:rsidRPr="00117F86">
              <w:rPr>
                <w:rFonts w:ascii="Jost" w:hAnsi="Jost"/>
                <w:lang w:val="lt-LT"/>
              </w:rPr>
              <w:t>(klausimo tekstas netaisytas)</w:t>
            </w:r>
          </w:p>
        </w:tc>
      </w:tr>
      <w:tr w:rsidR="00DF0222" w:rsidRPr="00117F86" w14:paraId="4D460844" w14:textId="77777777" w:rsidTr="00F84782">
        <w:trPr>
          <w:trHeight w:val="400"/>
        </w:trPr>
        <w:tc>
          <w:tcPr>
            <w:tcW w:w="9923" w:type="dxa"/>
            <w:shd w:val="clear" w:color="auto" w:fill="auto"/>
          </w:tcPr>
          <w:p w14:paraId="4A76DE96" w14:textId="7AB7FE91" w:rsidR="00DF0222" w:rsidRPr="00510257" w:rsidRDefault="00DF0222" w:rsidP="00106C33">
            <w:pPr>
              <w:tabs>
                <w:tab w:val="left" w:pos="567"/>
                <w:tab w:val="left" w:pos="851"/>
                <w:tab w:val="left" w:pos="992"/>
                <w:tab w:val="left" w:pos="1134"/>
              </w:tabs>
              <w:jc w:val="both"/>
              <w:textAlignment w:val="center"/>
              <w:rPr>
                <w:rFonts w:ascii="Jost" w:eastAsia="Times New Roman" w:hAnsi="Jost"/>
                <w:i/>
                <w:iCs/>
                <w:kern w:val="2"/>
                <w:lang w:val="lt-LT"/>
              </w:rPr>
            </w:pPr>
            <w:r w:rsidRPr="00510257">
              <w:rPr>
                <w:rFonts w:ascii="Jost" w:eastAsia="Times New Roman" w:hAnsi="Jost"/>
                <w:i/>
                <w:iCs/>
                <w:kern w:val="2"/>
                <w:lang w:val="lt-LT"/>
              </w:rPr>
              <w:lastRenderedPageBreak/>
              <w:t xml:space="preserve">Prašome paaiškinti ar vadovaujantis „Reik_94“ ir „Reik_95“ diegėjas/tiekėjas galės prašyti leidimo naudoti tam tikros stadijos ar atviro kodo komponentus, kai nebus vienareikšmiškai aišku ar esama stadija atitinka šiuos reikalavimus? </w:t>
            </w:r>
          </w:p>
        </w:tc>
      </w:tr>
      <w:tr w:rsidR="00DF0222" w:rsidRPr="00117F86" w14:paraId="0723D585" w14:textId="77777777" w:rsidTr="00F84782">
        <w:trPr>
          <w:trHeight w:val="400"/>
        </w:trPr>
        <w:tc>
          <w:tcPr>
            <w:tcW w:w="9923" w:type="dxa"/>
            <w:shd w:val="clear" w:color="auto" w:fill="DAE9F7" w:themeFill="text2" w:themeFillTint="1A"/>
          </w:tcPr>
          <w:p w14:paraId="6BA07E8D" w14:textId="4819B990" w:rsidR="00DF0222" w:rsidRPr="00117F86" w:rsidRDefault="00DF0222"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t>Atsakymas</w:t>
            </w:r>
          </w:p>
        </w:tc>
      </w:tr>
      <w:tr w:rsidR="00150BF6" w:rsidRPr="00117F86" w14:paraId="1D333873" w14:textId="77777777" w:rsidTr="00F84782">
        <w:trPr>
          <w:trHeight w:val="400"/>
        </w:trPr>
        <w:tc>
          <w:tcPr>
            <w:tcW w:w="9923" w:type="dxa"/>
            <w:shd w:val="clear" w:color="auto" w:fill="auto"/>
          </w:tcPr>
          <w:p w14:paraId="0612E04A" w14:textId="412533C5" w:rsidR="00150BF6" w:rsidRPr="00117F86" w:rsidRDefault="00510257" w:rsidP="00106C33">
            <w:pPr>
              <w:tabs>
                <w:tab w:val="left" w:pos="567"/>
                <w:tab w:val="left" w:pos="851"/>
                <w:tab w:val="left" w:pos="992"/>
                <w:tab w:val="left" w:pos="1134"/>
              </w:tabs>
              <w:jc w:val="both"/>
              <w:textAlignment w:val="center"/>
              <w:rPr>
                <w:rFonts w:ascii="Jost" w:eastAsia="Times New Roman" w:hAnsi="Jost"/>
                <w:kern w:val="2"/>
                <w:lang w:val="lt-LT"/>
              </w:rPr>
            </w:pPr>
            <w:r>
              <w:rPr>
                <w:rFonts w:ascii="Jost" w:hAnsi="Jost"/>
                <w:lang w:val="lt-LT"/>
              </w:rPr>
              <w:t>T</w:t>
            </w:r>
            <w:r w:rsidR="00150BF6" w:rsidRPr="00117F86">
              <w:rPr>
                <w:rFonts w:ascii="Jost" w:hAnsi="Jost"/>
                <w:lang w:val="lt-LT"/>
              </w:rPr>
              <w:t>aip, tiekėjas galės prašyti leidimo naudoti atviro kodo / tam tikros stadijos programinę įrangą.</w:t>
            </w:r>
          </w:p>
        </w:tc>
      </w:tr>
      <w:tr w:rsidR="00150BF6" w:rsidRPr="00117F86" w14:paraId="0766C20D" w14:textId="77777777" w:rsidTr="00F84782">
        <w:trPr>
          <w:trHeight w:val="400"/>
        </w:trPr>
        <w:tc>
          <w:tcPr>
            <w:tcW w:w="9923" w:type="dxa"/>
            <w:shd w:val="clear" w:color="auto" w:fill="DAE9F7" w:themeFill="text2" w:themeFillTint="1A"/>
          </w:tcPr>
          <w:p w14:paraId="572A28A9" w14:textId="62749D06" w:rsidR="00150BF6" w:rsidRPr="00117F86" w:rsidRDefault="00150BF6"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t xml:space="preserve">Klausimas 13 </w:t>
            </w:r>
            <w:r w:rsidRPr="00117F86">
              <w:rPr>
                <w:rFonts w:ascii="Jost" w:hAnsi="Jost"/>
                <w:lang w:val="lt-LT"/>
              </w:rPr>
              <w:t>(klausimo tekstas netaisytas)</w:t>
            </w:r>
          </w:p>
        </w:tc>
      </w:tr>
      <w:tr w:rsidR="00150BF6" w:rsidRPr="00117F86" w14:paraId="2D441292" w14:textId="77777777" w:rsidTr="00F84782">
        <w:trPr>
          <w:trHeight w:val="400"/>
        </w:trPr>
        <w:tc>
          <w:tcPr>
            <w:tcW w:w="9923" w:type="dxa"/>
            <w:shd w:val="clear" w:color="auto" w:fill="auto"/>
          </w:tcPr>
          <w:p w14:paraId="1DC86E81" w14:textId="4FD41775" w:rsidR="00150BF6" w:rsidRPr="00510257" w:rsidRDefault="00150BF6" w:rsidP="00106C33">
            <w:pPr>
              <w:tabs>
                <w:tab w:val="left" w:pos="567"/>
                <w:tab w:val="left" w:pos="851"/>
                <w:tab w:val="left" w:pos="992"/>
                <w:tab w:val="left" w:pos="1134"/>
              </w:tabs>
              <w:jc w:val="both"/>
              <w:textAlignment w:val="center"/>
              <w:rPr>
                <w:rFonts w:ascii="Jost" w:eastAsia="Times New Roman" w:hAnsi="Jost"/>
                <w:i/>
                <w:iCs/>
                <w:kern w:val="2"/>
                <w:lang w:val="lt-LT"/>
              </w:rPr>
            </w:pPr>
            <w:r w:rsidRPr="00510257">
              <w:rPr>
                <w:rFonts w:ascii="Jost" w:eastAsia="Times New Roman" w:hAnsi="Jost"/>
                <w:i/>
                <w:iCs/>
                <w:kern w:val="2"/>
                <w:lang w:val="lt-LT"/>
              </w:rPr>
              <w:t xml:space="preserve">Prašome patikslint „Reik_97“ nuostatą „apdorojamos informacijos apimtys neturi būti ribojamos Diegėjo suteiktomis licencijomis, programinėmis priemonėmis ar kitomis jo suteiktomis priemonėmis“? Ar ją taikant </w:t>
            </w:r>
            <w:proofErr w:type="spellStart"/>
            <w:r w:rsidRPr="00510257">
              <w:rPr>
                <w:rFonts w:ascii="Jost" w:eastAsia="Times New Roman" w:hAnsi="Jost"/>
                <w:i/>
                <w:iCs/>
                <w:kern w:val="2"/>
                <w:lang w:val="lt-LT"/>
              </w:rPr>
              <w:t>openEHR</w:t>
            </w:r>
            <w:proofErr w:type="spellEnd"/>
            <w:r w:rsidRPr="00510257">
              <w:rPr>
                <w:rFonts w:ascii="Jost" w:eastAsia="Times New Roman" w:hAnsi="Jost"/>
                <w:i/>
                <w:iCs/>
                <w:kern w:val="2"/>
                <w:lang w:val="lt-LT"/>
              </w:rPr>
              <w:t xml:space="preserve"> saugyklai būtų netaikomi jokie ribojimai informacijos apimčiai, bet gali būti taikomas maksimalus pacientų skaičius? Ar ją taikant duomenų analitikos priemonėms gali būti taikomi tam tikri ribojimai, kiekiai debesijos resursams skirtiems saugoti, valdyti bei atvaizduoti analitinius duomenis? </w:t>
            </w:r>
          </w:p>
        </w:tc>
      </w:tr>
      <w:tr w:rsidR="00150BF6" w:rsidRPr="00117F86" w14:paraId="1DCAFDEB" w14:textId="77777777" w:rsidTr="00F84782">
        <w:trPr>
          <w:trHeight w:val="400"/>
        </w:trPr>
        <w:tc>
          <w:tcPr>
            <w:tcW w:w="9923" w:type="dxa"/>
            <w:shd w:val="clear" w:color="auto" w:fill="DAE9F7" w:themeFill="text2" w:themeFillTint="1A"/>
          </w:tcPr>
          <w:p w14:paraId="0AACAF3A" w14:textId="087251B4" w:rsidR="00150BF6" w:rsidRPr="00117F86" w:rsidRDefault="00150BF6"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t>Atsakymas</w:t>
            </w:r>
          </w:p>
        </w:tc>
      </w:tr>
      <w:tr w:rsidR="000F0723" w:rsidRPr="00117F86" w14:paraId="4330E6EA" w14:textId="77777777" w:rsidTr="00F84782">
        <w:trPr>
          <w:trHeight w:val="400"/>
        </w:trPr>
        <w:tc>
          <w:tcPr>
            <w:tcW w:w="9923" w:type="dxa"/>
            <w:shd w:val="clear" w:color="auto" w:fill="auto"/>
          </w:tcPr>
          <w:p w14:paraId="56B1098D" w14:textId="77777777" w:rsidR="000F0723" w:rsidRPr="00117F86" w:rsidRDefault="000F0723" w:rsidP="00106C33">
            <w:pPr>
              <w:jc w:val="both"/>
              <w:rPr>
                <w:rFonts w:ascii="Jost" w:hAnsi="Jost"/>
                <w:lang w:val="lt-LT"/>
              </w:rPr>
            </w:pPr>
            <w:r w:rsidRPr="00117F86">
              <w:rPr>
                <w:rFonts w:ascii="Jost" w:hAnsi="Jost"/>
                <w:lang w:val="lt-LT"/>
              </w:rPr>
              <w:t>Paaiškiname, kad reikalavimas galioja RPL IS pacientų duomenų apimčiai, ne jų skaičiui, pacientų skaičius gali būti ribojamas, tačiau turi užtikrinti pakankamą kiekį aptarnauti ne mažiau nei 25 000 stacionarinių ir 105 000 ambulatorinių unikalių pacientų.</w:t>
            </w:r>
          </w:p>
          <w:p w14:paraId="68E563C2" w14:textId="7F8A7DBF" w:rsidR="000F0723" w:rsidRPr="00117F86" w:rsidRDefault="000F0723"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lang w:val="lt-LT"/>
              </w:rPr>
              <w:t>Analitikos duomenų apimtims gali būti taikomi apribojimai, tačiau turi būti užtikrintas tinkamas medicininių klasterių veiklos ataskaitų veikimas.</w:t>
            </w:r>
          </w:p>
        </w:tc>
      </w:tr>
      <w:tr w:rsidR="000F0723" w:rsidRPr="00117F86" w14:paraId="60F31593" w14:textId="77777777" w:rsidTr="00F84782">
        <w:trPr>
          <w:trHeight w:val="400"/>
        </w:trPr>
        <w:tc>
          <w:tcPr>
            <w:tcW w:w="9923" w:type="dxa"/>
            <w:shd w:val="clear" w:color="auto" w:fill="DAE9F7" w:themeFill="text2" w:themeFillTint="1A"/>
          </w:tcPr>
          <w:p w14:paraId="25E518BF" w14:textId="24213C67" w:rsidR="000F0723" w:rsidRPr="00117F86" w:rsidRDefault="000F0723"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t xml:space="preserve">Klausimas 14 </w:t>
            </w:r>
            <w:r w:rsidRPr="00117F86">
              <w:rPr>
                <w:rFonts w:ascii="Jost" w:hAnsi="Jost"/>
                <w:lang w:val="lt-LT"/>
              </w:rPr>
              <w:t>(klausimo tekstas netaisytas)</w:t>
            </w:r>
          </w:p>
        </w:tc>
      </w:tr>
      <w:tr w:rsidR="000F0723" w:rsidRPr="00117F86" w14:paraId="43316F90" w14:textId="77777777" w:rsidTr="00F84782">
        <w:trPr>
          <w:trHeight w:val="400"/>
        </w:trPr>
        <w:tc>
          <w:tcPr>
            <w:tcW w:w="9923" w:type="dxa"/>
            <w:shd w:val="clear" w:color="auto" w:fill="auto"/>
          </w:tcPr>
          <w:p w14:paraId="04942A8F" w14:textId="4BA17164" w:rsidR="000F0723" w:rsidRPr="00EE7D4C" w:rsidRDefault="000F0723" w:rsidP="00106C33">
            <w:pPr>
              <w:tabs>
                <w:tab w:val="left" w:pos="567"/>
                <w:tab w:val="left" w:pos="851"/>
                <w:tab w:val="left" w:pos="992"/>
                <w:tab w:val="left" w:pos="1134"/>
              </w:tabs>
              <w:jc w:val="both"/>
              <w:textAlignment w:val="center"/>
              <w:rPr>
                <w:rFonts w:ascii="Jost" w:eastAsia="Times New Roman" w:hAnsi="Jost"/>
                <w:i/>
                <w:iCs/>
                <w:kern w:val="2"/>
                <w:lang w:val="lt-LT"/>
              </w:rPr>
            </w:pPr>
            <w:r w:rsidRPr="00EE7D4C">
              <w:rPr>
                <w:rFonts w:ascii="Jost" w:eastAsia="Times New Roman" w:hAnsi="Jost"/>
                <w:i/>
                <w:iCs/>
                <w:kern w:val="2"/>
                <w:lang w:val="lt-LT"/>
              </w:rPr>
              <w:t xml:space="preserve">Prašome paaiškinti kokiais atvejais gali būti reikalaujama programavimų darbų testavimo tikslams nurodytiems „Reik_103“. Yra visiškai suprantamas reikalavimams programavimo darbams siekiant pašalinti rastus trūkumus, bet ne testavimo tikslams. </w:t>
            </w:r>
          </w:p>
        </w:tc>
      </w:tr>
      <w:tr w:rsidR="000F0723" w:rsidRPr="00117F86" w14:paraId="36E01AA7" w14:textId="77777777" w:rsidTr="00F84782">
        <w:trPr>
          <w:trHeight w:val="400"/>
        </w:trPr>
        <w:tc>
          <w:tcPr>
            <w:tcW w:w="9923" w:type="dxa"/>
            <w:shd w:val="clear" w:color="auto" w:fill="DAE9F7" w:themeFill="text2" w:themeFillTint="1A"/>
          </w:tcPr>
          <w:p w14:paraId="7EE51EEB" w14:textId="1C567F43" w:rsidR="000F0723" w:rsidRPr="00117F86" w:rsidRDefault="000F0723"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t>Atsakymas</w:t>
            </w:r>
          </w:p>
        </w:tc>
      </w:tr>
      <w:tr w:rsidR="001C1E30" w:rsidRPr="00117F86" w14:paraId="65CC313F" w14:textId="77777777" w:rsidTr="00F84782">
        <w:trPr>
          <w:trHeight w:val="400"/>
        </w:trPr>
        <w:tc>
          <w:tcPr>
            <w:tcW w:w="9923" w:type="dxa"/>
            <w:shd w:val="clear" w:color="auto" w:fill="auto"/>
          </w:tcPr>
          <w:p w14:paraId="60B6F46F" w14:textId="1E5AD365" w:rsidR="001C1E30" w:rsidRPr="00117F86" w:rsidRDefault="001C1E30"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lang w:val="lt-LT"/>
              </w:rPr>
              <w:t>Paaiškiname, kad šis reikalavimas taikytinas</w:t>
            </w:r>
            <w:r w:rsidR="00EE7D4C">
              <w:rPr>
                <w:rFonts w:ascii="Jost" w:hAnsi="Jost"/>
                <w:lang w:val="lt-LT"/>
              </w:rPr>
              <w:t>,</w:t>
            </w:r>
            <w:r w:rsidRPr="00117F86">
              <w:rPr>
                <w:rFonts w:ascii="Jost" w:hAnsi="Jost"/>
                <w:lang w:val="lt-LT"/>
              </w:rPr>
              <w:t xml:space="preserve"> jeigu atsparumo įsilaužimams testuotojų komandai bus reikalinga įdiegti kodo trūkumus identifikuojančią programinę įrangą testavimo aplinkoje. </w:t>
            </w:r>
          </w:p>
        </w:tc>
      </w:tr>
      <w:tr w:rsidR="001C1E30" w:rsidRPr="00117F86" w14:paraId="3BAD4D21" w14:textId="77777777" w:rsidTr="00F84782">
        <w:trPr>
          <w:trHeight w:val="400"/>
        </w:trPr>
        <w:tc>
          <w:tcPr>
            <w:tcW w:w="9923" w:type="dxa"/>
            <w:shd w:val="clear" w:color="auto" w:fill="DAE9F7" w:themeFill="text2" w:themeFillTint="1A"/>
          </w:tcPr>
          <w:p w14:paraId="0544CE5C" w14:textId="6812E9A0" w:rsidR="001C1E30" w:rsidRPr="00117F86" w:rsidRDefault="001C1E30"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t xml:space="preserve">Klausimas 15 </w:t>
            </w:r>
            <w:r w:rsidRPr="00117F86">
              <w:rPr>
                <w:rFonts w:ascii="Jost" w:hAnsi="Jost"/>
                <w:lang w:val="lt-LT"/>
              </w:rPr>
              <w:t>(klausimo tekstas netaisytas)</w:t>
            </w:r>
          </w:p>
        </w:tc>
      </w:tr>
      <w:tr w:rsidR="001C1E30" w:rsidRPr="00117F86" w14:paraId="77158039" w14:textId="77777777" w:rsidTr="00F84782">
        <w:trPr>
          <w:trHeight w:val="400"/>
        </w:trPr>
        <w:tc>
          <w:tcPr>
            <w:tcW w:w="9923" w:type="dxa"/>
            <w:shd w:val="clear" w:color="auto" w:fill="auto"/>
          </w:tcPr>
          <w:p w14:paraId="6319FD41" w14:textId="37B05830" w:rsidR="001C1E30" w:rsidRPr="00117F86" w:rsidRDefault="001C1E30"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eastAsia="Times New Roman" w:hAnsi="Jost"/>
                <w:i/>
                <w:iCs/>
                <w:kern w:val="2"/>
                <w:lang w:val="lt-LT"/>
              </w:rPr>
              <w:t xml:space="preserve">Prašome paaiškinti ar patikslinti „Reik_108“ &lt;...&gt; arba yra oficialiai programinės įrangos gamintojo paskelbta, kad programinė įranga nuo tam tikros datos nebebus palaikoma, tobulinama ir / ar vystoma (angl. </w:t>
            </w:r>
            <w:proofErr w:type="spellStart"/>
            <w:r w:rsidRPr="00117F86">
              <w:rPr>
                <w:rFonts w:ascii="Jost" w:eastAsia="Times New Roman" w:hAnsi="Jost"/>
                <w:i/>
                <w:iCs/>
                <w:kern w:val="2"/>
                <w:lang w:val="lt-LT"/>
              </w:rPr>
              <w:t>End-of-life</w:t>
            </w:r>
            <w:proofErr w:type="spellEnd"/>
            <w:r w:rsidRPr="00117F86">
              <w:rPr>
                <w:rFonts w:ascii="Jost" w:eastAsia="Times New Roman" w:hAnsi="Jost"/>
                <w:i/>
                <w:iCs/>
                <w:kern w:val="2"/>
                <w:lang w:val="lt-LT"/>
              </w:rPr>
              <w:t xml:space="preserve"> </w:t>
            </w:r>
            <w:proofErr w:type="spellStart"/>
            <w:r w:rsidRPr="00117F86">
              <w:rPr>
                <w:rFonts w:ascii="Jost" w:eastAsia="Times New Roman" w:hAnsi="Jost"/>
                <w:i/>
                <w:iCs/>
                <w:kern w:val="2"/>
                <w:lang w:val="lt-LT"/>
              </w:rPr>
              <w:t>product</w:t>
            </w:r>
            <w:proofErr w:type="spellEnd"/>
            <w:r w:rsidRPr="00117F86">
              <w:rPr>
                <w:rFonts w:ascii="Jost" w:eastAsia="Times New Roman" w:hAnsi="Jost"/>
                <w:i/>
                <w:iCs/>
                <w:kern w:val="2"/>
                <w:lang w:val="lt-LT"/>
              </w:rPr>
              <w:t xml:space="preserve">).&lt;...&gt; nurodant kiek laiko turi būti likę iki </w:t>
            </w:r>
            <w:proofErr w:type="spellStart"/>
            <w:r w:rsidRPr="00117F86">
              <w:rPr>
                <w:rFonts w:ascii="Jost" w:eastAsia="Times New Roman" w:hAnsi="Jost"/>
                <w:i/>
                <w:iCs/>
                <w:kern w:val="2"/>
                <w:lang w:val="lt-LT"/>
              </w:rPr>
              <w:t>EoL</w:t>
            </w:r>
            <w:proofErr w:type="spellEnd"/>
            <w:r w:rsidRPr="00117F86">
              <w:rPr>
                <w:rFonts w:ascii="Jost" w:eastAsia="Times New Roman" w:hAnsi="Jost"/>
                <w:i/>
                <w:iCs/>
                <w:kern w:val="2"/>
                <w:lang w:val="lt-LT"/>
              </w:rPr>
              <w:t xml:space="preserve"> datos, nes dažnai tik išleidus produktą būna nurodyta iki kada bus jo </w:t>
            </w:r>
            <w:proofErr w:type="spellStart"/>
            <w:r w:rsidRPr="00117F86">
              <w:rPr>
                <w:rFonts w:ascii="Jost" w:eastAsia="Times New Roman" w:hAnsi="Jost"/>
                <w:i/>
                <w:iCs/>
                <w:kern w:val="2"/>
                <w:lang w:val="lt-LT"/>
              </w:rPr>
              <w:t>EoL</w:t>
            </w:r>
            <w:proofErr w:type="spellEnd"/>
            <w:r w:rsidRPr="00117F86">
              <w:rPr>
                <w:rFonts w:ascii="Jost" w:eastAsia="Times New Roman" w:hAnsi="Jost"/>
                <w:i/>
                <w:iCs/>
                <w:kern w:val="2"/>
                <w:lang w:val="lt-LT"/>
              </w:rPr>
              <w:t xml:space="preserve">. Manome, kad garantinis laikotarpis turėtų būti pakankamas iki </w:t>
            </w:r>
            <w:proofErr w:type="spellStart"/>
            <w:r w:rsidRPr="00117F86">
              <w:rPr>
                <w:rFonts w:ascii="Jost" w:eastAsia="Times New Roman" w:hAnsi="Jost"/>
                <w:i/>
                <w:iCs/>
                <w:kern w:val="2"/>
                <w:lang w:val="lt-LT"/>
              </w:rPr>
              <w:t>EoL</w:t>
            </w:r>
            <w:proofErr w:type="spellEnd"/>
            <w:r w:rsidRPr="00117F86">
              <w:rPr>
                <w:rFonts w:ascii="Jost" w:eastAsia="Times New Roman" w:hAnsi="Jost"/>
                <w:i/>
                <w:iCs/>
                <w:kern w:val="2"/>
                <w:lang w:val="lt-LT"/>
              </w:rPr>
              <w:t xml:space="preserve">. </w:t>
            </w:r>
          </w:p>
        </w:tc>
      </w:tr>
      <w:tr w:rsidR="001C1E30" w:rsidRPr="00117F86" w14:paraId="4F68F9DB" w14:textId="77777777" w:rsidTr="00F84782">
        <w:trPr>
          <w:trHeight w:val="400"/>
        </w:trPr>
        <w:tc>
          <w:tcPr>
            <w:tcW w:w="9923" w:type="dxa"/>
            <w:shd w:val="clear" w:color="auto" w:fill="DAE9F7" w:themeFill="text2" w:themeFillTint="1A"/>
          </w:tcPr>
          <w:p w14:paraId="2DB68DC1" w14:textId="2893B083" w:rsidR="001C1E30" w:rsidRPr="00117F86" w:rsidRDefault="001C1E30"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t>Atsakymas</w:t>
            </w:r>
          </w:p>
        </w:tc>
      </w:tr>
      <w:tr w:rsidR="00B14379" w:rsidRPr="00117F86" w14:paraId="2A50E988" w14:textId="77777777" w:rsidTr="00F84782">
        <w:trPr>
          <w:trHeight w:val="400"/>
        </w:trPr>
        <w:tc>
          <w:tcPr>
            <w:tcW w:w="9923" w:type="dxa"/>
            <w:shd w:val="clear" w:color="auto" w:fill="auto"/>
          </w:tcPr>
          <w:p w14:paraId="23630F5B" w14:textId="474946CE" w:rsidR="00B14379" w:rsidRPr="00117F86" w:rsidRDefault="00B14379"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lang w:val="lt-LT"/>
              </w:rPr>
              <w:t xml:space="preserve">Paaiškiname, kad, jeigu produktas turi nustatytą </w:t>
            </w:r>
            <w:proofErr w:type="spellStart"/>
            <w:r w:rsidRPr="00117F86">
              <w:rPr>
                <w:rFonts w:ascii="Jost" w:hAnsi="Jost"/>
                <w:lang w:val="lt-LT"/>
              </w:rPr>
              <w:t>EoL</w:t>
            </w:r>
            <w:proofErr w:type="spellEnd"/>
            <w:r w:rsidRPr="00117F86">
              <w:rPr>
                <w:rFonts w:ascii="Jost" w:hAnsi="Jost"/>
                <w:lang w:val="lt-LT"/>
              </w:rPr>
              <w:t xml:space="preserve"> datą, ji turi </w:t>
            </w:r>
            <w:r w:rsidRPr="0084175F">
              <w:rPr>
                <w:rFonts w:ascii="Jost" w:hAnsi="Jost"/>
                <w:lang w:val="lt-LT"/>
              </w:rPr>
              <w:t xml:space="preserve">būti vėlesnė </w:t>
            </w:r>
            <w:r w:rsidRPr="00973EFC">
              <w:rPr>
                <w:rFonts w:ascii="Jost" w:hAnsi="Jost"/>
                <w:lang w:val="lt-LT"/>
              </w:rPr>
              <w:t>nei garantinio laikotarpio pabaigos data.</w:t>
            </w:r>
          </w:p>
        </w:tc>
      </w:tr>
      <w:tr w:rsidR="00B14379" w:rsidRPr="00117F86" w14:paraId="115BBE78" w14:textId="77777777" w:rsidTr="00F84782">
        <w:trPr>
          <w:trHeight w:val="400"/>
        </w:trPr>
        <w:tc>
          <w:tcPr>
            <w:tcW w:w="9923" w:type="dxa"/>
            <w:shd w:val="clear" w:color="auto" w:fill="DAE9F7" w:themeFill="text2" w:themeFillTint="1A"/>
          </w:tcPr>
          <w:p w14:paraId="550A90A4" w14:textId="61CA2D82" w:rsidR="00B14379" w:rsidRPr="00117F86" w:rsidRDefault="00B14379"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t xml:space="preserve">Klausimas 16 </w:t>
            </w:r>
            <w:r w:rsidRPr="00117F86">
              <w:rPr>
                <w:rFonts w:ascii="Jost" w:hAnsi="Jost"/>
                <w:lang w:val="lt-LT"/>
              </w:rPr>
              <w:t>(klausimo tekstas netaisytas)</w:t>
            </w:r>
          </w:p>
        </w:tc>
      </w:tr>
      <w:tr w:rsidR="00B14379" w:rsidRPr="00117F86" w14:paraId="43A0DAB2" w14:textId="77777777" w:rsidTr="00F84782">
        <w:trPr>
          <w:trHeight w:val="400"/>
        </w:trPr>
        <w:tc>
          <w:tcPr>
            <w:tcW w:w="9923" w:type="dxa"/>
            <w:shd w:val="clear" w:color="auto" w:fill="auto"/>
          </w:tcPr>
          <w:p w14:paraId="769EC2B7" w14:textId="6002E11E" w:rsidR="00B14379" w:rsidRPr="00117F86" w:rsidRDefault="00B14379" w:rsidP="00106C33">
            <w:pPr>
              <w:tabs>
                <w:tab w:val="left" w:pos="567"/>
                <w:tab w:val="left" w:pos="851"/>
                <w:tab w:val="left" w:pos="992"/>
                <w:tab w:val="left" w:pos="1134"/>
              </w:tabs>
              <w:jc w:val="both"/>
              <w:textAlignment w:val="center"/>
              <w:rPr>
                <w:rFonts w:ascii="Jost" w:eastAsia="Times New Roman" w:hAnsi="Jost"/>
                <w:i/>
                <w:iCs/>
                <w:kern w:val="2"/>
                <w:lang w:val="lt-LT"/>
              </w:rPr>
            </w:pPr>
            <w:r w:rsidRPr="00117F86">
              <w:rPr>
                <w:rFonts w:ascii="Jost" w:eastAsia="Times New Roman" w:hAnsi="Jost"/>
                <w:i/>
                <w:iCs/>
                <w:kern w:val="2"/>
                <w:lang w:val="lt-LT"/>
              </w:rPr>
              <w:t xml:space="preserve">Prašome patikslinti ar paaiškinti apie kokią Audito posistemę rašoma „Reik_115“. </w:t>
            </w:r>
          </w:p>
        </w:tc>
      </w:tr>
      <w:tr w:rsidR="00B14379" w:rsidRPr="00117F86" w14:paraId="1E6DB4DD" w14:textId="77777777" w:rsidTr="00F84782">
        <w:trPr>
          <w:trHeight w:val="400"/>
        </w:trPr>
        <w:tc>
          <w:tcPr>
            <w:tcW w:w="9923" w:type="dxa"/>
            <w:shd w:val="clear" w:color="auto" w:fill="DAE9F7" w:themeFill="text2" w:themeFillTint="1A"/>
          </w:tcPr>
          <w:p w14:paraId="47298204" w14:textId="052473C7" w:rsidR="00B14379" w:rsidRPr="00117F86" w:rsidRDefault="00B14379"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t>Atsakymas</w:t>
            </w:r>
          </w:p>
        </w:tc>
      </w:tr>
      <w:tr w:rsidR="00896ACE" w:rsidRPr="00117F86" w14:paraId="285A8441" w14:textId="77777777" w:rsidTr="00F84782">
        <w:trPr>
          <w:trHeight w:val="400"/>
        </w:trPr>
        <w:tc>
          <w:tcPr>
            <w:tcW w:w="9923" w:type="dxa"/>
            <w:shd w:val="clear" w:color="auto" w:fill="auto"/>
          </w:tcPr>
          <w:p w14:paraId="42AAAA78" w14:textId="65DED191" w:rsidR="00896ACE" w:rsidRPr="00117F86" w:rsidRDefault="00896ACE"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lang w:val="lt-LT"/>
              </w:rPr>
              <w:t>Paaiškiname, kad šiuo atveju posisteme pavadinome audito funkcionalumus, kurie nebūtinai turi būti įgyvendinami naujoje posistemėje.</w:t>
            </w:r>
          </w:p>
        </w:tc>
      </w:tr>
      <w:tr w:rsidR="00896ACE" w:rsidRPr="00117F86" w14:paraId="5EA54D32" w14:textId="77777777" w:rsidTr="00F84782">
        <w:trPr>
          <w:trHeight w:val="400"/>
        </w:trPr>
        <w:tc>
          <w:tcPr>
            <w:tcW w:w="9923" w:type="dxa"/>
            <w:shd w:val="clear" w:color="auto" w:fill="DAE9F7" w:themeFill="text2" w:themeFillTint="1A"/>
          </w:tcPr>
          <w:p w14:paraId="647103A2" w14:textId="64D576BB" w:rsidR="00896ACE" w:rsidRPr="00117F86" w:rsidRDefault="00896ACE"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t xml:space="preserve">Klausimas 17 </w:t>
            </w:r>
            <w:r w:rsidRPr="00117F86">
              <w:rPr>
                <w:rFonts w:ascii="Jost" w:hAnsi="Jost"/>
                <w:lang w:val="lt-LT"/>
              </w:rPr>
              <w:t>(klausimo tekstas netaisytas)</w:t>
            </w:r>
          </w:p>
        </w:tc>
      </w:tr>
      <w:tr w:rsidR="00896ACE" w:rsidRPr="00117F86" w14:paraId="1F0537D7" w14:textId="77777777" w:rsidTr="00F84782">
        <w:trPr>
          <w:trHeight w:val="400"/>
        </w:trPr>
        <w:tc>
          <w:tcPr>
            <w:tcW w:w="9923" w:type="dxa"/>
            <w:shd w:val="clear" w:color="auto" w:fill="auto"/>
          </w:tcPr>
          <w:p w14:paraId="244C527C" w14:textId="08FBE3AF" w:rsidR="00896ACE" w:rsidRPr="00117F86" w:rsidRDefault="00896ACE" w:rsidP="00106C33">
            <w:pPr>
              <w:tabs>
                <w:tab w:val="left" w:pos="567"/>
                <w:tab w:val="left" w:pos="851"/>
                <w:tab w:val="left" w:pos="992"/>
                <w:tab w:val="left" w:pos="1134"/>
              </w:tabs>
              <w:jc w:val="both"/>
              <w:textAlignment w:val="center"/>
              <w:rPr>
                <w:rFonts w:ascii="Jost" w:eastAsia="Times New Roman" w:hAnsi="Jost"/>
                <w:i/>
                <w:iCs/>
                <w:kern w:val="2"/>
                <w:lang w:val="lt-LT"/>
              </w:rPr>
            </w:pPr>
            <w:r w:rsidRPr="00117F86">
              <w:rPr>
                <w:rFonts w:ascii="Jost" w:eastAsia="Times New Roman" w:hAnsi="Jost"/>
                <w:i/>
                <w:iCs/>
                <w:kern w:val="2"/>
                <w:lang w:val="lt-LT"/>
              </w:rPr>
              <w:t xml:space="preserve">Prašome paaiškinti ar „Reiki_150“ nuostatos &lt;..&gt;Visa kita programinė įranga, įskaitant trečiųjų šalių iki operacinių sistemų ir duomenų bazių valdymo ar kitos sisteminės programinės įrangos, tačiau neįskaitant jos, turi būti suteikta Techninėje specifikacijoje nustatytomis sąlygomis.&lt;...&gt; gali </w:t>
            </w:r>
            <w:r w:rsidRPr="00117F86">
              <w:rPr>
                <w:rFonts w:ascii="Jost" w:eastAsia="Times New Roman" w:hAnsi="Jost"/>
                <w:i/>
                <w:iCs/>
                <w:kern w:val="2"/>
                <w:lang w:val="lt-LT"/>
              </w:rPr>
              <w:lastRenderedPageBreak/>
              <w:t xml:space="preserve">būti suprantama, kad </w:t>
            </w:r>
            <w:proofErr w:type="spellStart"/>
            <w:r w:rsidRPr="00117F86">
              <w:rPr>
                <w:rFonts w:ascii="Jost" w:eastAsia="Times New Roman" w:hAnsi="Jost"/>
                <w:i/>
                <w:iCs/>
                <w:kern w:val="2"/>
                <w:lang w:val="lt-LT"/>
              </w:rPr>
              <w:t>openEHR</w:t>
            </w:r>
            <w:proofErr w:type="spellEnd"/>
            <w:r w:rsidRPr="00117F86">
              <w:rPr>
                <w:rFonts w:ascii="Jost" w:eastAsia="Times New Roman" w:hAnsi="Jost"/>
                <w:i/>
                <w:iCs/>
                <w:kern w:val="2"/>
                <w:lang w:val="lt-LT"/>
              </w:rPr>
              <w:t xml:space="preserve"> duomenų saugyklos ir „</w:t>
            </w:r>
            <w:proofErr w:type="spellStart"/>
            <w:r w:rsidRPr="00117F86">
              <w:rPr>
                <w:rFonts w:ascii="Jost" w:eastAsia="Times New Roman" w:hAnsi="Jost"/>
                <w:i/>
                <w:iCs/>
                <w:kern w:val="2"/>
                <w:lang w:val="lt-LT"/>
              </w:rPr>
              <w:t>low-code</w:t>
            </w:r>
            <w:proofErr w:type="spellEnd"/>
            <w:r w:rsidRPr="00117F86">
              <w:rPr>
                <w:rFonts w:ascii="Jost" w:eastAsia="Times New Roman" w:hAnsi="Jost"/>
                <w:i/>
                <w:iCs/>
                <w:kern w:val="2"/>
                <w:lang w:val="lt-LT"/>
              </w:rPr>
              <w:t xml:space="preserve">“ priemonės yra sisteminė programinė įranga ir ją PO įsigys atskirai ir neturi būti pateikiamos kaip sudėtinė šio pasiūlymo dalis. Jei </w:t>
            </w:r>
            <w:proofErr w:type="spellStart"/>
            <w:r w:rsidRPr="00117F86">
              <w:rPr>
                <w:rFonts w:ascii="Jost" w:eastAsia="Times New Roman" w:hAnsi="Jost"/>
                <w:i/>
                <w:iCs/>
                <w:kern w:val="2"/>
                <w:lang w:val="lt-LT"/>
              </w:rPr>
              <w:t>openEHR</w:t>
            </w:r>
            <w:proofErr w:type="spellEnd"/>
            <w:r w:rsidRPr="00117F86">
              <w:rPr>
                <w:rFonts w:ascii="Jost" w:eastAsia="Times New Roman" w:hAnsi="Jost"/>
                <w:i/>
                <w:iCs/>
                <w:kern w:val="2"/>
                <w:lang w:val="lt-LT"/>
              </w:rPr>
              <w:t xml:space="preserve"> duomenų saugyklos/platformos ir „</w:t>
            </w:r>
            <w:proofErr w:type="spellStart"/>
            <w:r w:rsidRPr="00117F86">
              <w:rPr>
                <w:rFonts w:ascii="Jost" w:eastAsia="Times New Roman" w:hAnsi="Jost"/>
                <w:i/>
                <w:iCs/>
                <w:kern w:val="2"/>
                <w:lang w:val="lt-LT"/>
              </w:rPr>
              <w:t>low-code</w:t>
            </w:r>
            <w:proofErr w:type="spellEnd"/>
            <w:r w:rsidRPr="00117F86">
              <w:rPr>
                <w:rFonts w:ascii="Jost" w:eastAsia="Times New Roman" w:hAnsi="Jost"/>
                <w:i/>
                <w:iCs/>
                <w:kern w:val="2"/>
                <w:lang w:val="lt-LT"/>
              </w:rPr>
              <w:t xml:space="preserve">“ licencijuojamos programinės įrangos priemonės turi būti pateikiamos kaip šio pirkimo pasiūlymo sudėtinė dalis, prašome nurodyti kad jai taikomos tokios pat licencijavimo sąlygos kaip Analitikos funkcionalumams įgyvendinti gali būti naudojama licencijuojama programinė įranga, kuri, turi būti pakankama ne trumpesniam kaip 12 mėnesių naudojimui, t. y. garantiniam laikotarpiui. Nesant licencijuojamai programinei įrangai aiškių reikalavimų galiojimo laike, gali labai išdidėti pasiūlymų kainos. Taip pat būtinai nurodyti, kad licencijos galiojimo laikotarpiu turi būti pateikiami programinės įrangos atnaujinimai, kitu atveju reikalavimas nuolatinio galiojimo (angl. </w:t>
            </w:r>
            <w:proofErr w:type="spellStart"/>
            <w:r w:rsidRPr="00117F86">
              <w:rPr>
                <w:rFonts w:ascii="Jost" w:eastAsia="Times New Roman" w:hAnsi="Jost"/>
                <w:i/>
                <w:iCs/>
                <w:kern w:val="2"/>
                <w:lang w:val="lt-LT"/>
              </w:rPr>
              <w:t>Perpetual</w:t>
            </w:r>
            <w:proofErr w:type="spellEnd"/>
            <w:r w:rsidRPr="00117F86">
              <w:rPr>
                <w:rFonts w:ascii="Jost" w:eastAsia="Times New Roman" w:hAnsi="Jost"/>
                <w:i/>
                <w:iCs/>
                <w:kern w:val="2"/>
                <w:lang w:val="lt-LT"/>
              </w:rPr>
              <w:t xml:space="preserve">) be atnaujinimų yra beprasmis ir nelogiškas, nes pasibaigus 12 mėnesių garantijai pateikta programinė įranga gali sutrikti ir nebeveikti bei neatitiks kibernetinės saugos reikalavimo, kad galima naudoti tik saugią ir palaikomą programinę įrangą. </w:t>
            </w:r>
          </w:p>
        </w:tc>
      </w:tr>
      <w:tr w:rsidR="00896ACE" w:rsidRPr="00117F86" w14:paraId="457520DB" w14:textId="77777777" w:rsidTr="00F84782">
        <w:trPr>
          <w:trHeight w:val="400"/>
        </w:trPr>
        <w:tc>
          <w:tcPr>
            <w:tcW w:w="9923" w:type="dxa"/>
            <w:shd w:val="clear" w:color="auto" w:fill="DAE9F7" w:themeFill="text2" w:themeFillTint="1A"/>
          </w:tcPr>
          <w:p w14:paraId="7BA6B4DB" w14:textId="19D68FCE" w:rsidR="00896ACE" w:rsidRPr="00117F86" w:rsidRDefault="00896ACE"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lastRenderedPageBreak/>
              <w:t>Atsakymas</w:t>
            </w:r>
          </w:p>
        </w:tc>
      </w:tr>
      <w:tr w:rsidR="00E36288" w:rsidRPr="00117F86" w14:paraId="4090B0D7" w14:textId="77777777" w:rsidTr="00F84782">
        <w:trPr>
          <w:trHeight w:val="400"/>
        </w:trPr>
        <w:tc>
          <w:tcPr>
            <w:tcW w:w="9923" w:type="dxa"/>
            <w:shd w:val="clear" w:color="auto" w:fill="auto"/>
          </w:tcPr>
          <w:p w14:paraId="21515FC6" w14:textId="17964FA8" w:rsidR="00E36288" w:rsidRPr="00F84782" w:rsidRDefault="00A146E5" w:rsidP="00106C33">
            <w:pPr>
              <w:jc w:val="both"/>
              <w:rPr>
                <w:rFonts w:ascii="Jost" w:hAnsi="Jost"/>
                <w:lang w:val="lt-LT"/>
              </w:rPr>
            </w:pPr>
            <w:r>
              <w:rPr>
                <w:rFonts w:ascii="Jost" w:hAnsi="Jost"/>
                <w:lang w:val="lt-LT"/>
              </w:rPr>
              <w:t xml:space="preserve">Ne, </w:t>
            </w:r>
            <w:proofErr w:type="spellStart"/>
            <w:r>
              <w:rPr>
                <w:rFonts w:ascii="Jost" w:hAnsi="Jost"/>
                <w:lang w:val="lt-LT"/>
              </w:rPr>
              <w:t>OpenEHR</w:t>
            </w:r>
            <w:proofErr w:type="spellEnd"/>
            <w:r>
              <w:rPr>
                <w:rFonts w:ascii="Jost" w:hAnsi="Jost"/>
                <w:lang w:val="lt-LT"/>
              </w:rPr>
              <w:t xml:space="preserve"> standartu paremta programinė įranga nėra laikoma sistemine ir teikėjas pats nuspręs kokio standarto / kokią  programinę įranga naudoti įgyvendinant TS reikalavimus, </w:t>
            </w:r>
            <w:proofErr w:type="spellStart"/>
            <w:r>
              <w:rPr>
                <w:rFonts w:ascii="Jost" w:hAnsi="Jost"/>
                <w:lang w:val="lt-LT"/>
              </w:rPr>
              <w:t>OpenEHR</w:t>
            </w:r>
            <w:proofErr w:type="spellEnd"/>
            <w:r>
              <w:rPr>
                <w:rFonts w:ascii="Jost" w:hAnsi="Jost"/>
                <w:lang w:val="lt-LT"/>
              </w:rPr>
              <w:t xml:space="preserve"> gali būti vienas iš galimų naudoti standartų.  Tiekėjas į pasiūlymo kainą turi įtraukti visas išlaidas susijusias su tinkamu sutarties įgyvendinimu. </w:t>
            </w:r>
            <w:proofErr w:type="spellStart"/>
            <w:r>
              <w:rPr>
                <w:rFonts w:ascii="Jost" w:hAnsi="Jost"/>
                <w:lang w:val="lt-LT"/>
              </w:rPr>
              <w:t>O</w:t>
            </w:r>
            <w:r w:rsidR="00E36288" w:rsidRPr="00117F86">
              <w:rPr>
                <w:rFonts w:ascii="Jost" w:hAnsi="Jost"/>
                <w:lang w:val="lt-LT"/>
              </w:rPr>
              <w:t>penEHR</w:t>
            </w:r>
            <w:proofErr w:type="spellEnd"/>
            <w:r w:rsidR="00E36288" w:rsidRPr="00117F86">
              <w:rPr>
                <w:rFonts w:ascii="Jost" w:hAnsi="Jost"/>
                <w:lang w:val="lt-LT"/>
              </w:rPr>
              <w:t xml:space="preserve"> duomenų saugojimui ir tvarkymui naudojamos programinės įrangos bei „</w:t>
            </w:r>
            <w:proofErr w:type="spellStart"/>
            <w:r w:rsidR="00E36288" w:rsidRPr="00117F86">
              <w:rPr>
                <w:rFonts w:ascii="Jost" w:hAnsi="Jost"/>
                <w:lang w:val="lt-LT"/>
              </w:rPr>
              <w:t>low-code</w:t>
            </w:r>
            <w:proofErr w:type="spellEnd"/>
            <w:r w:rsidR="00E36288" w:rsidRPr="00117F86">
              <w:rPr>
                <w:rFonts w:ascii="Jost" w:hAnsi="Jost"/>
                <w:lang w:val="lt-LT"/>
              </w:rPr>
              <w:t xml:space="preserve">“ programinės įrangos priemonių licencijavimas kaip </w:t>
            </w:r>
            <w:r w:rsidR="00985282">
              <w:rPr>
                <w:rFonts w:ascii="Jost" w:hAnsi="Jost"/>
                <w:lang w:val="lt-LT"/>
              </w:rPr>
              <w:t xml:space="preserve">ir </w:t>
            </w:r>
            <w:r w:rsidR="00973EFC">
              <w:rPr>
                <w:lang w:val="lt-LT"/>
              </w:rPr>
              <w:t>a</w:t>
            </w:r>
            <w:r w:rsidR="00985282" w:rsidRPr="00973EFC">
              <w:rPr>
                <w:lang w:val="lt-LT"/>
              </w:rPr>
              <w:t xml:space="preserve">nalitikos funkcionalumams </w:t>
            </w:r>
            <w:r w:rsidR="00985282" w:rsidRPr="00F84782">
              <w:rPr>
                <w:lang w:val="lt-LT"/>
              </w:rPr>
              <w:t>įgyvendinti naudojama licencijuojama programinė įranga</w:t>
            </w:r>
            <w:r w:rsidR="00985282" w:rsidRPr="00F84782">
              <w:rPr>
                <w:rFonts w:ascii="Jost" w:hAnsi="Jost"/>
                <w:lang w:val="lt-LT"/>
              </w:rPr>
              <w:t xml:space="preserve"> turi galioti visą garantinį laikotarpį, ne trumpiau kaip </w:t>
            </w:r>
            <w:r w:rsidR="00E36288" w:rsidRPr="00F84782">
              <w:rPr>
                <w:rFonts w:ascii="Jost" w:hAnsi="Jost"/>
                <w:lang w:val="lt-LT"/>
              </w:rPr>
              <w:t>12 mėnesių</w:t>
            </w:r>
            <w:r w:rsidR="00F84782" w:rsidRPr="00F84782">
              <w:rPr>
                <w:rFonts w:ascii="Jost" w:hAnsi="Jost"/>
                <w:lang w:val="lt-LT"/>
              </w:rPr>
              <w:t>.</w:t>
            </w:r>
            <w:r w:rsidR="00E36288" w:rsidRPr="00F84782">
              <w:rPr>
                <w:rFonts w:ascii="Jost" w:hAnsi="Jost"/>
                <w:lang w:val="lt-LT"/>
              </w:rPr>
              <w:t xml:space="preserve"> </w:t>
            </w:r>
          </w:p>
          <w:p w14:paraId="4138F15F" w14:textId="7B8B04E3" w:rsidR="00E36288" w:rsidRPr="00A146E5" w:rsidRDefault="00E36288" w:rsidP="00A146E5">
            <w:pPr>
              <w:tabs>
                <w:tab w:val="left" w:pos="567"/>
                <w:tab w:val="left" w:pos="851"/>
                <w:tab w:val="left" w:pos="992"/>
                <w:tab w:val="left" w:pos="1134"/>
              </w:tabs>
              <w:jc w:val="both"/>
              <w:textAlignment w:val="center"/>
              <w:rPr>
                <w:rFonts w:ascii="Jost" w:eastAsia="Times New Roman" w:hAnsi="Jost"/>
                <w:kern w:val="2"/>
                <w:lang w:val="lt-LT"/>
              </w:rPr>
            </w:pPr>
            <w:r w:rsidRPr="00F84782">
              <w:rPr>
                <w:rFonts w:ascii="Jost" w:hAnsi="Jost"/>
                <w:lang w:val="lt-LT"/>
              </w:rPr>
              <w:t xml:space="preserve">Tačiau </w:t>
            </w:r>
            <w:r w:rsidR="000E48D3" w:rsidRPr="00F84782">
              <w:rPr>
                <w:rFonts w:ascii="Jost" w:hAnsi="Jost"/>
                <w:lang w:val="lt-LT"/>
              </w:rPr>
              <w:t>paaiškiname</w:t>
            </w:r>
            <w:r w:rsidRPr="00F84782">
              <w:rPr>
                <w:rFonts w:ascii="Jost" w:hAnsi="Jost"/>
                <w:lang w:val="lt-LT"/>
              </w:rPr>
              <w:t>, kad šiomis priemonėmis Projekto metu sukurti / modernizuoti duomenų</w:t>
            </w:r>
            <w:r w:rsidRPr="00117F86">
              <w:rPr>
                <w:rFonts w:ascii="Jost" w:hAnsi="Jost"/>
                <w:lang w:val="lt-LT"/>
              </w:rPr>
              <w:t xml:space="preserve"> aprašymai, archetipai, formos, šablonai (angl. </w:t>
            </w:r>
            <w:proofErr w:type="spellStart"/>
            <w:r w:rsidRPr="00117F86">
              <w:rPr>
                <w:rFonts w:ascii="Jost" w:hAnsi="Jost"/>
                <w:lang w:val="lt-LT"/>
              </w:rPr>
              <w:t>template</w:t>
            </w:r>
            <w:proofErr w:type="spellEnd"/>
            <w:r w:rsidRPr="00117F86">
              <w:rPr>
                <w:rFonts w:ascii="Jost" w:hAnsi="Jost"/>
                <w:lang w:val="lt-LT"/>
              </w:rPr>
              <w:t xml:space="preserve">) ir kiti rezultatai turi būti pateikti RPL Reikalavimas naudoti naujausią stabilią programinės įrangos versiją ir diegti atnaujinimus yra nurodytas </w:t>
            </w:r>
            <w:r w:rsidR="00C35E6C">
              <w:rPr>
                <w:rFonts w:ascii="Jost" w:hAnsi="Jost"/>
                <w:lang w:val="lt-LT"/>
              </w:rPr>
              <w:t xml:space="preserve">TS </w:t>
            </w:r>
            <w:r w:rsidR="0084122F">
              <w:rPr>
                <w:rFonts w:ascii="Jost" w:hAnsi="Jost"/>
                <w:lang w:val="lt-LT"/>
              </w:rPr>
              <w:t>reikalavime „Reik_</w:t>
            </w:r>
            <w:r w:rsidR="0084122F" w:rsidRPr="004E0A64">
              <w:rPr>
                <w:rFonts w:ascii="Jost" w:hAnsi="Jost"/>
                <w:lang w:val="lt-LT"/>
              </w:rPr>
              <w:t>10</w:t>
            </w:r>
            <w:r w:rsidR="0084122F">
              <w:rPr>
                <w:rFonts w:ascii="Jost" w:hAnsi="Jost"/>
                <w:lang w:val="lt-LT"/>
              </w:rPr>
              <w:t>8“:</w:t>
            </w:r>
            <w:r w:rsidR="00A146E5">
              <w:rPr>
                <w:rFonts w:ascii="Jost" w:hAnsi="Jost"/>
                <w:lang w:val="lt-LT"/>
              </w:rPr>
              <w:t xml:space="preserve"> </w:t>
            </w:r>
            <w:r w:rsidR="00A146E5" w:rsidRPr="00F84782">
              <w:rPr>
                <w:rFonts w:ascii="Jost" w:hAnsi="Jost"/>
                <w:i/>
                <w:iCs/>
                <w:lang w:val="lt-LT"/>
              </w:rPr>
              <w:t xml:space="preserve">„Diegėjas RPL IS vystymo etape turi naudoti naujausias stabilias programinės įrangos versijas ir jos pataisymus (angl. </w:t>
            </w:r>
            <w:proofErr w:type="spellStart"/>
            <w:r w:rsidR="00A146E5" w:rsidRPr="00F84782">
              <w:rPr>
                <w:rFonts w:ascii="Jost" w:hAnsi="Jost"/>
                <w:i/>
                <w:iCs/>
                <w:lang w:val="lt-LT"/>
              </w:rPr>
              <w:t>patch</w:t>
            </w:r>
            <w:proofErr w:type="spellEnd"/>
            <w:r w:rsidR="00A146E5" w:rsidRPr="00F84782">
              <w:rPr>
                <w:rFonts w:ascii="Jost" w:hAnsi="Jost"/>
                <w:i/>
                <w:iCs/>
                <w:lang w:val="lt-LT"/>
              </w:rPr>
              <w:t xml:space="preserve"> / </w:t>
            </w:r>
            <w:proofErr w:type="spellStart"/>
            <w:r w:rsidR="00A146E5" w:rsidRPr="00F84782">
              <w:rPr>
                <w:rFonts w:ascii="Jost" w:hAnsi="Jost"/>
                <w:i/>
                <w:iCs/>
                <w:lang w:val="lt-LT"/>
              </w:rPr>
              <w:t>fix</w:t>
            </w:r>
            <w:proofErr w:type="spellEnd"/>
            <w:r w:rsidR="00A146E5" w:rsidRPr="00F84782">
              <w:rPr>
                <w:rFonts w:ascii="Jost" w:hAnsi="Jost"/>
                <w:i/>
                <w:iCs/>
                <w:lang w:val="lt-LT"/>
              </w:rPr>
              <w:t>).“</w:t>
            </w:r>
            <w:r w:rsidRPr="00F84782">
              <w:rPr>
                <w:rFonts w:ascii="Jost" w:hAnsi="Jost"/>
                <w:i/>
                <w:iCs/>
                <w:lang w:val="lt-LT"/>
              </w:rPr>
              <w:t>.</w:t>
            </w:r>
          </w:p>
        </w:tc>
      </w:tr>
      <w:tr w:rsidR="00E36288" w:rsidRPr="00117F86" w14:paraId="6BB7335A" w14:textId="77777777" w:rsidTr="00F84782">
        <w:trPr>
          <w:trHeight w:val="400"/>
        </w:trPr>
        <w:tc>
          <w:tcPr>
            <w:tcW w:w="9923" w:type="dxa"/>
            <w:shd w:val="clear" w:color="auto" w:fill="DAE9F7" w:themeFill="text2" w:themeFillTint="1A"/>
          </w:tcPr>
          <w:p w14:paraId="6F6408EC" w14:textId="0EF2DCDE" w:rsidR="00E36288" w:rsidRPr="00117F86" w:rsidRDefault="00E36288"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t xml:space="preserve">Klausimas 18 </w:t>
            </w:r>
            <w:r w:rsidRPr="00117F86">
              <w:rPr>
                <w:rFonts w:ascii="Jost" w:hAnsi="Jost"/>
                <w:lang w:val="lt-LT"/>
              </w:rPr>
              <w:t>(klausimo tekstas netaisytas)</w:t>
            </w:r>
          </w:p>
        </w:tc>
      </w:tr>
      <w:tr w:rsidR="00E36288" w:rsidRPr="00117F86" w14:paraId="33553A31" w14:textId="77777777" w:rsidTr="00F84782">
        <w:trPr>
          <w:trHeight w:val="400"/>
        </w:trPr>
        <w:tc>
          <w:tcPr>
            <w:tcW w:w="9923" w:type="dxa"/>
            <w:shd w:val="clear" w:color="auto" w:fill="auto"/>
          </w:tcPr>
          <w:p w14:paraId="752F5177" w14:textId="37F0E059" w:rsidR="00E36288" w:rsidRPr="00117F86" w:rsidRDefault="00E36288"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eastAsia="Times New Roman" w:hAnsi="Jost"/>
                <w:i/>
                <w:iCs/>
                <w:kern w:val="2"/>
                <w:lang w:val="lt-LT"/>
              </w:rPr>
              <w:t xml:space="preserve">Prašome paaiškinti ar pagal „Reik_155“ po bandomosios eksploatacijos pakaks pašalinti visas kritines klaidas ir galės bandomosios eksploatacijos plane likti numatyti PO priimtini ne kritinių klaidų ir neatitikimų kiekiai, kurie galės būti pašalinti garantinės priežiūros metu. </w:t>
            </w:r>
          </w:p>
        </w:tc>
      </w:tr>
      <w:tr w:rsidR="00E36288" w:rsidRPr="00117F86" w14:paraId="6FFCFA60" w14:textId="77777777" w:rsidTr="00F84782">
        <w:trPr>
          <w:trHeight w:val="400"/>
        </w:trPr>
        <w:tc>
          <w:tcPr>
            <w:tcW w:w="9923" w:type="dxa"/>
            <w:shd w:val="clear" w:color="auto" w:fill="DAE9F7" w:themeFill="text2" w:themeFillTint="1A"/>
          </w:tcPr>
          <w:p w14:paraId="7E17BEBB" w14:textId="20262E27" w:rsidR="00E36288" w:rsidRPr="00117F86" w:rsidRDefault="00E36288"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t>Atsakymas</w:t>
            </w:r>
          </w:p>
        </w:tc>
      </w:tr>
      <w:tr w:rsidR="00A3278C" w:rsidRPr="00117F86" w14:paraId="77DA2F3E" w14:textId="77777777" w:rsidTr="00F84782">
        <w:trPr>
          <w:trHeight w:val="400"/>
        </w:trPr>
        <w:tc>
          <w:tcPr>
            <w:tcW w:w="9923" w:type="dxa"/>
            <w:shd w:val="clear" w:color="auto" w:fill="auto"/>
          </w:tcPr>
          <w:p w14:paraId="0FC3C4D5" w14:textId="0EA0D491" w:rsidR="00A3278C" w:rsidRPr="00117F86" w:rsidRDefault="00A3278C" w:rsidP="00106C33">
            <w:pPr>
              <w:jc w:val="both"/>
              <w:rPr>
                <w:rFonts w:ascii="Jost" w:hAnsi="Jost"/>
                <w:lang w:val="lt-LT"/>
              </w:rPr>
            </w:pPr>
            <w:r w:rsidRPr="00117F86">
              <w:rPr>
                <w:rFonts w:ascii="Jost" w:hAnsi="Jost"/>
                <w:lang w:val="lt-LT"/>
              </w:rPr>
              <w:t>Bandomosios eksploatacijos metu turės būti ištaisytos visos</w:t>
            </w:r>
            <w:r w:rsidR="009236A3">
              <w:rPr>
                <w:rFonts w:ascii="Jost" w:hAnsi="Jost"/>
                <w:lang w:val="lt-LT"/>
              </w:rPr>
              <w:t xml:space="preserve"> kritinės ir nekritinės</w:t>
            </w:r>
            <w:r w:rsidRPr="00117F86">
              <w:rPr>
                <w:rFonts w:ascii="Jost" w:hAnsi="Jost"/>
                <w:lang w:val="lt-LT"/>
              </w:rPr>
              <w:t xml:space="preserve"> nustatytos klaidos, būtinos sprendimo paleidimui į gamybinę aplinką.</w:t>
            </w:r>
          </w:p>
          <w:p w14:paraId="3B77A3F8" w14:textId="6462DE64" w:rsidR="00A3278C" w:rsidRPr="00117F86" w:rsidRDefault="00A3278C"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lang w:val="lt-LT"/>
              </w:rPr>
              <w:t xml:space="preserve"> Jeigu po bandomosios eksploatacijos bus nustatytos kitos klaidos, jos turės būti pašalinamos garantinės priežiūros metu, tai bus detalizuota bandomosios eksploatacijos ir garantinio aptarnavimo reglamentuose nustatytą tvarką.</w:t>
            </w:r>
          </w:p>
        </w:tc>
      </w:tr>
      <w:tr w:rsidR="00A3278C" w:rsidRPr="00117F86" w14:paraId="2B616B41" w14:textId="77777777" w:rsidTr="00F84782">
        <w:trPr>
          <w:trHeight w:val="400"/>
        </w:trPr>
        <w:tc>
          <w:tcPr>
            <w:tcW w:w="9923" w:type="dxa"/>
            <w:shd w:val="clear" w:color="auto" w:fill="DAE9F7" w:themeFill="text2" w:themeFillTint="1A"/>
          </w:tcPr>
          <w:p w14:paraId="40E4FA41" w14:textId="308F7BA0" w:rsidR="00A3278C" w:rsidRPr="00117F86" w:rsidRDefault="00A3278C" w:rsidP="00106C33">
            <w:pPr>
              <w:tabs>
                <w:tab w:val="left" w:pos="567"/>
                <w:tab w:val="left" w:pos="851"/>
                <w:tab w:val="left" w:pos="992"/>
                <w:tab w:val="left" w:pos="1134"/>
              </w:tabs>
              <w:jc w:val="both"/>
              <w:textAlignment w:val="center"/>
              <w:rPr>
                <w:rFonts w:ascii="Jost" w:eastAsia="Times New Roman" w:hAnsi="Jost"/>
                <w:b/>
                <w:bCs/>
                <w:kern w:val="2"/>
                <w:lang w:val="lt-LT"/>
              </w:rPr>
            </w:pPr>
            <w:r w:rsidRPr="00117F86">
              <w:rPr>
                <w:rFonts w:ascii="Jost" w:eastAsia="Times New Roman" w:hAnsi="Jost"/>
                <w:b/>
                <w:bCs/>
                <w:kern w:val="2"/>
                <w:lang w:val="lt-LT"/>
              </w:rPr>
              <w:t xml:space="preserve">Pastaba </w:t>
            </w:r>
            <w:r w:rsidRPr="00117F86">
              <w:rPr>
                <w:rFonts w:ascii="Jost" w:hAnsi="Jost"/>
                <w:b/>
                <w:bCs/>
                <w:lang w:val="lt-LT"/>
              </w:rPr>
              <w:t>(tekstas netaisytas)</w:t>
            </w:r>
          </w:p>
        </w:tc>
      </w:tr>
      <w:tr w:rsidR="00A3278C" w:rsidRPr="00117F86" w14:paraId="1DEAE0A1" w14:textId="77777777" w:rsidTr="00F84782">
        <w:trPr>
          <w:trHeight w:val="400"/>
        </w:trPr>
        <w:tc>
          <w:tcPr>
            <w:tcW w:w="9923" w:type="dxa"/>
            <w:shd w:val="clear" w:color="auto" w:fill="auto"/>
          </w:tcPr>
          <w:p w14:paraId="7D8978C4" w14:textId="505DB507" w:rsidR="00A3278C" w:rsidRPr="00117F86" w:rsidRDefault="00A3278C" w:rsidP="00106C33">
            <w:pPr>
              <w:tabs>
                <w:tab w:val="left" w:pos="567"/>
                <w:tab w:val="left" w:pos="851"/>
                <w:tab w:val="left" w:pos="992"/>
                <w:tab w:val="left" w:pos="1134"/>
              </w:tabs>
              <w:jc w:val="both"/>
              <w:textAlignment w:val="center"/>
              <w:rPr>
                <w:rFonts w:ascii="Jost" w:eastAsia="Times New Roman" w:hAnsi="Jost"/>
                <w:i/>
                <w:iCs/>
                <w:kern w:val="2"/>
                <w:lang w:val="lt-LT"/>
              </w:rPr>
            </w:pPr>
            <w:r w:rsidRPr="00117F86">
              <w:rPr>
                <w:rFonts w:ascii="Jost" w:eastAsia="Times New Roman" w:hAnsi="Jost"/>
                <w:i/>
                <w:iCs/>
                <w:kern w:val="2"/>
                <w:lang w:val="lt-LT"/>
              </w:rPr>
              <w:t xml:space="preserve">Taip pat norime atkreipti dėmesį, kad pirkimo skelbime numatytas Pasiūlymų arba paraiškų dalyvauti pirkime pateikimo terminas yra 04/07/2025 00:00, </w:t>
            </w:r>
            <w:proofErr w:type="spellStart"/>
            <w:r w:rsidRPr="00117F86">
              <w:rPr>
                <w:rFonts w:ascii="Jost" w:eastAsia="Times New Roman" w:hAnsi="Jost"/>
                <w:i/>
                <w:iCs/>
                <w:kern w:val="2"/>
                <w:lang w:val="lt-LT"/>
              </w:rPr>
              <w:t>t.y</w:t>
            </w:r>
            <w:proofErr w:type="spellEnd"/>
            <w:r w:rsidRPr="00117F86">
              <w:rPr>
                <w:rFonts w:ascii="Jost" w:eastAsia="Times New Roman" w:hAnsi="Jost"/>
                <w:i/>
                <w:iCs/>
                <w:kern w:val="2"/>
                <w:lang w:val="lt-LT"/>
              </w:rPr>
              <w:t>. iki 00:00 val. Įprastai ši laikas būna darbo metu, kad po 30 min. būtų galima įvykdyti atplėšimo procedūrą, kaip numatyta skelbime.</w:t>
            </w:r>
          </w:p>
        </w:tc>
      </w:tr>
      <w:tr w:rsidR="00A3278C" w:rsidRPr="00117F86" w14:paraId="544B456B" w14:textId="77777777" w:rsidTr="00F84782">
        <w:trPr>
          <w:trHeight w:val="400"/>
        </w:trPr>
        <w:tc>
          <w:tcPr>
            <w:tcW w:w="9923" w:type="dxa"/>
            <w:shd w:val="clear" w:color="auto" w:fill="DAE9F7" w:themeFill="text2" w:themeFillTint="1A"/>
          </w:tcPr>
          <w:p w14:paraId="0FB600D9" w14:textId="7F40C591" w:rsidR="00A3278C" w:rsidRPr="00117F86" w:rsidRDefault="00A3278C" w:rsidP="00106C33">
            <w:pPr>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hAnsi="Jost"/>
                <w:b/>
                <w:bCs/>
                <w:lang w:val="lt-LT"/>
              </w:rPr>
              <w:t>Atsakymas</w:t>
            </w:r>
          </w:p>
        </w:tc>
      </w:tr>
      <w:tr w:rsidR="00A3278C" w:rsidRPr="00117F86" w14:paraId="6BA8E8C3" w14:textId="77777777" w:rsidTr="00F84782">
        <w:trPr>
          <w:trHeight w:val="400"/>
        </w:trPr>
        <w:tc>
          <w:tcPr>
            <w:tcW w:w="9923" w:type="dxa"/>
            <w:shd w:val="clear" w:color="auto" w:fill="auto"/>
          </w:tcPr>
          <w:p w14:paraId="0628F0C2" w14:textId="4E66D7CC" w:rsidR="00A3278C" w:rsidRPr="00117F86" w:rsidRDefault="00A3278C" w:rsidP="00106C33">
            <w:pPr>
              <w:shd w:val="clear" w:color="auto" w:fill="FFFFFF" w:themeFill="background1"/>
              <w:tabs>
                <w:tab w:val="left" w:pos="567"/>
                <w:tab w:val="left" w:pos="851"/>
                <w:tab w:val="left" w:pos="992"/>
                <w:tab w:val="left" w:pos="1134"/>
              </w:tabs>
              <w:jc w:val="both"/>
              <w:textAlignment w:val="center"/>
              <w:rPr>
                <w:rFonts w:ascii="Jost" w:eastAsia="Times New Roman" w:hAnsi="Jost"/>
                <w:kern w:val="2"/>
                <w:lang w:val="lt-LT"/>
              </w:rPr>
            </w:pPr>
            <w:r w:rsidRPr="00117F86">
              <w:rPr>
                <w:rFonts w:ascii="Jost" w:eastAsia="Times New Roman" w:hAnsi="Jost"/>
                <w:kern w:val="2"/>
                <w:lang w:val="lt-LT"/>
              </w:rPr>
              <w:t xml:space="preserve">Dėkojame už pastabą. Pirkimo </w:t>
            </w:r>
            <w:r w:rsidR="0038591A">
              <w:rPr>
                <w:rFonts w:ascii="Jost" w:eastAsia="Times New Roman" w:hAnsi="Jost"/>
                <w:kern w:val="2"/>
                <w:lang w:val="lt-LT"/>
              </w:rPr>
              <w:t xml:space="preserve">CVP IS </w:t>
            </w:r>
            <w:r w:rsidRPr="00117F86">
              <w:rPr>
                <w:rFonts w:ascii="Jost" w:eastAsia="Times New Roman" w:hAnsi="Jost"/>
                <w:kern w:val="2"/>
                <w:lang w:val="lt-LT"/>
              </w:rPr>
              <w:t xml:space="preserve">paskyros pagrindiniame puslapyje per klaidą buvo </w:t>
            </w:r>
            <w:r w:rsidR="00E37796">
              <w:rPr>
                <w:rFonts w:ascii="Jost" w:eastAsia="Times New Roman" w:hAnsi="Jost"/>
                <w:kern w:val="2"/>
                <w:lang w:val="lt-LT"/>
              </w:rPr>
              <w:t>nurodytas</w:t>
            </w:r>
            <w:r w:rsidRPr="00117F86">
              <w:rPr>
                <w:rFonts w:ascii="Jost" w:eastAsia="Times New Roman" w:hAnsi="Jost"/>
                <w:kern w:val="2"/>
                <w:lang w:val="lt-LT"/>
              </w:rPr>
              <w:t xml:space="preserve"> terminas iki 2025-07-04 00.00 val., tačiau Pirkimo skelbime </w:t>
            </w:r>
            <w:r w:rsidRPr="00117F86">
              <w:rPr>
                <w:rFonts w:ascii="Jost" w:eastAsia="Times New Roman" w:hAnsi="Jost"/>
                <w:i/>
                <w:iCs/>
                <w:kern w:val="2"/>
                <w:lang w:val="lt-LT"/>
              </w:rPr>
              <w:t xml:space="preserve">Pasiūlymų arba paraiškų dalyvauti pirkime pateikimo terminas </w:t>
            </w:r>
            <w:r w:rsidRPr="00117F86">
              <w:rPr>
                <w:rFonts w:ascii="Jost" w:eastAsia="Times New Roman" w:hAnsi="Jost"/>
                <w:kern w:val="2"/>
                <w:lang w:val="lt-LT"/>
              </w:rPr>
              <w:t>nurodytas teisingai, t. y. iki</w:t>
            </w:r>
            <w:r w:rsidRPr="00117F86">
              <w:rPr>
                <w:rFonts w:ascii="Jost" w:eastAsia="Times New Roman" w:hAnsi="Jost"/>
                <w:i/>
                <w:iCs/>
                <w:kern w:val="2"/>
                <w:lang w:val="lt-LT"/>
              </w:rPr>
              <w:t xml:space="preserve"> 2025-07-04 9.00 val.</w:t>
            </w:r>
            <w:r w:rsidR="007A00C5">
              <w:rPr>
                <w:rFonts w:ascii="Jost" w:eastAsia="Times New Roman" w:hAnsi="Jost"/>
                <w:i/>
                <w:iCs/>
                <w:kern w:val="2"/>
                <w:lang w:val="lt-LT"/>
              </w:rPr>
              <w:t xml:space="preserve"> </w:t>
            </w:r>
            <w:r w:rsidR="007A00C5" w:rsidRPr="006B4CBC">
              <w:rPr>
                <w:rFonts w:ascii="Jost" w:eastAsia="Times New Roman" w:hAnsi="Jost"/>
                <w:kern w:val="2"/>
                <w:lang w:val="lt-LT"/>
              </w:rPr>
              <w:t>Kadangi Komisija priėmė sprendimą</w:t>
            </w:r>
            <w:r w:rsidR="007A00C5">
              <w:rPr>
                <w:rFonts w:ascii="Jost" w:eastAsia="Times New Roman" w:hAnsi="Jost"/>
                <w:i/>
                <w:iCs/>
                <w:kern w:val="2"/>
                <w:lang w:val="lt-LT"/>
              </w:rPr>
              <w:t xml:space="preserve"> </w:t>
            </w:r>
            <w:r w:rsidR="007A00C5" w:rsidRPr="00117F86">
              <w:rPr>
                <w:rFonts w:ascii="Jost" w:hAnsi="Jost"/>
                <w:lang w:val="lt-LT"/>
              </w:rPr>
              <w:t>nukelti pasiūlymo pateikimo terminą iki 2025</w:t>
            </w:r>
            <w:r w:rsidR="00F84782">
              <w:rPr>
                <w:rFonts w:ascii="Jost" w:hAnsi="Jost"/>
                <w:lang w:val="lt-LT"/>
              </w:rPr>
              <w:t>-07-07</w:t>
            </w:r>
            <w:r w:rsidR="007A00C5" w:rsidRPr="00117F86">
              <w:rPr>
                <w:rFonts w:ascii="Jost" w:hAnsi="Jost"/>
                <w:lang w:val="lt-LT"/>
              </w:rPr>
              <w:t xml:space="preserve"> 9.00 val.</w:t>
            </w:r>
            <w:r w:rsidR="007A00C5">
              <w:rPr>
                <w:rFonts w:ascii="Jost" w:hAnsi="Jost"/>
                <w:lang w:val="lt-LT"/>
              </w:rPr>
              <w:t>, ši klaida bus atitaisyta.</w:t>
            </w:r>
          </w:p>
        </w:tc>
      </w:tr>
    </w:tbl>
    <w:p w14:paraId="2C081A81" w14:textId="77777777" w:rsidR="004724B7" w:rsidRPr="00117F86" w:rsidRDefault="004724B7" w:rsidP="004724B7">
      <w:pPr>
        <w:tabs>
          <w:tab w:val="left" w:pos="1605"/>
        </w:tabs>
        <w:rPr>
          <w:rFonts w:ascii="Jost" w:hAnsi="Jost"/>
        </w:rPr>
      </w:pPr>
    </w:p>
    <w:p w14:paraId="7D8C64B3" w14:textId="1D6A6EEA" w:rsidR="00C90B7F" w:rsidRPr="00117F86" w:rsidRDefault="00C90B7F" w:rsidP="003619F9">
      <w:pPr>
        <w:shd w:val="clear" w:color="auto" w:fill="FFFFFF" w:themeFill="background1"/>
        <w:tabs>
          <w:tab w:val="left" w:pos="567"/>
          <w:tab w:val="left" w:pos="851"/>
          <w:tab w:val="left" w:pos="992"/>
          <w:tab w:val="left" w:pos="1134"/>
        </w:tabs>
        <w:ind w:firstLine="709"/>
        <w:jc w:val="both"/>
        <w:textAlignment w:val="center"/>
        <w:rPr>
          <w:rFonts w:ascii="Jost" w:hAnsi="Jost"/>
        </w:rPr>
      </w:pPr>
      <w:r w:rsidRPr="00117F86">
        <w:rPr>
          <w:rFonts w:ascii="Jost" w:hAnsi="Jost"/>
          <w:noProof/>
        </w:rPr>
        <w:lastRenderedPageBreak/>
        <w:t xml:space="preserve">Atsižvelgiant į aukščiau nurodytas aplinkybes, pranešame, kad </w:t>
      </w:r>
      <w:r w:rsidRPr="00117F86">
        <w:rPr>
          <w:rFonts w:ascii="Jost" w:hAnsi="Jost"/>
        </w:rPr>
        <w:t xml:space="preserve">vadovaujantis VPĮ  40 str. 4  d. ir 5 d. ir Pirkimo dokumentų Bendrųjų sąlygų 5.3 p., </w:t>
      </w:r>
      <w:r w:rsidR="005B3585" w:rsidRPr="00117F86">
        <w:rPr>
          <w:rFonts w:ascii="Jost" w:hAnsi="Jost"/>
        </w:rPr>
        <w:t xml:space="preserve">buvo </w:t>
      </w:r>
      <w:r w:rsidR="00073A6D" w:rsidRPr="00117F86">
        <w:rPr>
          <w:rFonts w:ascii="Jost" w:hAnsi="Jost"/>
        </w:rPr>
        <w:t>priimtas sprendimas</w:t>
      </w:r>
      <w:r w:rsidRPr="00117F86">
        <w:rPr>
          <w:rFonts w:ascii="Jost" w:hAnsi="Jost"/>
        </w:rPr>
        <w:t xml:space="preserve"> nukelti pasiūlym</w:t>
      </w:r>
      <w:r w:rsidR="003619F9" w:rsidRPr="00117F86">
        <w:rPr>
          <w:rFonts w:ascii="Jost" w:hAnsi="Jost"/>
        </w:rPr>
        <w:t>o</w:t>
      </w:r>
      <w:r w:rsidRPr="00117F86">
        <w:rPr>
          <w:rFonts w:ascii="Jost" w:hAnsi="Jost"/>
        </w:rPr>
        <w:t xml:space="preserve"> pateikimo terminą iki </w:t>
      </w:r>
      <w:r w:rsidR="00073A6D" w:rsidRPr="00117F86">
        <w:rPr>
          <w:rFonts w:ascii="Jost" w:hAnsi="Jost"/>
        </w:rPr>
        <w:t>2025</w:t>
      </w:r>
      <w:r w:rsidR="00F84782">
        <w:rPr>
          <w:rFonts w:ascii="Jost" w:hAnsi="Jost"/>
        </w:rPr>
        <w:t>-07-07</w:t>
      </w:r>
      <w:r w:rsidRPr="00117F86">
        <w:rPr>
          <w:rFonts w:ascii="Jost" w:hAnsi="Jost"/>
        </w:rPr>
        <w:t xml:space="preserve"> 9.00 val.</w:t>
      </w:r>
    </w:p>
    <w:p w14:paraId="0402306D" w14:textId="2E346FD0" w:rsidR="006510CA" w:rsidRPr="00117F86" w:rsidRDefault="006510CA" w:rsidP="003619F9">
      <w:pPr>
        <w:pStyle w:val="prastasiniatinklio"/>
        <w:shd w:val="clear" w:color="auto" w:fill="FFFFFF" w:themeFill="background1"/>
        <w:spacing w:before="0" w:beforeAutospacing="0" w:after="0" w:afterAutospacing="0"/>
        <w:ind w:firstLine="709"/>
        <w:contextualSpacing/>
        <w:jc w:val="both"/>
        <w:rPr>
          <w:rFonts w:ascii="Jost" w:hAnsi="Jost"/>
          <w:lang w:val="lt-LT"/>
        </w:rPr>
      </w:pPr>
      <w:r w:rsidRPr="00117F86">
        <w:rPr>
          <w:rFonts w:ascii="Jost" w:hAnsi="Jost"/>
          <w:lang w:val="lt-LT"/>
        </w:rPr>
        <w:t>Taip pat pratęsiamas prašymo paaiškinti, patikslinti pirkimo sąlygas terminas iki 2025-</w:t>
      </w:r>
      <w:r w:rsidR="003619F9" w:rsidRPr="00117F86">
        <w:rPr>
          <w:rFonts w:ascii="Jost" w:hAnsi="Jost"/>
          <w:lang w:val="lt-LT"/>
        </w:rPr>
        <w:t>06-27</w:t>
      </w:r>
      <w:r w:rsidRPr="00117F86">
        <w:rPr>
          <w:rFonts w:ascii="Jost" w:hAnsi="Jost"/>
          <w:lang w:val="lt-LT"/>
        </w:rPr>
        <w:t xml:space="preserve"> imtinai.</w:t>
      </w:r>
    </w:p>
    <w:p w14:paraId="0E001EEA" w14:textId="77777777" w:rsidR="00C90B7F" w:rsidRPr="00117F86" w:rsidRDefault="00C90B7F" w:rsidP="003619F9">
      <w:pPr>
        <w:pStyle w:val="prastasiniatinklio"/>
        <w:shd w:val="clear" w:color="auto" w:fill="FFFFFF" w:themeFill="background1"/>
        <w:spacing w:before="0" w:beforeAutospacing="0" w:after="0" w:afterAutospacing="0"/>
        <w:contextualSpacing/>
        <w:jc w:val="both"/>
        <w:rPr>
          <w:rFonts w:ascii="Jost" w:hAnsi="Jost"/>
          <w:lang w:val="lt-LT"/>
        </w:rPr>
      </w:pPr>
    </w:p>
    <w:p w14:paraId="35AEC276" w14:textId="097E0322" w:rsidR="00C90B7F" w:rsidRPr="00117F86" w:rsidRDefault="00C90B7F" w:rsidP="00C90B7F">
      <w:pPr>
        <w:pStyle w:val="FreeForm"/>
        <w:ind w:firstLine="709"/>
        <w:jc w:val="both"/>
        <w:rPr>
          <w:rFonts w:ascii="Jost" w:hAnsi="Jost" w:cs="Times New Roman"/>
          <w:b/>
          <w:bCs/>
          <w:color w:val="auto"/>
          <w:sz w:val="24"/>
          <w:szCs w:val="24"/>
          <w:lang w:val="lt-LT"/>
        </w:rPr>
      </w:pPr>
    </w:p>
    <w:p w14:paraId="2FC7F03D" w14:textId="20D198AA" w:rsidR="004724B7" w:rsidRPr="00117F86" w:rsidRDefault="004724B7" w:rsidP="004724B7">
      <w:pPr>
        <w:tabs>
          <w:tab w:val="left" w:pos="1605"/>
        </w:tabs>
        <w:spacing w:line="288" w:lineRule="auto"/>
        <w:jc w:val="both"/>
        <w:rPr>
          <w:rFonts w:ascii="Jost" w:eastAsia="Times New Roman" w:hAnsi="Jost"/>
          <w:color w:val="000000"/>
        </w:rPr>
      </w:pPr>
      <w:r w:rsidRPr="00117F86">
        <w:rPr>
          <w:rFonts w:ascii="Jost" w:eastAsia="Times New Roman" w:hAnsi="Jost"/>
          <w:color w:val="000000"/>
        </w:rPr>
        <w:t>Pagarbiai</w:t>
      </w:r>
    </w:p>
    <w:p w14:paraId="24581294" w14:textId="77777777" w:rsidR="004724B7" w:rsidRPr="00117F86" w:rsidRDefault="004724B7" w:rsidP="004724B7">
      <w:pPr>
        <w:tabs>
          <w:tab w:val="left" w:pos="1605"/>
        </w:tabs>
        <w:jc w:val="both"/>
        <w:rPr>
          <w:rFonts w:ascii="Jost" w:eastAsia="Times New Roman" w:hAnsi="Jost"/>
          <w:color w:val="000000"/>
        </w:rPr>
      </w:pPr>
    </w:p>
    <w:p w14:paraId="61CD7701" w14:textId="77777777" w:rsidR="004724B7" w:rsidRPr="00117F86" w:rsidRDefault="004724B7" w:rsidP="004724B7">
      <w:pPr>
        <w:tabs>
          <w:tab w:val="left" w:pos="1605"/>
        </w:tabs>
        <w:spacing w:line="288" w:lineRule="auto"/>
        <w:jc w:val="both"/>
        <w:rPr>
          <w:rFonts w:ascii="Jost" w:hAnsi="Jost"/>
        </w:rPr>
      </w:pPr>
      <w:r w:rsidRPr="00117F86">
        <w:rPr>
          <w:rFonts w:ascii="Jost" w:eastAsia="Times New Roman" w:hAnsi="Jost"/>
          <w:color w:val="000000"/>
        </w:rPr>
        <w:t>Komisija</w:t>
      </w:r>
    </w:p>
    <w:p w14:paraId="225B46E5" w14:textId="77777777" w:rsidR="004724B7" w:rsidRPr="00117F86" w:rsidRDefault="004724B7" w:rsidP="004724B7">
      <w:pPr>
        <w:tabs>
          <w:tab w:val="left" w:pos="1605"/>
        </w:tabs>
        <w:jc w:val="center"/>
        <w:rPr>
          <w:rFonts w:ascii="Jost" w:hAnsi="Jost"/>
        </w:rPr>
      </w:pPr>
    </w:p>
    <w:p w14:paraId="22BB7764" w14:textId="77777777" w:rsidR="004724B7" w:rsidRPr="00117F86" w:rsidRDefault="004724B7" w:rsidP="004724B7">
      <w:pPr>
        <w:pStyle w:val="FreeForm"/>
        <w:spacing w:line="480" w:lineRule="auto"/>
        <w:rPr>
          <w:rFonts w:ascii="Jost" w:hAnsi="Jost" w:cs="Times New Roman"/>
          <w:color w:val="auto"/>
          <w:sz w:val="24"/>
          <w:szCs w:val="24"/>
          <w:lang w:val="lt-LT"/>
        </w:rPr>
      </w:pPr>
      <w:r w:rsidRPr="00117F86">
        <w:rPr>
          <w:rFonts w:ascii="Jost" w:hAnsi="Jost" w:cs="Times New Roman"/>
          <w:color w:val="auto"/>
          <w:sz w:val="24"/>
          <w:szCs w:val="24"/>
          <w:lang w:val="lt-LT"/>
        </w:rPr>
        <w:tab/>
      </w:r>
      <w:r w:rsidRPr="00117F86">
        <w:rPr>
          <w:rFonts w:ascii="Jost" w:hAnsi="Jost" w:cs="Times New Roman"/>
          <w:color w:val="auto"/>
          <w:sz w:val="24"/>
          <w:szCs w:val="24"/>
          <w:lang w:val="lt-LT"/>
        </w:rPr>
        <w:tab/>
      </w:r>
      <w:r w:rsidRPr="00117F86">
        <w:rPr>
          <w:rFonts w:ascii="Jost" w:hAnsi="Jost" w:cs="Times New Roman"/>
          <w:color w:val="auto"/>
          <w:sz w:val="24"/>
          <w:szCs w:val="24"/>
          <w:lang w:val="lt-LT"/>
        </w:rPr>
        <w:tab/>
      </w:r>
      <w:r w:rsidRPr="00117F86">
        <w:rPr>
          <w:rFonts w:ascii="Jost" w:hAnsi="Jost" w:cs="Times New Roman"/>
          <w:color w:val="auto"/>
          <w:sz w:val="24"/>
          <w:szCs w:val="24"/>
          <w:lang w:val="lt-LT"/>
        </w:rPr>
        <w:tab/>
      </w:r>
    </w:p>
    <w:p w14:paraId="7478A476" w14:textId="77777777" w:rsidR="00E4040A" w:rsidRPr="00117F86" w:rsidRDefault="00E4040A" w:rsidP="004724B7">
      <w:pPr>
        <w:spacing w:line="288" w:lineRule="auto"/>
        <w:ind w:firstLine="720"/>
        <w:jc w:val="both"/>
        <w:rPr>
          <w:rFonts w:ascii="Jost" w:hAnsi="Jost"/>
        </w:rPr>
      </w:pPr>
    </w:p>
    <w:sectPr w:rsidR="00E4040A" w:rsidRPr="00117F86" w:rsidSect="000F17D6">
      <w:headerReference w:type="default" r:id="rId7"/>
      <w:footerReference w:type="default" r:id="rId8"/>
      <w:headerReference w:type="first" r:id="rId9"/>
      <w:pgSz w:w="11900" w:h="16840"/>
      <w:pgMar w:top="1440" w:right="843" w:bottom="1134"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88A40" w14:textId="77777777" w:rsidR="00F15657" w:rsidRDefault="00F15657" w:rsidP="000F17D6">
      <w:r>
        <w:separator/>
      </w:r>
    </w:p>
  </w:endnote>
  <w:endnote w:type="continuationSeparator" w:id="0">
    <w:p w14:paraId="71F52AB7" w14:textId="77777777" w:rsidR="00F15657" w:rsidRDefault="00F15657"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00"/>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Jost">
    <w:altName w:val="Cambria"/>
    <w:charset w:val="BA"/>
    <w:family w:val="auto"/>
    <w:pitch w:val="variable"/>
    <w:sig w:usb0="A00002EF" w:usb1="0000205B" w:usb2="00000010" w:usb3="00000000" w:csb0="000000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AD621" w14:textId="77777777" w:rsidR="00F15657" w:rsidRDefault="00F15657" w:rsidP="000F17D6">
      <w:r>
        <w:separator/>
      </w:r>
    </w:p>
  </w:footnote>
  <w:footnote w:type="continuationSeparator" w:id="0">
    <w:p w14:paraId="62599BE3" w14:textId="77777777" w:rsidR="00F15657" w:rsidRDefault="00F15657"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Antrats"/>
          <w:jc w:val="center"/>
          <w:rPr>
            <w:rFonts w:ascii="Jost" w:hAnsi="Jost"/>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Antrats"/>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86197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807B2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2134964">
    <w:abstractNumId w:val="1"/>
  </w:num>
  <w:num w:numId="2" w16cid:durableId="1367369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21AAF"/>
    <w:rsid w:val="00031696"/>
    <w:rsid w:val="00041920"/>
    <w:rsid w:val="0005038E"/>
    <w:rsid w:val="00051BE0"/>
    <w:rsid w:val="000673B7"/>
    <w:rsid w:val="00073A6D"/>
    <w:rsid w:val="00076A84"/>
    <w:rsid w:val="000841CC"/>
    <w:rsid w:val="00094EC1"/>
    <w:rsid w:val="00095D5F"/>
    <w:rsid w:val="000A26A0"/>
    <w:rsid w:val="000B7B60"/>
    <w:rsid w:val="000E48D3"/>
    <w:rsid w:val="000F0723"/>
    <w:rsid w:val="000F17D6"/>
    <w:rsid w:val="000F3B8C"/>
    <w:rsid w:val="000F76FA"/>
    <w:rsid w:val="00106C33"/>
    <w:rsid w:val="00117F86"/>
    <w:rsid w:val="001276CB"/>
    <w:rsid w:val="001330B6"/>
    <w:rsid w:val="001330CA"/>
    <w:rsid w:val="00150BF6"/>
    <w:rsid w:val="001558F6"/>
    <w:rsid w:val="00156D01"/>
    <w:rsid w:val="00172D09"/>
    <w:rsid w:val="00180221"/>
    <w:rsid w:val="00180313"/>
    <w:rsid w:val="001829EE"/>
    <w:rsid w:val="00182BE1"/>
    <w:rsid w:val="00192DEF"/>
    <w:rsid w:val="001954C2"/>
    <w:rsid w:val="001C1E30"/>
    <w:rsid w:val="001C4C9F"/>
    <w:rsid w:val="001D62C1"/>
    <w:rsid w:val="001E350E"/>
    <w:rsid w:val="001F2EAE"/>
    <w:rsid w:val="002157C3"/>
    <w:rsid w:val="00240BAB"/>
    <w:rsid w:val="00265045"/>
    <w:rsid w:val="002676AF"/>
    <w:rsid w:val="00270136"/>
    <w:rsid w:val="0027706E"/>
    <w:rsid w:val="00277ACF"/>
    <w:rsid w:val="00283410"/>
    <w:rsid w:val="00300312"/>
    <w:rsid w:val="00322AFC"/>
    <w:rsid w:val="00333563"/>
    <w:rsid w:val="00336605"/>
    <w:rsid w:val="0034072A"/>
    <w:rsid w:val="003619F9"/>
    <w:rsid w:val="00362939"/>
    <w:rsid w:val="0036750A"/>
    <w:rsid w:val="00370952"/>
    <w:rsid w:val="00376B34"/>
    <w:rsid w:val="00376FF7"/>
    <w:rsid w:val="00383929"/>
    <w:rsid w:val="0038591A"/>
    <w:rsid w:val="003B217B"/>
    <w:rsid w:val="003B610D"/>
    <w:rsid w:val="003B6880"/>
    <w:rsid w:val="003D08CE"/>
    <w:rsid w:val="003D2882"/>
    <w:rsid w:val="003D5179"/>
    <w:rsid w:val="003D74F0"/>
    <w:rsid w:val="003E5200"/>
    <w:rsid w:val="003E6BB5"/>
    <w:rsid w:val="004115A8"/>
    <w:rsid w:val="00415F0A"/>
    <w:rsid w:val="00445645"/>
    <w:rsid w:val="004476C6"/>
    <w:rsid w:val="00453909"/>
    <w:rsid w:val="004657AE"/>
    <w:rsid w:val="004724B7"/>
    <w:rsid w:val="00475AC1"/>
    <w:rsid w:val="0048126B"/>
    <w:rsid w:val="00481C91"/>
    <w:rsid w:val="004841E0"/>
    <w:rsid w:val="00490A3C"/>
    <w:rsid w:val="00494CBC"/>
    <w:rsid w:val="004A5103"/>
    <w:rsid w:val="004B4774"/>
    <w:rsid w:val="004B73A5"/>
    <w:rsid w:val="004C4F2C"/>
    <w:rsid w:val="004E7DB5"/>
    <w:rsid w:val="004F6AD6"/>
    <w:rsid w:val="00510257"/>
    <w:rsid w:val="0051460F"/>
    <w:rsid w:val="00516562"/>
    <w:rsid w:val="00524B8D"/>
    <w:rsid w:val="00540173"/>
    <w:rsid w:val="005642C6"/>
    <w:rsid w:val="005B23E8"/>
    <w:rsid w:val="005B3585"/>
    <w:rsid w:val="005E43FB"/>
    <w:rsid w:val="005F54CD"/>
    <w:rsid w:val="006510CA"/>
    <w:rsid w:val="0065209C"/>
    <w:rsid w:val="006810B3"/>
    <w:rsid w:val="006862E0"/>
    <w:rsid w:val="006908B5"/>
    <w:rsid w:val="006A3975"/>
    <w:rsid w:val="006B4CBC"/>
    <w:rsid w:val="006C7E5A"/>
    <w:rsid w:val="00711BD9"/>
    <w:rsid w:val="00717D5C"/>
    <w:rsid w:val="007254B9"/>
    <w:rsid w:val="007271E9"/>
    <w:rsid w:val="007642B2"/>
    <w:rsid w:val="007706F7"/>
    <w:rsid w:val="00774325"/>
    <w:rsid w:val="007772DB"/>
    <w:rsid w:val="00791E5F"/>
    <w:rsid w:val="007A00C5"/>
    <w:rsid w:val="007C7652"/>
    <w:rsid w:val="007F0445"/>
    <w:rsid w:val="007F072F"/>
    <w:rsid w:val="00804584"/>
    <w:rsid w:val="0080655C"/>
    <w:rsid w:val="00811008"/>
    <w:rsid w:val="0081367D"/>
    <w:rsid w:val="0084122F"/>
    <w:rsid w:val="0084175F"/>
    <w:rsid w:val="00860FEB"/>
    <w:rsid w:val="00862486"/>
    <w:rsid w:val="00876EDD"/>
    <w:rsid w:val="008814A7"/>
    <w:rsid w:val="0088508D"/>
    <w:rsid w:val="00896ACE"/>
    <w:rsid w:val="008B1271"/>
    <w:rsid w:val="008B7D17"/>
    <w:rsid w:val="00901F52"/>
    <w:rsid w:val="00913764"/>
    <w:rsid w:val="00915E5F"/>
    <w:rsid w:val="009236A3"/>
    <w:rsid w:val="00933D80"/>
    <w:rsid w:val="009359D0"/>
    <w:rsid w:val="00940C42"/>
    <w:rsid w:val="00940E74"/>
    <w:rsid w:val="00943813"/>
    <w:rsid w:val="00946706"/>
    <w:rsid w:val="00973EFC"/>
    <w:rsid w:val="00976F43"/>
    <w:rsid w:val="00985282"/>
    <w:rsid w:val="0099017B"/>
    <w:rsid w:val="00992541"/>
    <w:rsid w:val="009A6E37"/>
    <w:rsid w:val="009A6FF3"/>
    <w:rsid w:val="009A7E52"/>
    <w:rsid w:val="009E5672"/>
    <w:rsid w:val="009E7AF2"/>
    <w:rsid w:val="009F1ABD"/>
    <w:rsid w:val="009F3B08"/>
    <w:rsid w:val="00A1363C"/>
    <w:rsid w:val="00A146E5"/>
    <w:rsid w:val="00A25314"/>
    <w:rsid w:val="00A3278C"/>
    <w:rsid w:val="00A62405"/>
    <w:rsid w:val="00A67D15"/>
    <w:rsid w:val="00A71CBF"/>
    <w:rsid w:val="00A7668B"/>
    <w:rsid w:val="00A831FB"/>
    <w:rsid w:val="00A84892"/>
    <w:rsid w:val="00A9105A"/>
    <w:rsid w:val="00AA778D"/>
    <w:rsid w:val="00AB476D"/>
    <w:rsid w:val="00AB6536"/>
    <w:rsid w:val="00AB7038"/>
    <w:rsid w:val="00AC0DC4"/>
    <w:rsid w:val="00AC1477"/>
    <w:rsid w:val="00AE3320"/>
    <w:rsid w:val="00AE3A88"/>
    <w:rsid w:val="00AE6543"/>
    <w:rsid w:val="00B14379"/>
    <w:rsid w:val="00B546B9"/>
    <w:rsid w:val="00B5500E"/>
    <w:rsid w:val="00B577D1"/>
    <w:rsid w:val="00B62F87"/>
    <w:rsid w:val="00B635A5"/>
    <w:rsid w:val="00B77E46"/>
    <w:rsid w:val="00B92644"/>
    <w:rsid w:val="00BB2691"/>
    <w:rsid w:val="00BC39CD"/>
    <w:rsid w:val="00BC4BBB"/>
    <w:rsid w:val="00BD61F3"/>
    <w:rsid w:val="00BE3C5E"/>
    <w:rsid w:val="00BE5F96"/>
    <w:rsid w:val="00BE7716"/>
    <w:rsid w:val="00C0001C"/>
    <w:rsid w:val="00C04902"/>
    <w:rsid w:val="00C35E6C"/>
    <w:rsid w:val="00C36859"/>
    <w:rsid w:val="00C442A3"/>
    <w:rsid w:val="00C50DE8"/>
    <w:rsid w:val="00C57417"/>
    <w:rsid w:val="00C83F81"/>
    <w:rsid w:val="00C868FA"/>
    <w:rsid w:val="00C90B7F"/>
    <w:rsid w:val="00C918C4"/>
    <w:rsid w:val="00C92F1F"/>
    <w:rsid w:val="00CA077F"/>
    <w:rsid w:val="00CB6EAD"/>
    <w:rsid w:val="00CC13E6"/>
    <w:rsid w:val="00CD1404"/>
    <w:rsid w:val="00CE0EA3"/>
    <w:rsid w:val="00CE0F7C"/>
    <w:rsid w:val="00CF235A"/>
    <w:rsid w:val="00D0127C"/>
    <w:rsid w:val="00D05F13"/>
    <w:rsid w:val="00D163F3"/>
    <w:rsid w:val="00D466CA"/>
    <w:rsid w:val="00D76D72"/>
    <w:rsid w:val="00DA0901"/>
    <w:rsid w:val="00DB5547"/>
    <w:rsid w:val="00DC4224"/>
    <w:rsid w:val="00DD4DA4"/>
    <w:rsid w:val="00DE0558"/>
    <w:rsid w:val="00DE0A01"/>
    <w:rsid w:val="00DE357B"/>
    <w:rsid w:val="00DF0222"/>
    <w:rsid w:val="00DF0B28"/>
    <w:rsid w:val="00DF3CE3"/>
    <w:rsid w:val="00E018EC"/>
    <w:rsid w:val="00E04159"/>
    <w:rsid w:val="00E27A21"/>
    <w:rsid w:val="00E36288"/>
    <w:rsid w:val="00E37796"/>
    <w:rsid w:val="00E4040A"/>
    <w:rsid w:val="00E62888"/>
    <w:rsid w:val="00E65F29"/>
    <w:rsid w:val="00E72964"/>
    <w:rsid w:val="00E806E2"/>
    <w:rsid w:val="00E80C6C"/>
    <w:rsid w:val="00E9653F"/>
    <w:rsid w:val="00EA0873"/>
    <w:rsid w:val="00EC6CCD"/>
    <w:rsid w:val="00ED5612"/>
    <w:rsid w:val="00EE523B"/>
    <w:rsid w:val="00EE5266"/>
    <w:rsid w:val="00EE7D4C"/>
    <w:rsid w:val="00F15657"/>
    <w:rsid w:val="00F213B1"/>
    <w:rsid w:val="00F35F71"/>
    <w:rsid w:val="00F36B90"/>
    <w:rsid w:val="00F37442"/>
    <w:rsid w:val="00F52AEA"/>
    <w:rsid w:val="00F5763D"/>
    <w:rsid w:val="00F67EB9"/>
    <w:rsid w:val="00F71DC1"/>
    <w:rsid w:val="00F84782"/>
    <w:rsid w:val="00F91071"/>
    <w:rsid w:val="00F9235A"/>
    <w:rsid w:val="00FA5A56"/>
    <w:rsid w:val="00FC6BEF"/>
    <w:rsid w:val="00FE21AF"/>
    <w:rsid w:val="00FE51E3"/>
    <w:rsid w:val="00FF16E5"/>
    <w:rsid w:val="00FF7D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390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Antrat1">
    <w:name w:val="heading 1"/>
    <w:basedOn w:val="prastasis"/>
    <w:next w:val="prastasis"/>
    <w:link w:val="Antrat1Diagrama"/>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Antrat2">
    <w:name w:val="heading 2"/>
    <w:basedOn w:val="prastasis"/>
    <w:next w:val="prastasis"/>
    <w:link w:val="Antrat2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Antrat3">
    <w:name w:val="heading 3"/>
    <w:basedOn w:val="prastasis"/>
    <w:next w:val="prastasis"/>
    <w:link w:val="Antrat3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Antrat4">
    <w:name w:val="heading 4"/>
    <w:basedOn w:val="prastasis"/>
    <w:next w:val="prastasis"/>
    <w:link w:val="Antrat4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Antrat5">
    <w:name w:val="heading 5"/>
    <w:basedOn w:val="prastasis"/>
    <w:next w:val="prastasis"/>
    <w:link w:val="Antrat5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Antrat6">
    <w:name w:val="heading 6"/>
    <w:basedOn w:val="prastasis"/>
    <w:next w:val="prastasis"/>
    <w:link w:val="Antrat6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Antrat7">
    <w:name w:val="heading 7"/>
    <w:basedOn w:val="prastasis"/>
    <w:next w:val="prastasis"/>
    <w:link w:val="Antrat7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Antrat8">
    <w:name w:val="heading 8"/>
    <w:basedOn w:val="prastasis"/>
    <w:next w:val="prastasis"/>
    <w:link w:val="Antrat8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Antrat9">
    <w:name w:val="heading 9"/>
    <w:basedOn w:val="prastasis"/>
    <w:next w:val="prastasis"/>
    <w:link w:val="Antrat9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17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17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17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17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17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17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17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17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PavadinimasDiagrama">
    <w:name w:val="Pavadinimas Diagrama"/>
    <w:basedOn w:val="Numatytasispastraiposriftas"/>
    <w:link w:val="Pavadinimas"/>
    <w:uiPriority w:val="10"/>
    <w:rsid w:val="000F17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PaantratDiagrama">
    <w:name w:val="Paantraštė Diagrama"/>
    <w:basedOn w:val="Numatytasispastraiposriftas"/>
    <w:link w:val="Paantrat"/>
    <w:uiPriority w:val="11"/>
    <w:rsid w:val="000F17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CitataDiagrama">
    <w:name w:val="Citata Diagrama"/>
    <w:basedOn w:val="Numatytasispastraiposriftas"/>
    <w:link w:val="Citata"/>
    <w:uiPriority w:val="29"/>
    <w:rsid w:val="000F17D6"/>
    <w:rPr>
      <w:i/>
      <w:iCs/>
      <w:color w:val="404040" w:themeColor="text1" w:themeTint="BF"/>
    </w:rPr>
  </w:style>
  <w:style w:type="paragraph" w:styleId="Sraopastraipa">
    <w:name w:val="List Paragraph"/>
    <w:basedOn w:val="prastasis"/>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Rykuspabraukimas">
    <w:name w:val="Intense Emphasis"/>
    <w:basedOn w:val="Numatytasispastraiposriftas"/>
    <w:uiPriority w:val="21"/>
    <w:qFormat/>
    <w:rsid w:val="000F17D6"/>
    <w:rPr>
      <w:i/>
      <w:iCs/>
      <w:color w:val="0F4761" w:themeColor="accent1" w:themeShade="BF"/>
    </w:rPr>
  </w:style>
  <w:style w:type="paragraph" w:styleId="Iskirtacitata">
    <w:name w:val="Intense Quote"/>
    <w:basedOn w:val="prastasis"/>
    <w:next w:val="prastasis"/>
    <w:link w:val="IskirtacitataDiagrama"/>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skirtacitataDiagrama">
    <w:name w:val="Išskirta citata Diagrama"/>
    <w:basedOn w:val="Numatytasispastraiposriftas"/>
    <w:link w:val="Iskirtacitata"/>
    <w:uiPriority w:val="30"/>
    <w:rsid w:val="000F17D6"/>
    <w:rPr>
      <w:i/>
      <w:iCs/>
      <w:color w:val="0F4761" w:themeColor="accent1" w:themeShade="BF"/>
    </w:rPr>
  </w:style>
  <w:style w:type="character" w:styleId="Rykinuoroda">
    <w:name w:val="Intense Reference"/>
    <w:basedOn w:val="Numatytasispastraiposriftas"/>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Antrats">
    <w:name w:val="header"/>
    <w:basedOn w:val="prastasis"/>
    <w:link w:val="AntratsDiagrama"/>
    <w:uiPriority w:val="99"/>
    <w:unhideWhenUsed/>
    <w:rsid w:val="000F17D6"/>
    <w:pPr>
      <w:tabs>
        <w:tab w:val="center" w:pos="4680"/>
        <w:tab w:val="right" w:pos="9360"/>
      </w:tabs>
    </w:pPr>
  </w:style>
  <w:style w:type="character" w:customStyle="1" w:styleId="AntratsDiagrama">
    <w:name w:val="Antraštės Diagrama"/>
    <w:basedOn w:val="Numatytasispastraiposriftas"/>
    <w:link w:val="Antrats"/>
    <w:uiPriority w:val="99"/>
    <w:rsid w:val="000F17D6"/>
    <w:rPr>
      <w:rFonts w:ascii="Times New Roman" w:eastAsia="Arial Unicode MS" w:hAnsi="Times New Roman" w:cs="Times New Roman"/>
      <w:sz w:val="24"/>
      <w:szCs w:val="24"/>
      <w:bdr w:val="nil"/>
      <w14:ligatures w14:val="none"/>
    </w:rPr>
  </w:style>
  <w:style w:type="table" w:styleId="Lentelstinklelis">
    <w:name w:val="Table Grid"/>
    <w:basedOn w:val="prastojilente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F17D6"/>
    <w:pPr>
      <w:tabs>
        <w:tab w:val="center" w:pos="4513"/>
        <w:tab w:val="right" w:pos="9026"/>
      </w:tabs>
    </w:pPr>
  </w:style>
  <w:style w:type="character" w:customStyle="1" w:styleId="PoratDiagrama">
    <w:name w:val="Poraštė Diagrama"/>
    <w:basedOn w:val="Numatytasispastraiposriftas"/>
    <w:link w:val="Porat"/>
    <w:uiPriority w:val="99"/>
    <w:rsid w:val="000F17D6"/>
    <w:rPr>
      <w:rFonts w:ascii="Times New Roman" w:eastAsia="Arial Unicode MS" w:hAnsi="Times New Roman" w:cs="Times New Roman"/>
      <w:sz w:val="24"/>
      <w:szCs w:val="24"/>
      <w:bdr w:val="nil"/>
      <w14:ligatures w14:val="none"/>
    </w:rPr>
  </w:style>
  <w:style w:type="paragraph" w:styleId="Puslapioinaostekstas">
    <w:name w:val="footnote text"/>
    <w:aliases w:val=" Char,Footnote,Footnote Text Char Char,Fußnotentextf, Diagrama1,Diagrama1"/>
    <w:basedOn w:val="prastasis"/>
    <w:link w:val="PuslapioinaostekstasDiagrama"/>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PuslapioinaostekstasDiagrama">
    <w:name w:val="Puslapio išnašos tekstas Diagrama"/>
    <w:aliases w:val=" Char Diagrama,Footnote Diagrama,Footnote Text Char Char Diagrama,Fußnotentextf Diagrama, Diagrama1 Diagrama,Diagrama1 Diagrama"/>
    <w:basedOn w:val="Numatytasispastraiposriftas"/>
    <w:link w:val="Puslapioinaostekstas"/>
    <w:uiPriority w:val="99"/>
    <w:rsid w:val="00940E74"/>
    <w:rPr>
      <w:rFonts w:ascii="Times New Roman" w:eastAsia="Times New Roman" w:hAnsi="Times New Roman" w:cs="Times New Roman"/>
      <w:sz w:val="20"/>
      <w:szCs w:val="20"/>
      <w14:ligatures w14:val="none"/>
    </w:rPr>
  </w:style>
  <w:style w:type="character" w:styleId="Puslapioinaosnuoroda">
    <w:name w:val="footnote reference"/>
    <w:aliases w:val="fr"/>
    <w:basedOn w:val="Numatytasispastraiposriftas"/>
    <w:uiPriority w:val="99"/>
    <w:unhideWhenUsed/>
    <w:rsid w:val="00940E74"/>
    <w:rPr>
      <w:vertAlign w:val="superscript"/>
    </w:rPr>
  </w:style>
  <w:style w:type="character" w:customStyle="1" w:styleId="normaltextrun">
    <w:name w:val="normaltextrun"/>
    <w:basedOn w:val="Numatytasispastraiposriftas"/>
    <w:rsid w:val="007271E9"/>
  </w:style>
  <w:style w:type="paragraph" w:styleId="Pataisymai">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 w:type="paragraph" w:styleId="prastasiniatinklio">
    <w:name w:val="Normal (Web)"/>
    <w:basedOn w:val="prastasis"/>
    <w:uiPriority w:val="99"/>
    <w:unhideWhenUsed/>
    <w:rsid w:val="00DE357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character" w:styleId="Komentaronuoroda">
    <w:name w:val="annotation reference"/>
    <w:basedOn w:val="Numatytasispastraiposriftas"/>
    <w:uiPriority w:val="99"/>
    <w:semiHidden/>
    <w:unhideWhenUsed/>
    <w:rsid w:val="00156D01"/>
    <w:rPr>
      <w:sz w:val="16"/>
      <w:szCs w:val="16"/>
    </w:rPr>
  </w:style>
  <w:style w:type="paragraph" w:styleId="Komentarotekstas">
    <w:name w:val="annotation text"/>
    <w:basedOn w:val="prastasis"/>
    <w:link w:val="KomentarotekstasDiagrama"/>
    <w:uiPriority w:val="99"/>
    <w:unhideWhenUsed/>
    <w:rsid w:val="00156D01"/>
    <w:rPr>
      <w:sz w:val="20"/>
      <w:szCs w:val="20"/>
    </w:rPr>
  </w:style>
  <w:style w:type="character" w:customStyle="1" w:styleId="KomentarotekstasDiagrama">
    <w:name w:val="Komentaro tekstas Diagrama"/>
    <w:basedOn w:val="Numatytasispastraiposriftas"/>
    <w:link w:val="Komentarotekstas"/>
    <w:uiPriority w:val="99"/>
    <w:rsid w:val="00156D01"/>
    <w:rPr>
      <w:rFonts w:ascii="Times New Roman" w:eastAsia="Arial Unicode MS" w:hAnsi="Times New Roman" w:cs="Times New Roman"/>
      <w:sz w:val="20"/>
      <w:szCs w:val="20"/>
      <w:bdr w:val="nil"/>
      <w14:ligatures w14:val="none"/>
    </w:rPr>
  </w:style>
  <w:style w:type="paragraph" w:styleId="Komentarotema">
    <w:name w:val="annotation subject"/>
    <w:basedOn w:val="Komentarotekstas"/>
    <w:next w:val="Komentarotekstas"/>
    <w:link w:val="KomentarotemaDiagrama"/>
    <w:uiPriority w:val="99"/>
    <w:semiHidden/>
    <w:unhideWhenUsed/>
    <w:rsid w:val="00156D01"/>
    <w:rPr>
      <w:b/>
      <w:bCs/>
    </w:rPr>
  </w:style>
  <w:style w:type="character" w:customStyle="1" w:styleId="KomentarotemaDiagrama">
    <w:name w:val="Komentaro tema Diagrama"/>
    <w:basedOn w:val="KomentarotekstasDiagrama"/>
    <w:link w:val="Komentarotema"/>
    <w:uiPriority w:val="99"/>
    <w:semiHidden/>
    <w:rsid w:val="00156D01"/>
    <w:rPr>
      <w:rFonts w:ascii="Times New Roman" w:eastAsia="Arial Unicode MS" w:hAnsi="Times New Roman" w:cs="Times New Roman"/>
      <w:b/>
      <w:bCs/>
      <w:sz w:val="20"/>
      <w:szCs w:val="2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10592</Words>
  <Characters>6038</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Svetlana Starinskaja</cp:lastModifiedBy>
  <cp:revision>4</cp:revision>
  <dcterms:created xsi:type="dcterms:W3CDTF">2025-06-27T11:26:00Z</dcterms:created>
  <dcterms:modified xsi:type="dcterms:W3CDTF">2025-06-27T11:28:00Z</dcterms:modified>
</cp:coreProperties>
</file>