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0DA57" w14:textId="77777777" w:rsidR="00353E6B" w:rsidRPr="00632801" w:rsidRDefault="00A7304A" w:rsidP="00A7304A">
      <w:pPr>
        <w:jc w:val="center"/>
        <w:rPr>
          <w:b/>
          <w:sz w:val="24"/>
          <w:lang w:val="en-US"/>
        </w:rPr>
      </w:pPr>
      <w:proofErr w:type="spellStart"/>
      <w:r w:rsidRPr="00632801">
        <w:rPr>
          <w:b/>
          <w:sz w:val="24"/>
          <w:lang w:val="en-US"/>
        </w:rPr>
        <w:t>cEMV</w:t>
      </w:r>
      <w:proofErr w:type="spellEnd"/>
      <w:r w:rsidRPr="00632801">
        <w:rPr>
          <w:b/>
          <w:sz w:val="24"/>
          <w:lang w:val="en-US"/>
        </w:rPr>
        <w:t xml:space="preserve"> PAYMENTS WITH CONTACTLESS BANK CARDS IN KAUNAS CITY PUBLIC TRANSPORT. SYSTEM LAUNCH AND MAINTENANCE.</w:t>
      </w:r>
    </w:p>
    <w:p w14:paraId="3984E86A" w14:textId="77777777" w:rsidR="00A7304A" w:rsidRPr="00632801" w:rsidRDefault="00A7304A" w:rsidP="00A7304A">
      <w:pPr>
        <w:jc w:val="center"/>
        <w:rPr>
          <w:b/>
          <w:sz w:val="24"/>
          <w:lang w:val="en-US"/>
        </w:rPr>
      </w:pPr>
    </w:p>
    <w:p w14:paraId="3AD4F5D0" w14:textId="77777777" w:rsidR="00A7304A" w:rsidRPr="00632801" w:rsidRDefault="00A7304A" w:rsidP="00A7304A">
      <w:pPr>
        <w:pStyle w:val="Sraopastraipa"/>
        <w:numPr>
          <w:ilvl w:val="0"/>
          <w:numId w:val="1"/>
        </w:numPr>
        <w:rPr>
          <w:sz w:val="24"/>
          <w:lang w:val="en-US"/>
        </w:rPr>
      </w:pPr>
      <w:r w:rsidRPr="00632801">
        <w:rPr>
          <w:sz w:val="24"/>
          <w:lang w:val="en-US"/>
        </w:rPr>
        <w:t xml:space="preserve">Object: launch of the </w:t>
      </w:r>
      <w:proofErr w:type="spellStart"/>
      <w:r w:rsidRPr="00632801">
        <w:rPr>
          <w:sz w:val="24"/>
          <w:lang w:val="en-US"/>
        </w:rPr>
        <w:t>cEMV</w:t>
      </w:r>
      <w:proofErr w:type="spellEnd"/>
      <w:r w:rsidRPr="00632801">
        <w:rPr>
          <w:sz w:val="24"/>
          <w:lang w:val="en-US"/>
        </w:rPr>
        <w:t xml:space="preserve"> bank card payment system in Kaunas city public transport and 12-month support.</w:t>
      </w:r>
    </w:p>
    <w:p w14:paraId="16E6F519" w14:textId="77777777" w:rsidR="00A7304A" w:rsidRDefault="00A7304A" w:rsidP="00A7304A">
      <w:pPr>
        <w:pStyle w:val="Sraopastraipa"/>
        <w:rPr>
          <w:sz w:val="24"/>
          <w:lang w:val="en-US"/>
        </w:rPr>
      </w:pPr>
    </w:p>
    <w:p w14:paraId="35556CF7" w14:textId="77777777" w:rsidR="00632801" w:rsidRDefault="00632801" w:rsidP="00A7304A">
      <w:pPr>
        <w:pStyle w:val="Sraopastraipa"/>
        <w:rPr>
          <w:sz w:val="24"/>
          <w:lang w:val="en-US"/>
        </w:rPr>
      </w:pPr>
      <w:proofErr w:type="spellStart"/>
      <w:r w:rsidRPr="00632801">
        <w:rPr>
          <w:sz w:val="24"/>
          <w:lang w:val="en-US"/>
        </w:rPr>
        <w:t>cEMV</w:t>
      </w:r>
      <w:proofErr w:type="spellEnd"/>
      <w:r w:rsidRPr="00632801">
        <w:rPr>
          <w:sz w:val="24"/>
          <w:lang w:val="en-US"/>
        </w:rPr>
        <w:t xml:space="preserve"> payments with contactless bank cards will be made at UAB "Kauno </w:t>
      </w:r>
      <w:proofErr w:type="spellStart"/>
      <w:r w:rsidRPr="00632801">
        <w:rPr>
          <w:sz w:val="24"/>
          <w:lang w:val="en-US"/>
        </w:rPr>
        <w:t>autobusai</w:t>
      </w:r>
      <w:proofErr w:type="spellEnd"/>
      <w:r w:rsidRPr="00632801">
        <w:rPr>
          <w:sz w:val="24"/>
          <w:lang w:val="en-US"/>
        </w:rPr>
        <w:t>" (hereinafter referred to as the Purchasing Entity) electronic ticket validators when purchasing an electronic travel ticket. The preliminary price of one electronic travel ticket is 1 EUR.</w:t>
      </w:r>
    </w:p>
    <w:p w14:paraId="29421201" w14:textId="77777777" w:rsidR="00632801" w:rsidRPr="00632801" w:rsidRDefault="00632801" w:rsidP="00A7304A">
      <w:pPr>
        <w:pStyle w:val="Sraopastraipa"/>
        <w:rPr>
          <w:sz w:val="24"/>
          <w:lang w:val="en-US"/>
        </w:rPr>
      </w:pPr>
    </w:p>
    <w:p w14:paraId="66B974C5" w14:textId="77777777" w:rsidR="00632801" w:rsidRDefault="00632801" w:rsidP="00632801">
      <w:pPr>
        <w:pStyle w:val="Sraopastraipa"/>
        <w:numPr>
          <w:ilvl w:val="0"/>
          <w:numId w:val="1"/>
        </w:numPr>
        <w:rPr>
          <w:sz w:val="24"/>
          <w:lang w:val="en-US"/>
        </w:rPr>
      </w:pPr>
      <w:r w:rsidRPr="00632801">
        <w:rPr>
          <w:sz w:val="24"/>
          <w:lang w:val="en-US"/>
        </w:rPr>
        <w:t xml:space="preserve">The preliminary quantity of devices accepting </w:t>
      </w:r>
      <w:proofErr w:type="spellStart"/>
      <w:r w:rsidRPr="00632801">
        <w:rPr>
          <w:sz w:val="24"/>
          <w:lang w:val="en-US"/>
        </w:rPr>
        <w:t>cEMV</w:t>
      </w:r>
      <w:proofErr w:type="spellEnd"/>
      <w:r w:rsidRPr="00632801">
        <w:rPr>
          <w:sz w:val="24"/>
          <w:lang w:val="en-US"/>
        </w:rPr>
        <w:t xml:space="preserve"> payments (hereinafter referred to as the Device) is 800 units.</w:t>
      </w:r>
      <w:r>
        <w:rPr>
          <w:sz w:val="24"/>
          <w:lang w:val="en-US"/>
        </w:rPr>
        <w:t xml:space="preserve"> </w:t>
      </w:r>
    </w:p>
    <w:p w14:paraId="73C1A38C" w14:textId="77777777" w:rsidR="00632801" w:rsidRDefault="00632801" w:rsidP="00632801">
      <w:pPr>
        <w:pStyle w:val="Sraopastraipa"/>
        <w:rPr>
          <w:sz w:val="24"/>
          <w:lang w:val="en-US"/>
        </w:rPr>
      </w:pPr>
      <w:r w:rsidRPr="00632801">
        <w:rPr>
          <w:sz w:val="24"/>
          <w:lang w:val="en-US"/>
        </w:rPr>
        <w:t>The quantity of Devices is indicative and the Contracting Entity does not undertake to use the entire quantity of Devices for the entire period of validity of the contract.</w:t>
      </w:r>
    </w:p>
    <w:p w14:paraId="66AC26F8" w14:textId="77777777" w:rsidR="00632801" w:rsidRDefault="00632801" w:rsidP="00632801">
      <w:pPr>
        <w:pStyle w:val="Sraopastraipa"/>
        <w:rPr>
          <w:sz w:val="24"/>
          <w:lang w:val="en-US"/>
        </w:rPr>
      </w:pPr>
    </w:p>
    <w:p w14:paraId="755FF4B2" w14:textId="77777777" w:rsidR="00A7304A" w:rsidRDefault="00632801" w:rsidP="00632801">
      <w:pPr>
        <w:pStyle w:val="Sraopastraipa"/>
        <w:numPr>
          <w:ilvl w:val="0"/>
          <w:numId w:val="1"/>
        </w:numPr>
        <w:rPr>
          <w:sz w:val="24"/>
          <w:lang w:val="en-US"/>
        </w:rPr>
      </w:pPr>
      <w:r w:rsidRPr="00632801">
        <w:rPr>
          <w:sz w:val="24"/>
          <w:lang w:val="en-US"/>
        </w:rPr>
        <w:t>The preliminary amount of payments for contactless bank cards is EUR 70,000 per month. The preliminary amount of payments per month is indicative and the Contracting Entity is not obligated to collect the full amount of payments each month for the entire term of the contract.</w:t>
      </w:r>
    </w:p>
    <w:p w14:paraId="7D3B537C" w14:textId="77777777" w:rsidR="00632801" w:rsidRDefault="00632801" w:rsidP="00632801">
      <w:pPr>
        <w:pStyle w:val="Sraopastraipa"/>
        <w:rPr>
          <w:sz w:val="24"/>
          <w:lang w:val="en-US"/>
        </w:rPr>
      </w:pPr>
    </w:p>
    <w:p w14:paraId="67FEC1F1" w14:textId="77777777" w:rsidR="00632801" w:rsidRDefault="00632801" w:rsidP="00632801">
      <w:pPr>
        <w:pStyle w:val="Sraopastraipa"/>
        <w:numPr>
          <w:ilvl w:val="0"/>
          <w:numId w:val="1"/>
        </w:numPr>
        <w:rPr>
          <w:sz w:val="24"/>
          <w:lang w:val="en-US"/>
        </w:rPr>
      </w:pPr>
      <w:r w:rsidRPr="00632801">
        <w:rPr>
          <w:sz w:val="24"/>
          <w:lang w:val="en-US"/>
        </w:rPr>
        <w:t xml:space="preserve">The full launch of the </w:t>
      </w:r>
      <w:proofErr w:type="spellStart"/>
      <w:r w:rsidRPr="00632801">
        <w:rPr>
          <w:sz w:val="24"/>
          <w:lang w:val="en-US"/>
        </w:rPr>
        <w:t>cEMV</w:t>
      </w:r>
      <w:proofErr w:type="spellEnd"/>
      <w:r w:rsidRPr="00632801">
        <w:rPr>
          <w:sz w:val="24"/>
          <w:lang w:val="en-US"/>
        </w:rPr>
        <w:t xml:space="preserve"> contactless bank card payment system in Kaunas city public transport must be implemented no later than 90 calendar days from the date of signing the contract. The 12 month system support period begins after the full launch of the system.</w:t>
      </w:r>
    </w:p>
    <w:p w14:paraId="33632B2B" w14:textId="77777777" w:rsidR="00632801" w:rsidRPr="00632801" w:rsidRDefault="00632801" w:rsidP="00632801">
      <w:pPr>
        <w:pStyle w:val="Sraopastraipa"/>
        <w:rPr>
          <w:sz w:val="24"/>
          <w:lang w:val="en-US"/>
        </w:rPr>
      </w:pPr>
    </w:p>
    <w:p w14:paraId="7E7BEAAE" w14:textId="77777777" w:rsidR="00632801" w:rsidRDefault="00232F52" w:rsidP="00232F52">
      <w:pPr>
        <w:pStyle w:val="Sraopastraipa"/>
        <w:numPr>
          <w:ilvl w:val="0"/>
          <w:numId w:val="1"/>
        </w:numPr>
        <w:rPr>
          <w:sz w:val="24"/>
          <w:lang w:val="en-US"/>
        </w:rPr>
      </w:pPr>
      <w:r w:rsidRPr="00232F52">
        <w:rPr>
          <w:sz w:val="24"/>
          <w:lang w:val="en-US"/>
        </w:rPr>
        <w:t xml:space="preserve">The Devices used by the Contracting Entity is currently equipped with </w:t>
      </w:r>
      <w:proofErr w:type="spellStart"/>
      <w:r w:rsidRPr="00232F52">
        <w:rPr>
          <w:sz w:val="24"/>
          <w:lang w:val="en-US"/>
        </w:rPr>
        <w:t>cEMV</w:t>
      </w:r>
      <w:proofErr w:type="spellEnd"/>
      <w:r w:rsidRPr="00232F52">
        <w:rPr>
          <w:sz w:val="24"/>
          <w:lang w:val="en-US"/>
        </w:rPr>
        <w:t xml:space="preserve"> payment processing software MBCA version 4.8 (supplier – “Monet+” (https://www.monetplus.cz/en)) and contactless card reader CRE10 (manufacturer – “</w:t>
      </w:r>
      <w:proofErr w:type="spellStart"/>
      <w:r w:rsidRPr="00232F52">
        <w:rPr>
          <w:sz w:val="24"/>
          <w:lang w:val="en-US"/>
        </w:rPr>
        <w:t>Mikroelektronika</w:t>
      </w:r>
      <w:proofErr w:type="spellEnd"/>
      <w:r w:rsidRPr="00232F52">
        <w:rPr>
          <w:sz w:val="24"/>
          <w:lang w:val="en-US"/>
        </w:rPr>
        <w:t xml:space="preserve"> </w:t>
      </w:r>
      <w:proofErr w:type="spellStart"/>
      <w:r w:rsidRPr="00232F52">
        <w:rPr>
          <w:sz w:val="24"/>
          <w:lang w:val="en-US"/>
        </w:rPr>
        <w:t>spol.s.r.o</w:t>
      </w:r>
      <w:proofErr w:type="spellEnd"/>
      <w:r w:rsidRPr="00232F52">
        <w:rPr>
          <w:sz w:val="24"/>
          <w:lang w:val="en-US"/>
        </w:rPr>
        <w:t>” (https://www.mikroelektronika.com/en)). The Service Provider must be prepared to perform a launch and maintenance services of the software MBCA version 4.8 in Kaunas city public transport from the date of entry into force of the contract.</w:t>
      </w:r>
    </w:p>
    <w:p w14:paraId="72E72226" w14:textId="77777777" w:rsidR="0085300D" w:rsidRPr="0085300D" w:rsidRDefault="0085300D" w:rsidP="0085300D">
      <w:pPr>
        <w:pStyle w:val="Sraopastraipa"/>
        <w:rPr>
          <w:sz w:val="24"/>
          <w:lang w:val="en-US"/>
        </w:rPr>
      </w:pPr>
    </w:p>
    <w:p w14:paraId="2815FF45" w14:textId="77777777" w:rsidR="0085300D" w:rsidRDefault="0085300D" w:rsidP="0085300D">
      <w:pPr>
        <w:pStyle w:val="Sraopastraipa"/>
        <w:numPr>
          <w:ilvl w:val="0"/>
          <w:numId w:val="1"/>
        </w:numPr>
        <w:rPr>
          <w:sz w:val="24"/>
          <w:lang w:val="en-US"/>
        </w:rPr>
      </w:pPr>
      <w:r w:rsidRPr="0085300D">
        <w:rPr>
          <w:sz w:val="24"/>
          <w:lang w:val="en-US"/>
        </w:rPr>
        <w:t>General description for System Support Service (System Maintenance SLA)</w:t>
      </w:r>
    </w:p>
    <w:p w14:paraId="6EEED075" w14:textId="77777777" w:rsidR="0085300D" w:rsidRPr="0085300D" w:rsidRDefault="0085300D" w:rsidP="0085300D">
      <w:pPr>
        <w:pStyle w:val="Sraopastraipa"/>
        <w:rPr>
          <w:sz w:val="24"/>
          <w:lang w:val="en-US"/>
        </w:rPr>
      </w:pPr>
    </w:p>
    <w:p w14:paraId="5AC002E7" w14:textId="77777777" w:rsidR="0085300D" w:rsidRPr="00F73B24" w:rsidRDefault="0085300D" w:rsidP="0085300D">
      <w:pPr>
        <w:pStyle w:val="Sraopastraipa"/>
        <w:numPr>
          <w:ilvl w:val="1"/>
          <w:numId w:val="2"/>
        </w:numPr>
        <w:rPr>
          <w:sz w:val="24"/>
          <w:lang w:val="en-US"/>
        </w:rPr>
      </w:pPr>
      <w:r w:rsidRPr="00F73B24">
        <w:rPr>
          <w:sz w:val="24"/>
          <w:lang w:val="en-US"/>
        </w:rPr>
        <w:t>Availability</w:t>
      </w:r>
    </w:p>
    <w:p w14:paraId="133C2F10" w14:textId="77777777" w:rsidR="0085300D" w:rsidRPr="00F73B24" w:rsidRDefault="0085300D" w:rsidP="0085300D">
      <w:pPr>
        <w:spacing w:before="60" w:after="60"/>
        <w:ind w:left="709"/>
        <w:jc w:val="both"/>
        <w:rPr>
          <w:color w:val="222222"/>
          <w:sz w:val="24"/>
          <w:szCs w:val="24"/>
          <w:lang w:val="en-US"/>
        </w:rPr>
      </w:pPr>
      <w:r w:rsidRPr="00F73B24">
        <w:rPr>
          <w:color w:val="222222"/>
          <w:sz w:val="24"/>
          <w:szCs w:val="24"/>
          <w:lang w:val="en-US"/>
        </w:rPr>
        <w:t>The Service Provider guarantees 24x7 availability of the System and all its components managed by the Provider. The overall minimum availability of the System and its components which might have an effect on the defects specified below shall be 99.5 % per calendar month. Unavailability occurs if the number of refused requests exceeds 10 % in the incident situation.</w:t>
      </w:r>
    </w:p>
    <w:p w14:paraId="06E635CF" w14:textId="77777777" w:rsidR="0085300D" w:rsidRPr="00F73B24" w:rsidRDefault="0085300D" w:rsidP="0085300D">
      <w:pPr>
        <w:spacing w:before="60" w:after="0"/>
        <w:ind w:left="709"/>
        <w:jc w:val="both"/>
        <w:rPr>
          <w:color w:val="222222"/>
          <w:sz w:val="24"/>
          <w:szCs w:val="24"/>
          <w:lang w:val="en-US"/>
        </w:rPr>
      </w:pPr>
      <w:r w:rsidRPr="00F73B24">
        <w:rPr>
          <w:color w:val="222222"/>
          <w:sz w:val="24"/>
          <w:szCs w:val="24"/>
          <w:lang w:val="en-US"/>
        </w:rPr>
        <w:t xml:space="preserve">Availability of the System means that every one of the services of the System are available for </w:t>
      </w:r>
      <w:r w:rsidRPr="00F73B24">
        <w:rPr>
          <w:sz w:val="24"/>
          <w:lang w:val="en-US"/>
        </w:rPr>
        <w:t>the Contracting Entity</w:t>
      </w:r>
      <w:r w:rsidRPr="00F73B24">
        <w:rPr>
          <w:color w:val="222222"/>
          <w:sz w:val="24"/>
          <w:szCs w:val="24"/>
          <w:lang w:val="en-US"/>
        </w:rPr>
        <w:t>.</w:t>
      </w:r>
    </w:p>
    <w:p w14:paraId="48AAF421" w14:textId="77777777" w:rsidR="0085300D" w:rsidRPr="00F73B24" w:rsidRDefault="0085300D" w:rsidP="0085300D">
      <w:pPr>
        <w:ind w:left="709"/>
        <w:rPr>
          <w:sz w:val="24"/>
          <w:lang w:val="en-US"/>
        </w:rPr>
      </w:pPr>
      <w:r w:rsidRPr="00F73B24">
        <w:rPr>
          <w:color w:val="222222"/>
          <w:sz w:val="24"/>
          <w:szCs w:val="24"/>
          <w:lang w:val="en-US"/>
        </w:rPr>
        <w:lastRenderedPageBreak/>
        <w:t>The unavailability time shall be measured from a demonstrable proof of its occurrence (error occurrence), the time when the incident is reported to the Provider’s Help Desk shall not be relevant.</w:t>
      </w:r>
    </w:p>
    <w:p w14:paraId="61647D17" w14:textId="77777777" w:rsidR="0085300D" w:rsidRPr="00F73B24" w:rsidRDefault="00F73B24" w:rsidP="0085300D">
      <w:pPr>
        <w:pStyle w:val="Sraopastraipa"/>
        <w:numPr>
          <w:ilvl w:val="1"/>
          <w:numId w:val="2"/>
        </w:numPr>
        <w:rPr>
          <w:sz w:val="24"/>
          <w:lang w:val="en-US"/>
        </w:rPr>
      </w:pPr>
      <w:r w:rsidRPr="00F73B24">
        <w:rPr>
          <w:sz w:val="24"/>
          <w:lang w:val="en-US"/>
        </w:rPr>
        <w:t>Maintenance windows</w:t>
      </w:r>
    </w:p>
    <w:p w14:paraId="671FB2CB" w14:textId="77777777" w:rsidR="00F73B24" w:rsidRPr="005C73EB" w:rsidRDefault="00F73B24" w:rsidP="00F73B24">
      <w:pPr>
        <w:pStyle w:val="Sraopastraipa"/>
        <w:spacing w:before="60" w:after="60"/>
        <w:jc w:val="both"/>
        <w:rPr>
          <w:color w:val="1D1C1D"/>
          <w:sz w:val="24"/>
          <w:szCs w:val="24"/>
          <w:highlight w:val="white"/>
          <w:lang w:val="en-US"/>
        </w:rPr>
      </w:pPr>
      <w:r w:rsidRPr="005C73EB">
        <w:rPr>
          <w:color w:val="1D1C1D"/>
          <w:sz w:val="24"/>
          <w:szCs w:val="24"/>
          <w:highlight w:val="white"/>
          <w:lang w:val="en-US"/>
        </w:rPr>
        <w:t xml:space="preserve">In order to carry out maintenance activities with expected but limited larger outages in the service, the Provider is entitled to have one maintenance window per quarter. </w:t>
      </w:r>
      <w:r w:rsidRPr="005C73EB">
        <w:rPr>
          <w:color w:val="222222"/>
          <w:sz w:val="24"/>
          <w:szCs w:val="24"/>
          <w:lang w:val="en-US"/>
        </w:rPr>
        <w:t>This quarter maintenance window will be placed on the 1st Saturday of the quarter from 19:00 pm till 07:00 am. May this placeholder be used; the Provider will notify the activity to the Client with a minimum of 4 weeks’ time so that any</w:t>
      </w:r>
      <w:r w:rsidRPr="005C73EB">
        <w:rPr>
          <w:color w:val="1D1C1D"/>
          <w:sz w:val="24"/>
          <w:szCs w:val="24"/>
          <w:highlight w:val="white"/>
          <w:lang w:val="en-US"/>
        </w:rPr>
        <w:t xml:space="preserve"> possible question will be clarified prior to the activity.</w:t>
      </w:r>
    </w:p>
    <w:p w14:paraId="461B14F9" w14:textId="77777777" w:rsidR="00F73B24" w:rsidRPr="005C73EB" w:rsidRDefault="00F73B24" w:rsidP="00F73B24">
      <w:pPr>
        <w:pStyle w:val="Sraopastraipa"/>
        <w:rPr>
          <w:color w:val="1D1C1D"/>
          <w:sz w:val="24"/>
          <w:szCs w:val="24"/>
          <w:lang w:val="en-US"/>
        </w:rPr>
      </w:pPr>
      <w:r w:rsidRPr="005C73EB">
        <w:rPr>
          <w:color w:val="1D1C1D"/>
          <w:sz w:val="24"/>
          <w:szCs w:val="24"/>
          <w:highlight w:val="white"/>
          <w:lang w:val="en-US"/>
        </w:rPr>
        <w:t>Maintenance activities with expected but limited low outage in the service will be shared by the Provider with the Client 2 weeks in advance to clarify any possible question.</w:t>
      </w:r>
    </w:p>
    <w:p w14:paraId="18007EA2" w14:textId="77777777" w:rsidR="00B20C25" w:rsidRPr="005C73EB" w:rsidRDefault="00B20C25" w:rsidP="00F73B24">
      <w:pPr>
        <w:pStyle w:val="Sraopastraipa"/>
        <w:rPr>
          <w:color w:val="1D1C1D"/>
          <w:sz w:val="24"/>
          <w:szCs w:val="24"/>
          <w:lang w:val="en-US"/>
        </w:rPr>
      </w:pPr>
      <w:r w:rsidRPr="005C73EB">
        <w:rPr>
          <w:color w:val="1D1C1D"/>
          <w:sz w:val="24"/>
          <w:szCs w:val="24"/>
          <w:highlight w:val="white"/>
          <w:lang w:val="en-US"/>
        </w:rPr>
        <w:t xml:space="preserve">A change request must be shared with the </w:t>
      </w:r>
      <w:r w:rsidRPr="005C73EB">
        <w:rPr>
          <w:sz w:val="24"/>
          <w:lang w:val="en-US"/>
        </w:rPr>
        <w:t>Contracting Entity</w:t>
      </w:r>
      <w:r w:rsidRPr="005C73EB">
        <w:rPr>
          <w:color w:val="1D1C1D"/>
          <w:sz w:val="24"/>
          <w:szCs w:val="24"/>
          <w:highlight w:val="white"/>
          <w:lang w:val="en-US"/>
        </w:rPr>
        <w:t xml:space="preserve"> via </w:t>
      </w:r>
      <w:r w:rsidRPr="005C73EB">
        <w:rPr>
          <w:color w:val="222222"/>
          <w:sz w:val="24"/>
          <w:szCs w:val="24"/>
          <w:lang w:val="en-US"/>
        </w:rPr>
        <w:t>Client’s support portal</w:t>
      </w:r>
      <w:r w:rsidRPr="005C73EB">
        <w:rPr>
          <w:color w:val="1D1C1D"/>
          <w:sz w:val="24"/>
          <w:szCs w:val="24"/>
          <w:highlight w:val="white"/>
          <w:lang w:val="en-US"/>
        </w:rPr>
        <w:t xml:space="preserve"> with a detailed timeline and execution, roll back and test plans. Change advisory board (CAB) call might be arranged with the </w:t>
      </w:r>
      <w:r w:rsidRPr="005C73EB">
        <w:rPr>
          <w:sz w:val="24"/>
          <w:lang w:val="en-US"/>
        </w:rPr>
        <w:t>Contracting Entity</w:t>
      </w:r>
      <w:r w:rsidRPr="005C73EB">
        <w:rPr>
          <w:color w:val="1D1C1D"/>
          <w:sz w:val="24"/>
          <w:szCs w:val="24"/>
          <w:highlight w:val="white"/>
          <w:lang w:val="en-US"/>
        </w:rPr>
        <w:t xml:space="preserve"> for addressing possible questions upon request of any of the involved parts to make sure the activity is carried out in the expected way. The possible outage in the system associated to these planned activities during the provided change windows will not be reflected in the SLA data monthly c</w:t>
      </w:r>
      <w:r w:rsidR="005C73EB">
        <w:rPr>
          <w:color w:val="1D1C1D"/>
          <w:sz w:val="24"/>
          <w:szCs w:val="24"/>
          <w:highlight w:val="white"/>
          <w:lang w:val="en-US"/>
        </w:rPr>
        <w:t>ollected and will not be penaliz</w:t>
      </w:r>
      <w:r w:rsidRPr="005C73EB">
        <w:rPr>
          <w:color w:val="1D1C1D"/>
          <w:sz w:val="24"/>
          <w:szCs w:val="24"/>
          <w:highlight w:val="white"/>
          <w:lang w:val="en-US"/>
        </w:rPr>
        <w:t>ed</w:t>
      </w:r>
      <w:r w:rsidRPr="005C73EB">
        <w:rPr>
          <w:color w:val="1D1C1D"/>
          <w:sz w:val="24"/>
          <w:szCs w:val="24"/>
          <w:lang w:val="en-US"/>
        </w:rPr>
        <w:t>.</w:t>
      </w:r>
    </w:p>
    <w:p w14:paraId="6606CF16" w14:textId="77777777" w:rsidR="00B20C25" w:rsidRPr="005C73EB" w:rsidRDefault="00B20C25" w:rsidP="00F73B24">
      <w:pPr>
        <w:pStyle w:val="Sraopastraipa"/>
        <w:rPr>
          <w:sz w:val="24"/>
          <w:szCs w:val="24"/>
          <w:lang w:val="en-US"/>
        </w:rPr>
      </w:pPr>
    </w:p>
    <w:p w14:paraId="2E436EB6" w14:textId="77777777" w:rsidR="00F73B24" w:rsidRPr="005C73EB" w:rsidRDefault="00B20C25" w:rsidP="0085300D">
      <w:pPr>
        <w:pStyle w:val="Sraopastraipa"/>
        <w:numPr>
          <w:ilvl w:val="1"/>
          <w:numId w:val="2"/>
        </w:numPr>
        <w:rPr>
          <w:sz w:val="24"/>
          <w:szCs w:val="24"/>
          <w:lang w:val="en-US"/>
        </w:rPr>
      </w:pPr>
      <w:r w:rsidRPr="005C73EB">
        <w:rPr>
          <w:color w:val="222222"/>
          <w:sz w:val="24"/>
          <w:szCs w:val="24"/>
          <w:u w:val="single"/>
          <w:lang w:val="en-US"/>
        </w:rPr>
        <w:t>Process SLAs</w:t>
      </w:r>
    </w:p>
    <w:p w14:paraId="6BFB0F49" w14:textId="77777777" w:rsidR="00B20C25" w:rsidRPr="005C73EB" w:rsidRDefault="00B20C25" w:rsidP="00B20C25">
      <w:pPr>
        <w:ind w:left="360" w:firstLine="206"/>
        <w:rPr>
          <w:color w:val="222222"/>
          <w:sz w:val="24"/>
          <w:szCs w:val="24"/>
          <w:lang w:val="en-US"/>
        </w:rPr>
      </w:pPr>
      <w:r w:rsidRPr="005C73EB">
        <w:rPr>
          <w:color w:val="222222"/>
          <w:sz w:val="24"/>
          <w:szCs w:val="24"/>
          <w:lang w:val="en-US"/>
        </w:rPr>
        <w:t xml:space="preserve">The Service levels, which are to be attained by the Provider, are measured using the following parameters: </w:t>
      </w:r>
    </w:p>
    <w:p w14:paraId="19865530" w14:textId="77777777" w:rsidR="00B20C25" w:rsidRPr="005C73EB" w:rsidRDefault="00B20C25" w:rsidP="00B20C25">
      <w:pPr>
        <w:numPr>
          <w:ilvl w:val="0"/>
          <w:numId w:val="3"/>
        </w:numPr>
        <w:spacing w:after="0" w:line="276" w:lineRule="auto"/>
        <w:rPr>
          <w:color w:val="222222"/>
          <w:sz w:val="24"/>
          <w:szCs w:val="24"/>
          <w:lang w:val="en-US"/>
        </w:rPr>
      </w:pPr>
      <w:r w:rsidRPr="005C73EB">
        <w:rPr>
          <w:color w:val="222222"/>
          <w:sz w:val="24"/>
          <w:szCs w:val="24"/>
          <w:lang w:val="en-US"/>
        </w:rPr>
        <w:t>Incident / Service Request: Reaction Time</w:t>
      </w:r>
    </w:p>
    <w:p w14:paraId="517EDB0B" w14:textId="77777777" w:rsidR="00B20C25" w:rsidRPr="005C73EB" w:rsidRDefault="00B20C25" w:rsidP="00B20C25">
      <w:pPr>
        <w:numPr>
          <w:ilvl w:val="0"/>
          <w:numId w:val="3"/>
        </w:numPr>
        <w:spacing w:after="0" w:line="276" w:lineRule="auto"/>
        <w:rPr>
          <w:color w:val="222222"/>
          <w:sz w:val="24"/>
          <w:szCs w:val="24"/>
          <w:lang w:val="en-US"/>
        </w:rPr>
      </w:pPr>
      <w:r w:rsidRPr="005C73EB">
        <w:rPr>
          <w:color w:val="222222"/>
          <w:sz w:val="24"/>
          <w:szCs w:val="24"/>
          <w:lang w:val="en-US"/>
        </w:rPr>
        <w:t>Incident: Resolution Time</w:t>
      </w:r>
    </w:p>
    <w:p w14:paraId="0AA60F37" w14:textId="77777777" w:rsidR="00B20C25" w:rsidRPr="005C73EB" w:rsidRDefault="00B20C25" w:rsidP="00B20C25">
      <w:pPr>
        <w:pStyle w:val="Sraopastraipa"/>
        <w:rPr>
          <w:color w:val="222222"/>
          <w:sz w:val="24"/>
          <w:szCs w:val="24"/>
          <w:lang w:val="en-US"/>
        </w:rPr>
      </w:pPr>
      <w:r w:rsidRPr="005C73EB">
        <w:rPr>
          <w:color w:val="222222"/>
          <w:sz w:val="24"/>
          <w:szCs w:val="24"/>
          <w:lang w:val="en-US"/>
        </w:rPr>
        <w:t>Measurement periods will correspond to one calendar month.</w:t>
      </w:r>
    </w:p>
    <w:p w14:paraId="1FA258C5" w14:textId="77777777" w:rsidR="00B20C25" w:rsidRPr="005C73EB" w:rsidRDefault="00B20C25" w:rsidP="00B20C25">
      <w:pPr>
        <w:pStyle w:val="Sraopastraipa"/>
        <w:rPr>
          <w:color w:val="222222"/>
          <w:sz w:val="24"/>
          <w:szCs w:val="24"/>
          <w:lang w:val="en-US"/>
        </w:rPr>
      </w:pPr>
      <w:r w:rsidRPr="005C73EB">
        <w:rPr>
          <w:color w:val="222222"/>
          <w:sz w:val="24"/>
          <w:szCs w:val="24"/>
          <w:lang w:val="en-US"/>
        </w:rPr>
        <w:t>The Parties acknowledge that the purpose of measurement is to obtain precise information about Service levels (SLA). The Provider shall present the Client with the attained levels within the monthly report. In the event of any dispute, the record in the Provider’s JIRA system represents the relevant point for measuring Service levels.</w:t>
      </w:r>
    </w:p>
    <w:p w14:paraId="3234425A" w14:textId="77777777" w:rsidR="00B20C25" w:rsidRPr="005C73EB" w:rsidRDefault="00B20C25" w:rsidP="00B20C25">
      <w:pPr>
        <w:pStyle w:val="Sraopastraipa"/>
        <w:rPr>
          <w:sz w:val="24"/>
          <w:szCs w:val="24"/>
          <w:lang w:val="en-US"/>
        </w:rPr>
      </w:pPr>
    </w:p>
    <w:p w14:paraId="19E246CC" w14:textId="77777777" w:rsidR="00B20C25" w:rsidRPr="005C73EB" w:rsidRDefault="00B20C25" w:rsidP="00B20C25">
      <w:pPr>
        <w:pStyle w:val="Sraopastraipa"/>
        <w:rPr>
          <w:sz w:val="24"/>
          <w:szCs w:val="24"/>
          <w:lang w:val="en-US"/>
        </w:rPr>
      </w:pPr>
      <w:r w:rsidRPr="005C73EB">
        <w:rPr>
          <w:sz w:val="24"/>
          <w:szCs w:val="24"/>
          <w:lang w:val="en-US"/>
        </w:rPr>
        <w:t>Incidents levels and reaction time</w:t>
      </w:r>
    </w:p>
    <w:tbl>
      <w:tblPr>
        <w:tblW w:w="8212" w:type="dxa"/>
        <w:tblInd w:w="8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2835"/>
        <w:gridCol w:w="2977"/>
      </w:tblGrid>
      <w:tr w:rsidR="00B20C25" w:rsidRPr="005C73EB" w14:paraId="2071CF94" w14:textId="77777777" w:rsidTr="00B20C25">
        <w:tc>
          <w:tcPr>
            <w:tcW w:w="2400" w:type="dxa"/>
            <w:tcBorders>
              <w:top w:val="single" w:sz="8" w:space="0" w:color="4F81BD"/>
              <w:left w:val="single" w:sz="8" w:space="0" w:color="4F81BD"/>
              <w:bottom w:val="single" w:sz="8" w:space="0" w:color="000000"/>
              <w:right w:val="single" w:sz="8" w:space="0" w:color="000000"/>
            </w:tcBorders>
            <w:shd w:val="clear" w:color="auto" w:fill="D9D9D9"/>
            <w:tcMar>
              <w:top w:w="20" w:type="dxa"/>
              <w:left w:w="60" w:type="dxa"/>
              <w:bottom w:w="20" w:type="dxa"/>
              <w:right w:w="60" w:type="dxa"/>
            </w:tcMar>
          </w:tcPr>
          <w:p w14:paraId="18C2BA42" w14:textId="77777777" w:rsidR="00B20C25" w:rsidRPr="005C73EB" w:rsidRDefault="00B20C25" w:rsidP="00395B17">
            <w:pPr>
              <w:jc w:val="center"/>
              <w:rPr>
                <w:color w:val="222222"/>
                <w:sz w:val="24"/>
                <w:szCs w:val="24"/>
                <w:lang w:val="en-US"/>
              </w:rPr>
            </w:pPr>
            <w:r w:rsidRPr="005C73EB">
              <w:rPr>
                <w:color w:val="222222"/>
                <w:sz w:val="24"/>
                <w:szCs w:val="24"/>
                <w:lang w:val="en-US"/>
              </w:rPr>
              <w:t>Priority</w:t>
            </w:r>
          </w:p>
        </w:tc>
        <w:tc>
          <w:tcPr>
            <w:tcW w:w="2835" w:type="dxa"/>
            <w:tcBorders>
              <w:top w:val="single" w:sz="8" w:space="0" w:color="4F81BD"/>
              <w:left w:val="nil"/>
              <w:bottom w:val="single" w:sz="8" w:space="0" w:color="000000"/>
              <w:right w:val="single" w:sz="8" w:space="0" w:color="000000"/>
            </w:tcBorders>
            <w:shd w:val="clear" w:color="auto" w:fill="D9D9D9"/>
            <w:tcMar>
              <w:top w:w="20" w:type="dxa"/>
              <w:left w:w="60" w:type="dxa"/>
              <w:bottom w:w="20" w:type="dxa"/>
              <w:right w:w="60" w:type="dxa"/>
            </w:tcMar>
          </w:tcPr>
          <w:p w14:paraId="017027A8" w14:textId="77777777" w:rsidR="00B20C25" w:rsidRPr="005C73EB" w:rsidRDefault="00B20C25" w:rsidP="00395B17">
            <w:pPr>
              <w:jc w:val="center"/>
              <w:rPr>
                <w:color w:val="222222"/>
                <w:sz w:val="24"/>
                <w:szCs w:val="24"/>
                <w:lang w:val="en-US"/>
              </w:rPr>
            </w:pPr>
            <w:r w:rsidRPr="005C73EB">
              <w:rPr>
                <w:color w:val="222222"/>
                <w:sz w:val="24"/>
                <w:szCs w:val="24"/>
                <w:lang w:val="en-US"/>
              </w:rPr>
              <w:t>Reaction SLA</w:t>
            </w:r>
          </w:p>
        </w:tc>
        <w:tc>
          <w:tcPr>
            <w:tcW w:w="2977" w:type="dxa"/>
            <w:tcBorders>
              <w:top w:val="single" w:sz="8" w:space="0" w:color="4F81BD"/>
              <w:left w:val="nil"/>
              <w:bottom w:val="single" w:sz="8" w:space="0" w:color="000000"/>
              <w:right w:val="single" w:sz="8" w:space="0" w:color="4F81BD"/>
            </w:tcBorders>
            <w:shd w:val="clear" w:color="auto" w:fill="D9D9D9"/>
            <w:tcMar>
              <w:top w:w="20" w:type="dxa"/>
              <w:left w:w="60" w:type="dxa"/>
              <w:bottom w:w="20" w:type="dxa"/>
              <w:right w:w="60" w:type="dxa"/>
            </w:tcMar>
          </w:tcPr>
          <w:p w14:paraId="46AE1BEB" w14:textId="77777777" w:rsidR="00B20C25" w:rsidRPr="005C73EB" w:rsidRDefault="00B20C25" w:rsidP="00395B17">
            <w:pPr>
              <w:jc w:val="center"/>
              <w:rPr>
                <w:color w:val="222222"/>
                <w:sz w:val="24"/>
                <w:szCs w:val="24"/>
                <w:lang w:val="en-US"/>
              </w:rPr>
            </w:pPr>
            <w:r w:rsidRPr="005C73EB">
              <w:rPr>
                <w:color w:val="222222"/>
                <w:sz w:val="24"/>
                <w:szCs w:val="24"/>
                <w:lang w:val="en-US"/>
              </w:rPr>
              <w:t>Resolution SLA</w:t>
            </w:r>
          </w:p>
        </w:tc>
      </w:tr>
      <w:tr w:rsidR="00B20C25" w:rsidRPr="005C73EB" w14:paraId="59633FE4" w14:textId="77777777" w:rsidTr="00B20C25">
        <w:tc>
          <w:tcPr>
            <w:tcW w:w="2400" w:type="dxa"/>
            <w:tcBorders>
              <w:top w:val="nil"/>
              <w:left w:val="single" w:sz="8" w:space="0" w:color="4F81BD"/>
              <w:bottom w:val="single" w:sz="8" w:space="0" w:color="000000"/>
              <w:right w:val="single" w:sz="8" w:space="0" w:color="000000"/>
            </w:tcBorders>
            <w:shd w:val="clear" w:color="auto" w:fill="auto"/>
            <w:tcMar>
              <w:top w:w="20" w:type="dxa"/>
              <w:left w:w="60" w:type="dxa"/>
              <w:bottom w:w="20" w:type="dxa"/>
              <w:right w:w="60" w:type="dxa"/>
            </w:tcMar>
          </w:tcPr>
          <w:p w14:paraId="49353177" w14:textId="77777777" w:rsidR="00B20C25" w:rsidRPr="005C73EB" w:rsidRDefault="00B20C25" w:rsidP="00395B17">
            <w:pPr>
              <w:jc w:val="center"/>
              <w:rPr>
                <w:color w:val="222222"/>
                <w:sz w:val="24"/>
                <w:szCs w:val="24"/>
                <w:lang w:val="en-US"/>
              </w:rPr>
            </w:pPr>
            <w:r w:rsidRPr="005C73EB">
              <w:rPr>
                <w:color w:val="222222"/>
                <w:sz w:val="24"/>
                <w:szCs w:val="24"/>
                <w:lang w:val="en-US"/>
              </w:rPr>
              <w:t>Blocker</w:t>
            </w:r>
          </w:p>
        </w:tc>
        <w:tc>
          <w:tcPr>
            <w:tcW w:w="283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18B76DC3" w14:textId="77777777" w:rsidR="00B20C25" w:rsidRPr="005C73EB" w:rsidRDefault="00B20C25" w:rsidP="00395B17">
            <w:pPr>
              <w:jc w:val="center"/>
              <w:rPr>
                <w:color w:val="222222"/>
                <w:sz w:val="24"/>
                <w:szCs w:val="24"/>
                <w:lang w:val="en-US"/>
              </w:rPr>
            </w:pPr>
            <w:r w:rsidRPr="005C73EB">
              <w:rPr>
                <w:color w:val="222222"/>
                <w:sz w:val="24"/>
                <w:szCs w:val="24"/>
                <w:lang w:val="en-US"/>
              </w:rPr>
              <w:t>20 minutes</w:t>
            </w:r>
          </w:p>
        </w:tc>
        <w:tc>
          <w:tcPr>
            <w:tcW w:w="2977" w:type="dxa"/>
            <w:tcBorders>
              <w:top w:val="nil"/>
              <w:left w:val="nil"/>
              <w:bottom w:val="single" w:sz="8" w:space="0" w:color="000000"/>
              <w:right w:val="single" w:sz="8" w:space="0" w:color="4F81BD"/>
            </w:tcBorders>
            <w:shd w:val="clear" w:color="auto" w:fill="auto"/>
            <w:tcMar>
              <w:top w:w="20" w:type="dxa"/>
              <w:left w:w="60" w:type="dxa"/>
              <w:bottom w:w="20" w:type="dxa"/>
              <w:right w:w="60" w:type="dxa"/>
            </w:tcMar>
          </w:tcPr>
          <w:p w14:paraId="4FFA88E9" w14:textId="77777777" w:rsidR="00B20C25" w:rsidRPr="005C73EB" w:rsidRDefault="00B20C25" w:rsidP="00395B17">
            <w:pPr>
              <w:jc w:val="center"/>
              <w:rPr>
                <w:color w:val="222222"/>
                <w:sz w:val="24"/>
                <w:szCs w:val="24"/>
                <w:lang w:val="en-US"/>
              </w:rPr>
            </w:pPr>
            <w:r w:rsidRPr="005C73EB">
              <w:rPr>
                <w:color w:val="222222"/>
                <w:sz w:val="24"/>
                <w:szCs w:val="24"/>
                <w:lang w:val="en-US"/>
              </w:rPr>
              <w:t>100 minutes (24/7)</w:t>
            </w:r>
          </w:p>
        </w:tc>
      </w:tr>
      <w:tr w:rsidR="00B20C25" w:rsidRPr="005C73EB" w14:paraId="236B6881" w14:textId="77777777" w:rsidTr="00B20C25">
        <w:tc>
          <w:tcPr>
            <w:tcW w:w="2400" w:type="dxa"/>
            <w:tcBorders>
              <w:top w:val="nil"/>
              <w:left w:val="single" w:sz="8" w:space="0" w:color="4F81BD"/>
              <w:bottom w:val="single" w:sz="8" w:space="0" w:color="000000"/>
              <w:right w:val="single" w:sz="8" w:space="0" w:color="000000"/>
            </w:tcBorders>
            <w:shd w:val="clear" w:color="auto" w:fill="auto"/>
            <w:tcMar>
              <w:top w:w="20" w:type="dxa"/>
              <w:left w:w="60" w:type="dxa"/>
              <w:bottom w:w="20" w:type="dxa"/>
              <w:right w:w="60" w:type="dxa"/>
            </w:tcMar>
          </w:tcPr>
          <w:p w14:paraId="4F96E139" w14:textId="77777777" w:rsidR="00B20C25" w:rsidRPr="005C73EB" w:rsidRDefault="00B20C25" w:rsidP="00395B17">
            <w:pPr>
              <w:jc w:val="center"/>
              <w:rPr>
                <w:color w:val="222222"/>
                <w:sz w:val="24"/>
                <w:szCs w:val="24"/>
                <w:lang w:val="en-US"/>
              </w:rPr>
            </w:pPr>
            <w:r w:rsidRPr="005C73EB">
              <w:rPr>
                <w:color w:val="222222"/>
                <w:sz w:val="24"/>
                <w:szCs w:val="24"/>
                <w:lang w:val="en-US"/>
              </w:rPr>
              <w:t>Critical</w:t>
            </w:r>
          </w:p>
        </w:tc>
        <w:tc>
          <w:tcPr>
            <w:tcW w:w="283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6A4B27EA" w14:textId="77777777" w:rsidR="00B20C25" w:rsidRPr="005C73EB" w:rsidRDefault="00B20C25" w:rsidP="00395B17">
            <w:pPr>
              <w:jc w:val="center"/>
              <w:rPr>
                <w:color w:val="222222"/>
                <w:sz w:val="24"/>
                <w:szCs w:val="24"/>
                <w:lang w:val="en-US"/>
              </w:rPr>
            </w:pPr>
            <w:r w:rsidRPr="005C73EB">
              <w:rPr>
                <w:color w:val="222222"/>
                <w:sz w:val="24"/>
                <w:szCs w:val="24"/>
                <w:lang w:val="en-US"/>
              </w:rPr>
              <w:t>30 minutes</w:t>
            </w:r>
          </w:p>
        </w:tc>
        <w:tc>
          <w:tcPr>
            <w:tcW w:w="2977" w:type="dxa"/>
            <w:tcBorders>
              <w:top w:val="nil"/>
              <w:left w:val="nil"/>
              <w:bottom w:val="single" w:sz="8" w:space="0" w:color="000000"/>
              <w:right w:val="single" w:sz="8" w:space="0" w:color="4F81BD"/>
            </w:tcBorders>
            <w:shd w:val="clear" w:color="auto" w:fill="auto"/>
            <w:tcMar>
              <w:top w:w="20" w:type="dxa"/>
              <w:left w:w="60" w:type="dxa"/>
              <w:bottom w:w="20" w:type="dxa"/>
              <w:right w:w="60" w:type="dxa"/>
            </w:tcMar>
          </w:tcPr>
          <w:p w14:paraId="60471E89" w14:textId="77777777" w:rsidR="00B20C25" w:rsidRPr="005C73EB" w:rsidRDefault="00B20C25" w:rsidP="00395B17">
            <w:pPr>
              <w:jc w:val="center"/>
              <w:rPr>
                <w:color w:val="222222"/>
                <w:sz w:val="24"/>
                <w:szCs w:val="24"/>
                <w:lang w:val="en-US"/>
              </w:rPr>
            </w:pPr>
            <w:r w:rsidRPr="005C73EB">
              <w:rPr>
                <w:color w:val="222222"/>
                <w:sz w:val="24"/>
                <w:szCs w:val="24"/>
                <w:lang w:val="en-US"/>
              </w:rPr>
              <w:t>8 hours (24/7)</w:t>
            </w:r>
          </w:p>
        </w:tc>
      </w:tr>
      <w:tr w:rsidR="00B20C25" w:rsidRPr="005C73EB" w14:paraId="740ADC1E" w14:textId="77777777" w:rsidTr="00B20C25">
        <w:tc>
          <w:tcPr>
            <w:tcW w:w="2400" w:type="dxa"/>
            <w:tcBorders>
              <w:top w:val="nil"/>
              <w:left w:val="single" w:sz="8" w:space="0" w:color="4F81BD"/>
              <w:bottom w:val="single" w:sz="8" w:space="0" w:color="000000"/>
              <w:right w:val="single" w:sz="8" w:space="0" w:color="000000"/>
            </w:tcBorders>
            <w:shd w:val="clear" w:color="auto" w:fill="auto"/>
            <w:tcMar>
              <w:top w:w="20" w:type="dxa"/>
              <w:left w:w="60" w:type="dxa"/>
              <w:bottom w:w="20" w:type="dxa"/>
              <w:right w:w="60" w:type="dxa"/>
            </w:tcMar>
          </w:tcPr>
          <w:p w14:paraId="6A94E491" w14:textId="77777777" w:rsidR="00B20C25" w:rsidRPr="005C73EB" w:rsidRDefault="00B20C25" w:rsidP="00395B17">
            <w:pPr>
              <w:jc w:val="center"/>
              <w:rPr>
                <w:color w:val="222222"/>
                <w:sz w:val="24"/>
                <w:szCs w:val="24"/>
                <w:lang w:val="en-US"/>
              </w:rPr>
            </w:pPr>
            <w:r w:rsidRPr="005C73EB">
              <w:rPr>
                <w:color w:val="222222"/>
                <w:sz w:val="24"/>
                <w:szCs w:val="24"/>
                <w:lang w:val="en-US"/>
              </w:rPr>
              <w:t>Major</w:t>
            </w:r>
          </w:p>
        </w:tc>
        <w:tc>
          <w:tcPr>
            <w:tcW w:w="283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6D11885B" w14:textId="77777777" w:rsidR="00B20C25" w:rsidRPr="005C73EB" w:rsidRDefault="00B20C25" w:rsidP="00395B17">
            <w:pPr>
              <w:jc w:val="center"/>
              <w:rPr>
                <w:color w:val="222222"/>
                <w:sz w:val="24"/>
                <w:szCs w:val="24"/>
                <w:lang w:val="en-US"/>
              </w:rPr>
            </w:pPr>
            <w:r w:rsidRPr="005C73EB">
              <w:rPr>
                <w:color w:val="222222"/>
                <w:sz w:val="24"/>
                <w:szCs w:val="24"/>
                <w:lang w:val="en-US"/>
              </w:rPr>
              <w:t>60 minutes</w:t>
            </w:r>
          </w:p>
        </w:tc>
        <w:tc>
          <w:tcPr>
            <w:tcW w:w="2977" w:type="dxa"/>
            <w:tcBorders>
              <w:top w:val="nil"/>
              <w:left w:val="nil"/>
              <w:bottom w:val="single" w:sz="8" w:space="0" w:color="000000"/>
              <w:right w:val="single" w:sz="8" w:space="0" w:color="4F81BD"/>
            </w:tcBorders>
            <w:shd w:val="clear" w:color="auto" w:fill="auto"/>
            <w:tcMar>
              <w:top w:w="20" w:type="dxa"/>
              <w:left w:w="60" w:type="dxa"/>
              <w:bottom w:w="20" w:type="dxa"/>
              <w:right w:w="60" w:type="dxa"/>
            </w:tcMar>
          </w:tcPr>
          <w:p w14:paraId="54A90AA9" w14:textId="77777777" w:rsidR="00B20C25" w:rsidRPr="005C73EB" w:rsidRDefault="00B20C25" w:rsidP="00395B17">
            <w:pPr>
              <w:jc w:val="center"/>
              <w:rPr>
                <w:color w:val="222222"/>
                <w:sz w:val="24"/>
                <w:szCs w:val="24"/>
                <w:lang w:val="en-US"/>
              </w:rPr>
            </w:pPr>
            <w:r w:rsidRPr="005C73EB">
              <w:rPr>
                <w:color w:val="222222"/>
                <w:sz w:val="24"/>
                <w:szCs w:val="24"/>
                <w:lang w:val="en-US"/>
              </w:rPr>
              <w:t>3 working days (8/5)</w:t>
            </w:r>
          </w:p>
        </w:tc>
      </w:tr>
      <w:tr w:rsidR="00B20C25" w:rsidRPr="005C73EB" w14:paraId="2CA629EF" w14:textId="77777777" w:rsidTr="00B20C25">
        <w:tc>
          <w:tcPr>
            <w:tcW w:w="2400" w:type="dxa"/>
            <w:tcBorders>
              <w:top w:val="nil"/>
              <w:left w:val="single" w:sz="8" w:space="0" w:color="4F81BD"/>
              <w:bottom w:val="single" w:sz="8" w:space="0" w:color="4F81BD"/>
              <w:right w:val="single" w:sz="8" w:space="0" w:color="000000"/>
            </w:tcBorders>
            <w:shd w:val="clear" w:color="auto" w:fill="auto"/>
            <w:tcMar>
              <w:top w:w="20" w:type="dxa"/>
              <w:left w:w="60" w:type="dxa"/>
              <w:bottom w:w="20" w:type="dxa"/>
              <w:right w:w="60" w:type="dxa"/>
            </w:tcMar>
          </w:tcPr>
          <w:p w14:paraId="5FAB6C39" w14:textId="77777777" w:rsidR="00B20C25" w:rsidRPr="005C73EB" w:rsidRDefault="00B20C25" w:rsidP="00395B17">
            <w:pPr>
              <w:jc w:val="center"/>
              <w:rPr>
                <w:color w:val="222222"/>
                <w:sz w:val="24"/>
                <w:szCs w:val="24"/>
                <w:lang w:val="en-US"/>
              </w:rPr>
            </w:pPr>
            <w:r w:rsidRPr="005C73EB">
              <w:rPr>
                <w:color w:val="222222"/>
                <w:sz w:val="24"/>
                <w:szCs w:val="24"/>
                <w:lang w:val="en-US"/>
              </w:rPr>
              <w:t>Minor</w:t>
            </w:r>
          </w:p>
        </w:tc>
        <w:tc>
          <w:tcPr>
            <w:tcW w:w="2835" w:type="dxa"/>
            <w:tcBorders>
              <w:top w:val="nil"/>
              <w:left w:val="nil"/>
              <w:bottom w:val="single" w:sz="8" w:space="0" w:color="4F81BD"/>
              <w:right w:val="single" w:sz="8" w:space="0" w:color="000000"/>
            </w:tcBorders>
            <w:shd w:val="clear" w:color="auto" w:fill="auto"/>
            <w:tcMar>
              <w:top w:w="20" w:type="dxa"/>
              <w:left w:w="60" w:type="dxa"/>
              <w:bottom w:w="20" w:type="dxa"/>
              <w:right w:w="60" w:type="dxa"/>
            </w:tcMar>
          </w:tcPr>
          <w:p w14:paraId="4E63B454" w14:textId="77777777" w:rsidR="00B20C25" w:rsidRPr="005C73EB" w:rsidRDefault="00B20C25" w:rsidP="00395B17">
            <w:pPr>
              <w:jc w:val="center"/>
              <w:rPr>
                <w:color w:val="222222"/>
                <w:sz w:val="24"/>
                <w:szCs w:val="24"/>
                <w:lang w:val="en-US"/>
              </w:rPr>
            </w:pPr>
            <w:r w:rsidRPr="005C73EB">
              <w:rPr>
                <w:color w:val="222222"/>
                <w:sz w:val="24"/>
                <w:szCs w:val="24"/>
                <w:lang w:val="en-US"/>
              </w:rPr>
              <w:t>60 minutes</w:t>
            </w:r>
          </w:p>
        </w:tc>
        <w:tc>
          <w:tcPr>
            <w:tcW w:w="2977" w:type="dxa"/>
            <w:tcBorders>
              <w:top w:val="nil"/>
              <w:left w:val="nil"/>
              <w:bottom w:val="single" w:sz="8" w:space="0" w:color="4F81BD"/>
              <w:right w:val="single" w:sz="8" w:space="0" w:color="4F81BD"/>
            </w:tcBorders>
            <w:shd w:val="clear" w:color="auto" w:fill="auto"/>
            <w:tcMar>
              <w:top w:w="20" w:type="dxa"/>
              <w:left w:w="60" w:type="dxa"/>
              <w:bottom w:w="20" w:type="dxa"/>
              <w:right w:w="60" w:type="dxa"/>
            </w:tcMar>
          </w:tcPr>
          <w:p w14:paraId="6209CA63" w14:textId="77777777" w:rsidR="00B20C25" w:rsidRPr="005C73EB" w:rsidRDefault="00B20C25" w:rsidP="00395B17">
            <w:pPr>
              <w:jc w:val="center"/>
              <w:rPr>
                <w:color w:val="222222"/>
                <w:sz w:val="24"/>
                <w:szCs w:val="24"/>
                <w:lang w:val="en-US"/>
              </w:rPr>
            </w:pPr>
            <w:r w:rsidRPr="005C73EB">
              <w:rPr>
                <w:color w:val="222222"/>
                <w:sz w:val="24"/>
                <w:szCs w:val="24"/>
                <w:lang w:val="en-US"/>
              </w:rPr>
              <w:t>5 working days (8/5)</w:t>
            </w:r>
          </w:p>
        </w:tc>
      </w:tr>
    </w:tbl>
    <w:p w14:paraId="7DA373DD" w14:textId="77777777" w:rsidR="00B20C25" w:rsidRPr="005C73EB" w:rsidRDefault="00B20C25" w:rsidP="00B20C25">
      <w:pPr>
        <w:pStyle w:val="Sraopastraipa"/>
        <w:rPr>
          <w:sz w:val="24"/>
          <w:lang w:val="en-US"/>
        </w:rPr>
      </w:pPr>
    </w:p>
    <w:p w14:paraId="02A0CE6A" w14:textId="77777777" w:rsidR="00B20C25" w:rsidRPr="005C73EB" w:rsidRDefault="00B20C25" w:rsidP="00B20C25">
      <w:pPr>
        <w:pStyle w:val="Sraopastraipa"/>
        <w:rPr>
          <w:sz w:val="24"/>
          <w:lang w:val="en-US"/>
        </w:rPr>
      </w:pPr>
    </w:p>
    <w:p w14:paraId="6E1B65FD" w14:textId="77777777" w:rsidR="00B20C25" w:rsidRPr="005C73EB" w:rsidRDefault="00B20C25" w:rsidP="00B20C25">
      <w:pPr>
        <w:pStyle w:val="Sraopastraipa"/>
        <w:rPr>
          <w:sz w:val="24"/>
          <w:lang w:val="en-US"/>
        </w:rPr>
      </w:pPr>
    </w:p>
    <w:p w14:paraId="2C247E92" w14:textId="77777777" w:rsidR="00B20C25" w:rsidRPr="005C73EB" w:rsidRDefault="00BC4F2B" w:rsidP="0085300D">
      <w:pPr>
        <w:pStyle w:val="Sraopastraipa"/>
        <w:numPr>
          <w:ilvl w:val="1"/>
          <w:numId w:val="2"/>
        </w:numPr>
        <w:rPr>
          <w:sz w:val="24"/>
          <w:lang w:val="en-US"/>
        </w:rPr>
      </w:pPr>
      <w:r w:rsidRPr="005C73EB">
        <w:rPr>
          <w:sz w:val="24"/>
          <w:lang w:val="en-US"/>
        </w:rPr>
        <w:lastRenderedPageBreak/>
        <w:t>Client’s Portal</w:t>
      </w:r>
    </w:p>
    <w:p w14:paraId="0F186190" w14:textId="77777777" w:rsidR="00BC4F2B" w:rsidRPr="005C73EB" w:rsidRDefault="00741C90" w:rsidP="005C73EB">
      <w:pPr>
        <w:pStyle w:val="Sraopastraipa"/>
        <w:numPr>
          <w:ilvl w:val="0"/>
          <w:numId w:val="4"/>
        </w:numPr>
        <w:rPr>
          <w:sz w:val="24"/>
          <w:lang w:val="en-US"/>
        </w:rPr>
      </w:pPr>
      <w:r w:rsidRPr="005C73EB">
        <w:rPr>
          <w:sz w:val="24"/>
          <w:lang w:val="en-US"/>
        </w:rPr>
        <w:t>In the Client's Portal the Contract Entity can register services issues, services request and check the current status of all the reported issues.</w:t>
      </w:r>
    </w:p>
    <w:p w14:paraId="35637F78" w14:textId="77777777" w:rsidR="00741C90" w:rsidRPr="005C73EB" w:rsidRDefault="00741C90" w:rsidP="005C73EB">
      <w:pPr>
        <w:pStyle w:val="Sraopastraipa"/>
        <w:numPr>
          <w:ilvl w:val="0"/>
          <w:numId w:val="4"/>
        </w:numPr>
        <w:rPr>
          <w:sz w:val="24"/>
          <w:lang w:val="en-US"/>
        </w:rPr>
      </w:pPr>
      <w:r w:rsidRPr="005C73EB">
        <w:rPr>
          <w:sz w:val="24"/>
          <w:lang w:val="en-US"/>
        </w:rPr>
        <w:t>The communication in Clint’s Portal must be in English language.</w:t>
      </w:r>
    </w:p>
    <w:p w14:paraId="451DF43D" w14:textId="77777777" w:rsidR="00741C90" w:rsidRPr="005C73EB" w:rsidRDefault="00741C90" w:rsidP="005C73EB">
      <w:pPr>
        <w:pStyle w:val="Sraopastraipa"/>
        <w:numPr>
          <w:ilvl w:val="0"/>
          <w:numId w:val="4"/>
        </w:numPr>
        <w:rPr>
          <w:sz w:val="24"/>
          <w:lang w:val="en-US"/>
        </w:rPr>
      </w:pPr>
      <w:r w:rsidRPr="005C73EB">
        <w:rPr>
          <w:sz w:val="24"/>
          <w:lang w:val="en-US"/>
        </w:rPr>
        <w:t>The Client’s Portal must be accessible all time (24x7)</w:t>
      </w:r>
    </w:p>
    <w:p w14:paraId="292F933D" w14:textId="77777777" w:rsidR="00741C90" w:rsidRPr="005C73EB" w:rsidRDefault="00741C90" w:rsidP="005C73EB">
      <w:pPr>
        <w:pStyle w:val="Sraopastraipa"/>
        <w:numPr>
          <w:ilvl w:val="0"/>
          <w:numId w:val="4"/>
        </w:numPr>
        <w:rPr>
          <w:sz w:val="24"/>
          <w:lang w:val="en-US"/>
        </w:rPr>
      </w:pPr>
      <w:r w:rsidRPr="005C73EB">
        <w:rPr>
          <w:sz w:val="24"/>
          <w:lang w:val="en-US"/>
        </w:rPr>
        <w:t>The Client’s Portal is maintained and administered be The Service Provider.</w:t>
      </w:r>
    </w:p>
    <w:p w14:paraId="21306527" w14:textId="77777777" w:rsidR="00741C90" w:rsidRPr="005C73EB" w:rsidRDefault="005C73EB" w:rsidP="005C73EB">
      <w:pPr>
        <w:pStyle w:val="Sraopastraipa"/>
        <w:numPr>
          <w:ilvl w:val="0"/>
          <w:numId w:val="4"/>
        </w:numPr>
        <w:rPr>
          <w:sz w:val="24"/>
          <w:lang w:val="en-US"/>
        </w:rPr>
      </w:pPr>
      <w:r w:rsidRPr="005C73EB">
        <w:rPr>
          <w:sz w:val="24"/>
          <w:lang w:val="en-US"/>
        </w:rPr>
        <w:t>The Service Provider provide the Client's Portal User manual document with instructions for the portal use.</w:t>
      </w:r>
    </w:p>
    <w:p w14:paraId="58A54269" w14:textId="77777777" w:rsidR="00741C90" w:rsidRPr="005C73EB" w:rsidRDefault="00741C90" w:rsidP="00BC4F2B">
      <w:pPr>
        <w:pStyle w:val="Sraopastraipa"/>
        <w:rPr>
          <w:sz w:val="24"/>
          <w:lang w:val="en-US"/>
        </w:rPr>
      </w:pPr>
    </w:p>
    <w:p w14:paraId="56F1ADA7" w14:textId="77777777" w:rsidR="0085300D" w:rsidRPr="00F73B24" w:rsidRDefault="0085300D" w:rsidP="0085300D">
      <w:pPr>
        <w:pStyle w:val="Sraopastraipa"/>
        <w:rPr>
          <w:sz w:val="24"/>
          <w:lang w:val="en-US"/>
        </w:rPr>
      </w:pPr>
    </w:p>
    <w:p w14:paraId="109FD502" w14:textId="77777777" w:rsidR="0085300D" w:rsidRPr="00F73B24" w:rsidRDefault="0085300D" w:rsidP="0085300D">
      <w:pPr>
        <w:rPr>
          <w:sz w:val="24"/>
          <w:lang w:val="en-US"/>
        </w:rPr>
      </w:pPr>
    </w:p>
    <w:sectPr w:rsidR="0085300D" w:rsidRPr="00F73B24" w:rsidSect="00B20C25">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D1B10"/>
    <w:multiLevelType w:val="hybridMultilevel"/>
    <w:tmpl w:val="E9F4E74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5F836516"/>
    <w:multiLevelType w:val="multilevel"/>
    <w:tmpl w:val="82E40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8375FCE"/>
    <w:multiLevelType w:val="multilevel"/>
    <w:tmpl w:val="49D4BE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993A0C"/>
    <w:multiLevelType w:val="hybridMultilevel"/>
    <w:tmpl w:val="0126875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2380330">
    <w:abstractNumId w:val="3"/>
  </w:num>
  <w:num w:numId="2" w16cid:durableId="1925256827">
    <w:abstractNumId w:val="2"/>
  </w:num>
  <w:num w:numId="3" w16cid:durableId="263728525">
    <w:abstractNumId w:val="1"/>
  </w:num>
  <w:num w:numId="4" w16cid:durableId="1906184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04A"/>
    <w:rsid w:val="001C71D6"/>
    <w:rsid w:val="00232F52"/>
    <w:rsid w:val="00353E6B"/>
    <w:rsid w:val="003D1773"/>
    <w:rsid w:val="005C73EB"/>
    <w:rsid w:val="00632801"/>
    <w:rsid w:val="00741C90"/>
    <w:rsid w:val="0085300D"/>
    <w:rsid w:val="00A7304A"/>
    <w:rsid w:val="00B20C25"/>
    <w:rsid w:val="00BC4F2B"/>
    <w:rsid w:val="00C86CF5"/>
    <w:rsid w:val="00CC53CC"/>
    <w:rsid w:val="00D6376A"/>
    <w:rsid w:val="00D64A95"/>
    <w:rsid w:val="00F73B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D041"/>
  <w15:chartTrackingRefBased/>
  <w15:docId w15:val="{EA26CCD6-812E-44ED-835E-4522A688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7304A"/>
    <w:pPr>
      <w:ind w:left="720"/>
      <w:contextualSpacing/>
    </w:pPr>
  </w:style>
  <w:style w:type="table" w:customStyle="1" w:styleId="TableNormal">
    <w:name w:val="Table Normal"/>
    <w:rsid w:val="0085300D"/>
    <w:pPr>
      <w:spacing w:after="200" w:line="276" w:lineRule="auto"/>
    </w:pPr>
    <w:rPr>
      <w:rFonts w:ascii="Calibri" w:eastAsia="Calibri" w:hAnsi="Calibri" w:cs="Calibri"/>
      <w:lang w:val="en-GB" w:eastAsia="cs-C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FC35B-3004-4BDF-ACDC-552E9CFC3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3242</Words>
  <Characters>1848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Žiulpa</dc:creator>
  <cp:keywords/>
  <dc:description/>
  <cp:lastModifiedBy>Sandra Bielinienė</cp:lastModifiedBy>
  <cp:revision>2</cp:revision>
  <dcterms:created xsi:type="dcterms:W3CDTF">2025-06-30T06:33:00Z</dcterms:created>
  <dcterms:modified xsi:type="dcterms:W3CDTF">2025-06-30T06:33:00Z</dcterms:modified>
</cp:coreProperties>
</file>