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EB27" w14:textId="77777777" w:rsidR="0097755E" w:rsidRPr="0097755E" w:rsidRDefault="0097755E" w:rsidP="0097755E">
      <w:pPr>
        <w:tabs>
          <w:tab w:val="left" w:pos="284"/>
          <w:tab w:val="left" w:pos="1985"/>
        </w:tabs>
        <w:jc w:val="center"/>
        <w:rPr>
          <w:rFonts w:eastAsia="Calibri"/>
          <w:sz w:val="20"/>
          <w:lang w:val="en-US"/>
        </w:rPr>
      </w:pPr>
      <w:r w:rsidRPr="0097755E">
        <w:rPr>
          <w:noProof/>
          <w:lang w:eastAsia="lt-LT"/>
        </w:rPr>
        <w:drawing>
          <wp:inline distT="0" distB="0" distL="0" distR="0" wp14:anchorId="3D856819" wp14:editId="41F74F8A">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5E1F0D2F" w14:textId="77777777" w:rsidR="0097755E" w:rsidRPr="0097755E" w:rsidRDefault="0097755E" w:rsidP="0097755E">
      <w:pPr>
        <w:tabs>
          <w:tab w:val="left" w:pos="284"/>
          <w:tab w:val="left" w:pos="1985"/>
        </w:tabs>
        <w:jc w:val="center"/>
        <w:rPr>
          <w:sz w:val="20"/>
          <w:lang w:val="en-US"/>
        </w:rPr>
      </w:pPr>
      <w:r w:rsidRPr="0097755E">
        <w:rPr>
          <w:sz w:val="20"/>
          <w:lang w:val="en-US"/>
        </w:rPr>
        <w:t xml:space="preserve">    </w:t>
      </w:r>
    </w:p>
    <w:p w14:paraId="6849B1FE" w14:textId="77777777" w:rsidR="0097755E" w:rsidRPr="0097755E" w:rsidRDefault="0097755E" w:rsidP="0097755E">
      <w:pPr>
        <w:pStyle w:val="Default"/>
        <w:jc w:val="center"/>
        <w:rPr>
          <w:color w:val="auto"/>
          <w:sz w:val="18"/>
          <w:szCs w:val="18"/>
          <w:lang w:val="en-US"/>
        </w:rPr>
      </w:pPr>
      <w:proofErr w:type="spellStart"/>
      <w:r w:rsidRPr="0097755E">
        <w:rPr>
          <w:color w:val="auto"/>
          <w:sz w:val="18"/>
          <w:szCs w:val="18"/>
          <w:lang w:val="en-US"/>
        </w:rPr>
        <w:t>Raudondvario</w:t>
      </w:r>
      <w:proofErr w:type="spellEnd"/>
      <w:r w:rsidRPr="0097755E">
        <w:rPr>
          <w:color w:val="auto"/>
          <w:sz w:val="18"/>
          <w:szCs w:val="18"/>
          <w:lang w:val="en-US"/>
        </w:rPr>
        <w:t xml:space="preserve"> Pl. 105, LT-47185 Kaunas, Lithuania</w:t>
      </w:r>
    </w:p>
    <w:p w14:paraId="6E3E4905" w14:textId="77777777" w:rsidR="0097755E" w:rsidRPr="0097755E" w:rsidRDefault="0097755E" w:rsidP="0097755E">
      <w:pPr>
        <w:pStyle w:val="Default"/>
        <w:jc w:val="center"/>
        <w:rPr>
          <w:color w:val="auto"/>
          <w:sz w:val="18"/>
          <w:szCs w:val="18"/>
          <w:lang w:val="en-US"/>
        </w:rPr>
      </w:pPr>
      <w:r w:rsidRPr="0097755E">
        <w:rPr>
          <w:color w:val="auto"/>
          <w:sz w:val="18"/>
          <w:szCs w:val="18"/>
          <w:lang w:val="en-US"/>
        </w:rPr>
        <w:t>Registered in the Register of Legal Entities, Enterprise No. 133154754, VAT Registration No. LT331547515</w:t>
      </w:r>
    </w:p>
    <w:p w14:paraId="6684264C" w14:textId="77777777" w:rsidR="0097755E" w:rsidRPr="0097755E" w:rsidRDefault="0097755E" w:rsidP="0097755E">
      <w:pPr>
        <w:pStyle w:val="Default"/>
        <w:jc w:val="center"/>
        <w:rPr>
          <w:color w:val="auto"/>
          <w:sz w:val="18"/>
          <w:szCs w:val="18"/>
          <w:lang w:val="en-US"/>
        </w:rPr>
      </w:pPr>
      <w:r w:rsidRPr="0097755E">
        <w:rPr>
          <w:color w:val="auto"/>
          <w:sz w:val="18"/>
          <w:szCs w:val="18"/>
          <w:lang w:val="en-US"/>
        </w:rPr>
        <w:t>___________________________________________________________________________________________________________</w:t>
      </w:r>
    </w:p>
    <w:p w14:paraId="76BE1795" w14:textId="77777777" w:rsidR="0097755E" w:rsidRPr="0097755E" w:rsidRDefault="0097755E" w:rsidP="0097755E">
      <w:pPr>
        <w:tabs>
          <w:tab w:val="left" w:pos="284"/>
          <w:tab w:val="left" w:pos="1985"/>
        </w:tabs>
        <w:jc w:val="center"/>
        <w:rPr>
          <w:rFonts w:eastAsia="Calibri"/>
          <w:sz w:val="20"/>
          <w:lang w:val="en-US"/>
        </w:rPr>
      </w:pPr>
    </w:p>
    <w:p w14:paraId="759BB77F" w14:textId="77777777" w:rsidR="0097755E" w:rsidRPr="0097755E" w:rsidRDefault="0097755E" w:rsidP="0097755E">
      <w:pPr>
        <w:tabs>
          <w:tab w:val="left" w:pos="284"/>
          <w:tab w:val="left" w:pos="1985"/>
        </w:tabs>
        <w:rPr>
          <w:rFonts w:eastAsia="Calibri"/>
          <w:sz w:val="20"/>
          <w:lang w:val="en-US"/>
        </w:rPr>
      </w:pPr>
    </w:p>
    <w:p w14:paraId="71DB7374" w14:textId="77777777" w:rsidR="0097755E" w:rsidRPr="0097755E" w:rsidRDefault="0097755E" w:rsidP="0097755E">
      <w:pPr>
        <w:tabs>
          <w:tab w:val="left" w:pos="284"/>
          <w:tab w:val="left" w:pos="1985"/>
        </w:tabs>
        <w:jc w:val="center"/>
        <w:rPr>
          <w:b/>
          <w:bCs/>
          <w:sz w:val="28"/>
          <w:szCs w:val="28"/>
          <w:lang w:val="en-US"/>
        </w:rPr>
      </w:pPr>
    </w:p>
    <w:p w14:paraId="0AE90DC6" w14:textId="77777777" w:rsidR="0097755E" w:rsidRPr="0097755E" w:rsidRDefault="0097755E" w:rsidP="0097755E">
      <w:pPr>
        <w:jc w:val="center"/>
        <w:rPr>
          <w:rFonts w:ascii="Times New Roman Bold" w:hAnsi="Times New Roman Bold"/>
          <w:b/>
          <w:bCs/>
          <w:caps/>
          <w:sz w:val="28"/>
          <w:szCs w:val="28"/>
          <w:lang w:val="en-US"/>
        </w:rPr>
      </w:pPr>
      <w:r w:rsidRPr="0097755E">
        <w:rPr>
          <w:rFonts w:ascii="Times New Roman Bold" w:hAnsi="Times New Roman Bold"/>
          <w:b/>
          <w:bCs/>
          <w:caps/>
          <w:sz w:val="28"/>
          <w:szCs w:val="28"/>
          <w:lang w:val="en-US"/>
        </w:rPr>
        <w:t xml:space="preserve">Limited Liability Company Kauno Autobusai </w:t>
      </w:r>
    </w:p>
    <w:p w14:paraId="29C2164F" w14:textId="77777777" w:rsidR="0097755E" w:rsidRPr="0097755E" w:rsidRDefault="0097755E" w:rsidP="0097755E">
      <w:pPr>
        <w:jc w:val="center"/>
        <w:rPr>
          <w:b/>
          <w:bCs/>
          <w:sz w:val="28"/>
          <w:szCs w:val="28"/>
          <w:lang w:val="en-US"/>
        </w:rPr>
      </w:pPr>
    </w:p>
    <w:p w14:paraId="15DEA314" w14:textId="77777777" w:rsidR="0097755E" w:rsidRPr="0097755E" w:rsidRDefault="0097755E" w:rsidP="0097755E">
      <w:pPr>
        <w:jc w:val="center"/>
        <w:rPr>
          <w:b/>
          <w:bCs/>
          <w:sz w:val="28"/>
          <w:szCs w:val="28"/>
          <w:lang w:val="en-US"/>
        </w:rPr>
      </w:pPr>
      <w:r w:rsidRPr="0097755E">
        <w:rPr>
          <w:b/>
          <w:bCs/>
          <w:sz w:val="28"/>
          <w:szCs w:val="28"/>
          <w:lang w:val="en-US"/>
        </w:rPr>
        <w:t>PROCUREMENT BY PUBLIC CALL FOR TENDERS</w:t>
      </w:r>
    </w:p>
    <w:p w14:paraId="1922E998" w14:textId="77777777" w:rsidR="0097755E" w:rsidRPr="0097755E" w:rsidRDefault="0097755E" w:rsidP="0097755E">
      <w:pPr>
        <w:jc w:val="center"/>
        <w:rPr>
          <w:b/>
          <w:bCs/>
          <w:sz w:val="28"/>
          <w:szCs w:val="28"/>
          <w:lang w:val="en-US"/>
        </w:rPr>
      </w:pPr>
    </w:p>
    <w:p w14:paraId="6B682FF4" w14:textId="0AE89F09" w:rsidR="0097755E" w:rsidRPr="0097755E" w:rsidRDefault="0097755E" w:rsidP="0097755E">
      <w:pPr>
        <w:jc w:val="center"/>
        <w:rPr>
          <w:b/>
          <w:bCs/>
          <w:sz w:val="28"/>
          <w:szCs w:val="28"/>
          <w:lang w:val="en-US"/>
        </w:rPr>
      </w:pPr>
      <w:r w:rsidRPr="0097755E">
        <w:rPr>
          <w:b/>
          <w:bCs/>
          <w:sz w:val="28"/>
          <w:szCs w:val="28"/>
          <w:lang w:val="en-US"/>
        </w:rPr>
        <w:t xml:space="preserve">Simplified Low Value Procurement Specification for </w:t>
      </w:r>
      <w:r w:rsidR="00A10270">
        <w:rPr>
          <w:b/>
          <w:bCs/>
          <w:sz w:val="28"/>
          <w:szCs w:val="28"/>
          <w:lang w:val="en-US"/>
        </w:rPr>
        <w:t>“</w:t>
      </w:r>
      <w:proofErr w:type="spellStart"/>
      <w:r w:rsidR="00A10270">
        <w:rPr>
          <w:b/>
          <w:bCs/>
          <w:sz w:val="28"/>
          <w:szCs w:val="28"/>
          <w:lang w:val="en-US"/>
        </w:rPr>
        <w:t>cEMV</w:t>
      </w:r>
      <w:proofErr w:type="spellEnd"/>
      <w:r w:rsidR="00A10270">
        <w:rPr>
          <w:b/>
          <w:bCs/>
          <w:sz w:val="28"/>
          <w:szCs w:val="28"/>
          <w:lang w:val="en-US"/>
        </w:rPr>
        <w:t xml:space="preserve"> Payments with</w:t>
      </w:r>
      <w:r w:rsidRPr="0097755E">
        <w:rPr>
          <w:b/>
          <w:bCs/>
          <w:sz w:val="28"/>
          <w:szCs w:val="28"/>
          <w:lang w:val="en-US"/>
        </w:rPr>
        <w:t xml:space="preserve"> Contactless Bank Card</w:t>
      </w:r>
      <w:r w:rsidR="00A10270">
        <w:rPr>
          <w:b/>
          <w:bCs/>
          <w:sz w:val="28"/>
          <w:szCs w:val="28"/>
          <w:lang w:val="en-US"/>
        </w:rPr>
        <w:t>s</w:t>
      </w:r>
      <w:r w:rsidRPr="0097755E">
        <w:rPr>
          <w:b/>
          <w:bCs/>
          <w:sz w:val="28"/>
          <w:szCs w:val="28"/>
          <w:lang w:val="en-US"/>
        </w:rPr>
        <w:t xml:space="preserve"> </w:t>
      </w:r>
      <w:r w:rsidR="00A10270">
        <w:rPr>
          <w:b/>
          <w:bCs/>
          <w:sz w:val="28"/>
          <w:szCs w:val="28"/>
          <w:lang w:val="en-US"/>
        </w:rPr>
        <w:t>in</w:t>
      </w:r>
      <w:r w:rsidRPr="0097755E">
        <w:rPr>
          <w:b/>
          <w:bCs/>
          <w:sz w:val="28"/>
          <w:szCs w:val="28"/>
          <w:lang w:val="en-US"/>
        </w:rPr>
        <w:t xml:space="preserve"> Kaunas City </w:t>
      </w:r>
      <w:r w:rsidR="00A10270">
        <w:rPr>
          <w:b/>
          <w:bCs/>
          <w:sz w:val="28"/>
          <w:szCs w:val="28"/>
          <w:lang w:val="en-US"/>
        </w:rPr>
        <w:t>Public Transport” System Launch and Maintenance Services</w:t>
      </w:r>
    </w:p>
    <w:p w14:paraId="17048546" w14:textId="77777777" w:rsidR="0097755E" w:rsidRPr="0097755E" w:rsidRDefault="0097755E" w:rsidP="0097755E">
      <w:pPr>
        <w:jc w:val="center"/>
        <w:rPr>
          <w:b/>
          <w:sz w:val="28"/>
          <w:szCs w:val="28"/>
          <w:lang w:val="en-US"/>
        </w:rPr>
      </w:pPr>
    </w:p>
    <w:p w14:paraId="23799BFC" w14:textId="77777777" w:rsidR="0097755E" w:rsidRPr="0097755E" w:rsidRDefault="0097755E" w:rsidP="0097755E">
      <w:pPr>
        <w:jc w:val="center"/>
        <w:rPr>
          <w:b/>
          <w:sz w:val="28"/>
          <w:szCs w:val="28"/>
          <w:lang w:val="en-US"/>
        </w:rPr>
      </w:pPr>
    </w:p>
    <w:p w14:paraId="0B61C5F4" w14:textId="77777777" w:rsidR="0097755E" w:rsidRPr="0097755E" w:rsidRDefault="0097755E" w:rsidP="0097755E">
      <w:pPr>
        <w:spacing w:line="276" w:lineRule="auto"/>
        <w:jc w:val="center"/>
        <w:rPr>
          <w:szCs w:val="24"/>
          <w:lang w:val="en-US"/>
        </w:rPr>
      </w:pPr>
    </w:p>
    <w:p w14:paraId="40F3C5FB" w14:textId="77777777" w:rsidR="0097755E" w:rsidRPr="0097755E" w:rsidRDefault="0097755E" w:rsidP="0097755E">
      <w:pPr>
        <w:spacing w:line="276" w:lineRule="auto"/>
        <w:jc w:val="center"/>
        <w:rPr>
          <w:szCs w:val="24"/>
          <w:lang w:val="en-US"/>
        </w:rPr>
      </w:pPr>
      <w:r w:rsidRPr="0097755E">
        <w:rPr>
          <w:szCs w:val="24"/>
          <w:lang w:val="en-US"/>
        </w:rPr>
        <w:t>TABLE OF CONTENTS</w:t>
      </w:r>
    </w:p>
    <w:p w14:paraId="62FF0BB1" w14:textId="77777777" w:rsidR="0097755E" w:rsidRPr="0097755E" w:rsidRDefault="0097755E" w:rsidP="0097755E">
      <w:pPr>
        <w:jc w:val="left"/>
        <w:rPr>
          <w:szCs w:val="24"/>
          <w:lang w:val="en-US"/>
        </w:rPr>
      </w:pPr>
      <w:r w:rsidRPr="0097755E">
        <w:rPr>
          <w:szCs w:val="24"/>
          <w:lang w:val="en-US"/>
        </w:rPr>
        <w:t>1. GENERAL PROVISIONS</w:t>
      </w:r>
      <w:r w:rsidRPr="0097755E">
        <w:rPr>
          <w:szCs w:val="24"/>
          <w:lang w:val="en-US"/>
        </w:rPr>
        <w:tab/>
      </w:r>
    </w:p>
    <w:p w14:paraId="6D707983" w14:textId="77777777" w:rsidR="0097755E" w:rsidRPr="0097755E" w:rsidRDefault="0097755E" w:rsidP="0097755E">
      <w:pPr>
        <w:jc w:val="left"/>
        <w:rPr>
          <w:szCs w:val="24"/>
          <w:lang w:val="en-US"/>
        </w:rPr>
      </w:pPr>
      <w:r w:rsidRPr="0097755E">
        <w:rPr>
          <w:szCs w:val="24"/>
          <w:lang w:val="en-US"/>
        </w:rPr>
        <w:t>2. PROCUREMENT OBJECT</w:t>
      </w:r>
      <w:r w:rsidRPr="0097755E">
        <w:rPr>
          <w:szCs w:val="24"/>
          <w:lang w:val="en-US"/>
        </w:rPr>
        <w:tab/>
      </w:r>
    </w:p>
    <w:p w14:paraId="0EF28C3B" w14:textId="77777777" w:rsidR="0097755E" w:rsidRPr="0097755E" w:rsidRDefault="0097755E" w:rsidP="0097755E">
      <w:pPr>
        <w:jc w:val="left"/>
        <w:rPr>
          <w:szCs w:val="24"/>
          <w:lang w:val="en-US"/>
        </w:rPr>
      </w:pPr>
      <w:r w:rsidRPr="0097755E">
        <w:rPr>
          <w:szCs w:val="24"/>
          <w:lang w:val="en-US"/>
        </w:rPr>
        <w:t>3. REASONS FOR ELIMINATION OF TENDER PARTICIPANTS, QUALIFICATION REQUIREMENTS, AND, WHERE APPLICABLE, THE REQUIRED STANDARDS FOR QUALITY MANAGEMENT AND (OR) ENVIRONMENTAL MANAGEMENT SYSTEMS, INCLUDING THE REQUIREMENTS FOR EACH PARTNER IN CASE OF JOINT TENDER. LIST OF SUBSTANTIATING DOCUMENTS</w:t>
      </w:r>
      <w:r w:rsidRPr="0097755E">
        <w:rPr>
          <w:szCs w:val="24"/>
          <w:lang w:val="en-US"/>
        </w:rPr>
        <w:tab/>
      </w:r>
    </w:p>
    <w:p w14:paraId="09FA6DCE" w14:textId="77777777" w:rsidR="0097755E" w:rsidRPr="0097755E" w:rsidRDefault="0097755E" w:rsidP="0097755E">
      <w:pPr>
        <w:jc w:val="left"/>
        <w:rPr>
          <w:szCs w:val="24"/>
          <w:lang w:val="en-US"/>
        </w:rPr>
      </w:pPr>
      <w:r w:rsidRPr="0097755E">
        <w:rPr>
          <w:szCs w:val="24"/>
          <w:lang w:val="en-US"/>
        </w:rPr>
        <w:t>4. JOINT TENDER SUBMITTED BY A GROUP OF BUSINESS ENTITIES</w:t>
      </w:r>
      <w:r w:rsidRPr="0097755E">
        <w:rPr>
          <w:szCs w:val="24"/>
          <w:lang w:val="en-US"/>
        </w:rPr>
        <w:tab/>
      </w:r>
    </w:p>
    <w:p w14:paraId="67533E6B" w14:textId="77777777" w:rsidR="0097755E" w:rsidRPr="0097755E" w:rsidRDefault="0097755E" w:rsidP="0097755E">
      <w:pPr>
        <w:jc w:val="left"/>
        <w:rPr>
          <w:szCs w:val="24"/>
          <w:lang w:val="en-US"/>
        </w:rPr>
      </w:pPr>
      <w:r w:rsidRPr="0097755E">
        <w:rPr>
          <w:szCs w:val="24"/>
          <w:lang w:val="en-US"/>
        </w:rPr>
        <w:t>5. TENDER SECURITY (BID BOND)</w:t>
      </w:r>
      <w:r w:rsidRPr="0097755E">
        <w:rPr>
          <w:szCs w:val="24"/>
          <w:lang w:val="en-US"/>
        </w:rPr>
        <w:tab/>
      </w:r>
    </w:p>
    <w:p w14:paraId="7F8E6CC1" w14:textId="77777777" w:rsidR="0097755E" w:rsidRPr="0097755E" w:rsidRDefault="0097755E" w:rsidP="0097755E">
      <w:pPr>
        <w:jc w:val="left"/>
        <w:rPr>
          <w:szCs w:val="24"/>
          <w:lang w:val="en-US"/>
        </w:rPr>
      </w:pPr>
      <w:r w:rsidRPr="0097755E">
        <w:rPr>
          <w:szCs w:val="24"/>
          <w:lang w:val="en-US"/>
        </w:rPr>
        <w:t>6. PREPARATION, SUBMISSION AND MODIFICATION OF TENDERS</w:t>
      </w:r>
      <w:r w:rsidRPr="0097755E">
        <w:rPr>
          <w:szCs w:val="24"/>
          <w:lang w:val="en-US"/>
        </w:rPr>
        <w:tab/>
      </w:r>
    </w:p>
    <w:p w14:paraId="15EF18CF" w14:textId="77777777" w:rsidR="0097755E" w:rsidRPr="0097755E" w:rsidRDefault="0097755E" w:rsidP="0097755E">
      <w:pPr>
        <w:jc w:val="left"/>
        <w:rPr>
          <w:szCs w:val="24"/>
          <w:lang w:val="en-US"/>
        </w:rPr>
      </w:pPr>
      <w:r w:rsidRPr="0097755E">
        <w:rPr>
          <w:szCs w:val="24"/>
          <w:lang w:val="en-US"/>
        </w:rPr>
        <w:t>7. ENCRYPTED (PASSWORD-PROTECTED) PROPOSALS</w:t>
      </w:r>
      <w:r w:rsidRPr="0097755E">
        <w:rPr>
          <w:szCs w:val="24"/>
          <w:lang w:val="en-US"/>
        </w:rPr>
        <w:tab/>
      </w:r>
    </w:p>
    <w:p w14:paraId="109777DF" w14:textId="77777777" w:rsidR="0097755E" w:rsidRPr="0097755E" w:rsidRDefault="0097755E" w:rsidP="0097755E">
      <w:pPr>
        <w:jc w:val="left"/>
        <w:rPr>
          <w:szCs w:val="24"/>
          <w:lang w:val="en-US"/>
        </w:rPr>
      </w:pPr>
      <w:r w:rsidRPr="0097755E">
        <w:rPr>
          <w:szCs w:val="24"/>
          <w:lang w:val="en-US"/>
        </w:rPr>
        <w:t>8. PROCEDURE FOR TENDER PARTICIPANTS TO REQUEST CLARIFICATION OF THE PROCUREMENT DOCUMENTS AND FIND OUT IF THE CONTRACTING ENTITY INTENDS TO MEET WITH THE TENDER PARTICIPANTS FOR THIS REASON. PROCEDURE FOR THE CONTRACTING ENTITY TO CLARIFY (MODIFY) THE PROCUREMENT DOCUMENTS BY OWN INITIATIVE</w:t>
      </w:r>
      <w:r w:rsidRPr="0097755E">
        <w:rPr>
          <w:szCs w:val="24"/>
          <w:lang w:val="en-US"/>
        </w:rPr>
        <w:tab/>
      </w:r>
    </w:p>
    <w:p w14:paraId="1DDE621B" w14:textId="77777777" w:rsidR="0097755E" w:rsidRPr="0097755E" w:rsidRDefault="0097755E" w:rsidP="0097755E">
      <w:pPr>
        <w:jc w:val="left"/>
        <w:rPr>
          <w:szCs w:val="24"/>
          <w:lang w:val="en-US"/>
        </w:rPr>
      </w:pPr>
      <w:r w:rsidRPr="0097755E">
        <w:rPr>
          <w:szCs w:val="24"/>
          <w:lang w:val="en-US"/>
        </w:rPr>
        <w:t>9. OPENING OF THE SUBMITTED PROPOSALS</w:t>
      </w:r>
    </w:p>
    <w:p w14:paraId="77667335" w14:textId="77777777" w:rsidR="0097755E" w:rsidRPr="0097755E" w:rsidRDefault="0097755E" w:rsidP="0097755E">
      <w:pPr>
        <w:jc w:val="left"/>
        <w:rPr>
          <w:szCs w:val="24"/>
          <w:lang w:val="en-US"/>
        </w:rPr>
      </w:pPr>
      <w:r w:rsidRPr="0097755E">
        <w:rPr>
          <w:szCs w:val="24"/>
          <w:lang w:val="en-US"/>
        </w:rPr>
        <w:t>10. ANALYSIS, EVALUATION AND COMPARISON OF THE PROPOSALS</w:t>
      </w:r>
      <w:r w:rsidRPr="0097755E">
        <w:rPr>
          <w:szCs w:val="24"/>
          <w:lang w:val="en-US"/>
        </w:rPr>
        <w:tab/>
      </w:r>
    </w:p>
    <w:p w14:paraId="305EAA72" w14:textId="77777777" w:rsidR="0097755E" w:rsidRPr="0097755E" w:rsidRDefault="0097755E" w:rsidP="0097755E">
      <w:pPr>
        <w:jc w:val="left"/>
        <w:rPr>
          <w:szCs w:val="24"/>
          <w:lang w:val="en-US"/>
        </w:rPr>
      </w:pPr>
      <w:r w:rsidRPr="0097755E">
        <w:rPr>
          <w:szCs w:val="24"/>
          <w:lang w:val="en-US"/>
        </w:rPr>
        <w:t xml:space="preserve">11. NOTIFICATION OF PROCUREMENT RESULTS </w:t>
      </w:r>
    </w:p>
    <w:p w14:paraId="3ABDAA5C" w14:textId="77777777" w:rsidR="0097755E" w:rsidRPr="0097755E" w:rsidRDefault="0097755E" w:rsidP="0097755E">
      <w:pPr>
        <w:jc w:val="left"/>
        <w:rPr>
          <w:szCs w:val="24"/>
          <w:lang w:val="en-US"/>
        </w:rPr>
      </w:pPr>
      <w:r w:rsidRPr="0097755E">
        <w:rPr>
          <w:szCs w:val="24"/>
          <w:lang w:val="en-US"/>
        </w:rPr>
        <w:t>12. CONCLUSION OF THE SALE AND PURCHASE AGREEMENT</w:t>
      </w:r>
    </w:p>
    <w:p w14:paraId="193D6830" w14:textId="77777777" w:rsidR="0097755E" w:rsidRPr="0097755E" w:rsidRDefault="0097755E" w:rsidP="0097755E">
      <w:pPr>
        <w:jc w:val="left"/>
        <w:rPr>
          <w:szCs w:val="24"/>
          <w:lang w:val="en-US"/>
        </w:rPr>
      </w:pPr>
      <w:r w:rsidRPr="0097755E">
        <w:rPr>
          <w:szCs w:val="24"/>
          <w:lang w:val="en-US"/>
        </w:rPr>
        <w:t>13. CLAIM MANAGEMENT AND DISPUTE RESOLUTION</w:t>
      </w:r>
      <w:r w:rsidRPr="0097755E">
        <w:rPr>
          <w:szCs w:val="24"/>
          <w:lang w:val="en-US"/>
        </w:rPr>
        <w:tab/>
      </w:r>
    </w:p>
    <w:p w14:paraId="63D2A7F7" w14:textId="77777777" w:rsidR="0097755E" w:rsidRPr="0097755E" w:rsidRDefault="0097755E" w:rsidP="0097755E">
      <w:pPr>
        <w:jc w:val="left"/>
        <w:rPr>
          <w:szCs w:val="24"/>
          <w:lang w:val="en-US"/>
        </w:rPr>
      </w:pPr>
      <w:r w:rsidRPr="0097755E">
        <w:rPr>
          <w:szCs w:val="24"/>
          <w:lang w:val="en-US"/>
        </w:rPr>
        <w:t>14. FINAL PROVISIONS</w:t>
      </w:r>
      <w:r w:rsidRPr="0097755E">
        <w:rPr>
          <w:szCs w:val="24"/>
          <w:lang w:val="en-US"/>
        </w:rPr>
        <w:tab/>
      </w:r>
    </w:p>
    <w:p w14:paraId="2382A738" w14:textId="77777777" w:rsidR="0097755E" w:rsidRPr="0097755E" w:rsidRDefault="0097755E" w:rsidP="0097755E">
      <w:pPr>
        <w:jc w:val="left"/>
        <w:rPr>
          <w:szCs w:val="24"/>
          <w:lang w:val="en-US"/>
        </w:rPr>
      </w:pPr>
    </w:p>
    <w:p w14:paraId="6655C5D1" w14:textId="77777777" w:rsidR="0097755E" w:rsidRPr="0097755E" w:rsidRDefault="0097755E" w:rsidP="0097755E">
      <w:pPr>
        <w:jc w:val="left"/>
        <w:rPr>
          <w:szCs w:val="24"/>
          <w:lang w:val="en-US"/>
        </w:rPr>
      </w:pPr>
      <w:r w:rsidRPr="0097755E">
        <w:rPr>
          <w:szCs w:val="24"/>
          <w:lang w:val="en-US"/>
        </w:rPr>
        <w:t>ANNEXES:</w:t>
      </w:r>
    </w:p>
    <w:p w14:paraId="0392BECB" w14:textId="2631B590" w:rsidR="0097755E" w:rsidRPr="0097755E" w:rsidRDefault="0097755E" w:rsidP="0097755E">
      <w:pPr>
        <w:jc w:val="left"/>
        <w:rPr>
          <w:szCs w:val="24"/>
          <w:lang w:val="en-US"/>
        </w:rPr>
      </w:pPr>
      <w:r w:rsidRPr="0097755E">
        <w:rPr>
          <w:szCs w:val="24"/>
          <w:lang w:val="en-US"/>
        </w:rPr>
        <w:t>1. Technical Specification</w:t>
      </w:r>
      <w:r w:rsidR="00751E8D">
        <w:rPr>
          <w:szCs w:val="24"/>
          <w:lang w:val="en-US"/>
        </w:rPr>
        <w:t>;</w:t>
      </w:r>
    </w:p>
    <w:p w14:paraId="2FAE1962" w14:textId="5C0F1D2B" w:rsidR="0097755E" w:rsidRPr="0097755E" w:rsidRDefault="0097755E" w:rsidP="0097755E">
      <w:pPr>
        <w:jc w:val="left"/>
        <w:rPr>
          <w:szCs w:val="24"/>
          <w:lang w:val="en-US"/>
        </w:rPr>
      </w:pPr>
      <w:r w:rsidRPr="0097755E">
        <w:rPr>
          <w:szCs w:val="24"/>
          <w:lang w:val="en-US"/>
        </w:rPr>
        <w:t>2. Tender Proposal Template</w:t>
      </w:r>
      <w:r w:rsidR="00751E8D">
        <w:rPr>
          <w:szCs w:val="24"/>
          <w:lang w:val="en-US"/>
        </w:rPr>
        <w:t>;</w:t>
      </w:r>
      <w:r w:rsidRPr="0097755E">
        <w:rPr>
          <w:szCs w:val="24"/>
          <w:lang w:val="en-US"/>
        </w:rPr>
        <w:t xml:space="preserve">    </w:t>
      </w:r>
    </w:p>
    <w:p w14:paraId="4510A1D0" w14:textId="4ADEDBE1" w:rsidR="0097755E" w:rsidRPr="0097755E" w:rsidRDefault="0097755E" w:rsidP="0097755E">
      <w:pPr>
        <w:rPr>
          <w:szCs w:val="24"/>
          <w:lang w:val="en-US"/>
        </w:rPr>
      </w:pPr>
      <w:r w:rsidRPr="0097755E">
        <w:rPr>
          <w:szCs w:val="24"/>
          <w:lang w:val="en-US"/>
        </w:rPr>
        <w:t>3. Sale and Purchase Agreement Template</w:t>
      </w:r>
      <w:r w:rsidR="00751E8D">
        <w:rPr>
          <w:szCs w:val="24"/>
          <w:lang w:val="en-US"/>
        </w:rPr>
        <w:t>.</w:t>
      </w:r>
    </w:p>
    <w:p w14:paraId="3762017D" w14:textId="77777777" w:rsidR="0097755E" w:rsidRPr="0097755E" w:rsidRDefault="0097755E" w:rsidP="0097755E">
      <w:pPr>
        <w:rPr>
          <w:szCs w:val="24"/>
          <w:lang w:val="en-US"/>
        </w:rPr>
      </w:pPr>
    </w:p>
    <w:p w14:paraId="45DFF612" w14:textId="77777777" w:rsidR="0097755E" w:rsidRPr="0097755E" w:rsidRDefault="0097755E" w:rsidP="0097755E">
      <w:pPr>
        <w:rPr>
          <w:szCs w:val="24"/>
          <w:lang w:val="en-US"/>
        </w:rPr>
      </w:pPr>
    </w:p>
    <w:p w14:paraId="2A1C80E8" w14:textId="77777777" w:rsidR="0097755E" w:rsidRPr="0097755E" w:rsidRDefault="0097755E" w:rsidP="0097755E">
      <w:pPr>
        <w:rPr>
          <w:lang w:val="en-US"/>
        </w:rPr>
      </w:pPr>
    </w:p>
    <w:p w14:paraId="2289FDAE" w14:textId="77777777" w:rsidR="0097755E" w:rsidRPr="0097755E" w:rsidRDefault="0097755E" w:rsidP="0097755E">
      <w:pPr>
        <w:jc w:val="center"/>
        <w:rPr>
          <w:b/>
          <w:szCs w:val="24"/>
          <w:lang w:val="en-US"/>
        </w:rPr>
      </w:pPr>
      <w:r w:rsidRPr="0097755E">
        <w:rPr>
          <w:b/>
          <w:szCs w:val="24"/>
          <w:lang w:val="en-US"/>
        </w:rPr>
        <w:t>1. GENERAL PROVISIONS</w:t>
      </w:r>
    </w:p>
    <w:p w14:paraId="22D5B4EF" w14:textId="77777777" w:rsidR="0097755E" w:rsidRPr="0097755E" w:rsidRDefault="0097755E" w:rsidP="0097755E">
      <w:pPr>
        <w:ind w:left="360"/>
        <w:contextualSpacing/>
        <w:jc w:val="left"/>
        <w:rPr>
          <w:szCs w:val="24"/>
          <w:lang w:val="en-US"/>
        </w:rPr>
      </w:pPr>
    </w:p>
    <w:p w14:paraId="7B8AFB8E" w14:textId="32FDA17B"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szCs w:val="24"/>
          <w:lang w:val="en-US"/>
        </w:rPr>
        <w:t xml:space="preserve">Limited Liability Company Kauno </w:t>
      </w:r>
      <w:proofErr w:type="spellStart"/>
      <w:r w:rsidRPr="0097755E">
        <w:rPr>
          <w:szCs w:val="24"/>
          <w:lang w:val="en-US"/>
        </w:rPr>
        <w:t>Autobusai</w:t>
      </w:r>
      <w:proofErr w:type="spellEnd"/>
      <w:r w:rsidRPr="0097755E">
        <w:rPr>
          <w:szCs w:val="24"/>
          <w:lang w:val="en-US"/>
        </w:rPr>
        <w:t xml:space="preserve"> (Kauno </w:t>
      </w:r>
      <w:proofErr w:type="spellStart"/>
      <w:r w:rsidRPr="0097755E">
        <w:rPr>
          <w:szCs w:val="24"/>
          <w:lang w:val="en-US"/>
        </w:rPr>
        <w:t>Autobusai</w:t>
      </w:r>
      <w:proofErr w:type="spellEnd"/>
      <w:r w:rsidRPr="0097755E">
        <w:rPr>
          <w:szCs w:val="24"/>
          <w:lang w:val="en-US"/>
        </w:rPr>
        <w:t xml:space="preserve"> UAB) (hereinafter referred to as the Contracting Entity</w:t>
      </w:r>
      <w:r w:rsidR="001C0F75">
        <w:rPr>
          <w:szCs w:val="24"/>
          <w:lang w:val="en-US"/>
        </w:rPr>
        <w:t xml:space="preserve"> or </w:t>
      </w:r>
      <w:r w:rsidR="001C0F75" w:rsidRPr="0097755E">
        <w:rPr>
          <w:szCs w:val="24"/>
          <w:lang w:val="en-US"/>
        </w:rPr>
        <w:t>The Buyer</w:t>
      </w:r>
      <w:r w:rsidRPr="0097755E">
        <w:rPr>
          <w:szCs w:val="24"/>
          <w:lang w:val="en-US"/>
        </w:rPr>
        <w:t xml:space="preserve">) intends to conduct a procurement procedure for purchasing </w:t>
      </w:r>
      <w:r w:rsidR="001F6578">
        <w:rPr>
          <w:szCs w:val="24"/>
          <w:lang w:val="en-US"/>
        </w:rPr>
        <w:t>“</w:t>
      </w:r>
      <w:proofErr w:type="spellStart"/>
      <w:r w:rsidR="001F6578">
        <w:rPr>
          <w:szCs w:val="24"/>
          <w:lang w:val="en-US"/>
        </w:rPr>
        <w:t>cEMV</w:t>
      </w:r>
      <w:proofErr w:type="spellEnd"/>
      <w:r w:rsidR="001F6578">
        <w:rPr>
          <w:szCs w:val="24"/>
          <w:lang w:val="en-US"/>
        </w:rPr>
        <w:t xml:space="preserve"> payments with</w:t>
      </w:r>
      <w:r w:rsidRPr="0097755E">
        <w:rPr>
          <w:szCs w:val="24"/>
          <w:lang w:val="en-US"/>
        </w:rPr>
        <w:t xml:space="preserve"> contactless bank card</w:t>
      </w:r>
      <w:r w:rsidR="001F6578">
        <w:rPr>
          <w:szCs w:val="24"/>
          <w:lang w:val="en-US"/>
        </w:rPr>
        <w:t>s</w:t>
      </w:r>
      <w:r w:rsidRPr="0097755E">
        <w:rPr>
          <w:szCs w:val="24"/>
          <w:lang w:val="en-US"/>
        </w:rPr>
        <w:t xml:space="preserve"> in Kaunas City </w:t>
      </w:r>
      <w:r w:rsidR="001F6578" w:rsidRPr="0097755E">
        <w:rPr>
          <w:szCs w:val="24"/>
          <w:lang w:val="en-US"/>
        </w:rPr>
        <w:t>public transport</w:t>
      </w:r>
      <w:r w:rsidR="001F6578">
        <w:rPr>
          <w:szCs w:val="24"/>
          <w:lang w:val="en-US"/>
        </w:rPr>
        <w:t>”</w:t>
      </w:r>
      <w:r w:rsidR="001F6578" w:rsidRPr="0097755E">
        <w:rPr>
          <w:szCs w:val="24"/>
          <w:lang w:val="en-US"/>
        </w:rPr>
        <w:t xml:space="preserve"> </w:t>
      </w:r>
      <w:r w:rsidR="001F6578">
        <w:rPr>
          <w:szCs w:val="24"/>
          <w:lang w:val="en-US"/>
        </w:rPr>
        <w:t>System launch and maintenance services.</w:t>
      </w:r>
    </w:p>
    <w:p w14:paraId="1DE16269" w14:textId="77777777"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szCs w:val="24"/>
          <w:lang w:val="en-US"/>
        </w:rPr>
        <w:t>The Contracting Entity is a registered value added tax payer (hereinafter referred to as the VAT Payer).</w:t>
      </w:r>
    </w:p>
    <w:p w14:paraId="6A89184E" w14:textId="77777777"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color w:val="000000"/>
          <w:szCs w:val="24"/>
          <w:lang w:val="en-US"/>
        </w:rPr>
        <w:t>The procurement is conducted in accordance with the Law on Procuring Entities Operating in the Fields of Water, Energy, Transport or Postal Services of the Republic of Lithuania (hereinafter referred to as the Law on Procurement), the Law on Public Procurement of the Republic of Lithuania (hereinafter referred to as the Law on Public Procurement), the Description of the Procedure of Low Value Procurement, approved by the Order No. 75 of April 29, 2024 passed by the General manager (hereinafter referred to as the Description), the Civil Code of the Republic of Lithuania, and other legislation governing procurement, and the following Procurement Specification.</w:t>
      </w:r>
    </w:p>
    <w:p w14:paraId="28765116" w14:textId="77777777"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color w:val="000000"/>
          <w:szCs w:val="24"/>
          <w:lang w:val="en-US"/>
        </w:rPr>
        <w:t>The main terms as defined in the Law on Procurement and the Description shall be used.</w:t>
      </w:r>
    </w:p>
    <w:p w14:paraId="5E119048" w14:textId="7E422380"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color w:val="000000"/>
          <w:szCs w:val="24"/>
          <w:lang w:val="en-US"/>
        </w:rPr>
        <w:t xml:space="preserve">The Low Value Procurement by Public Call for Tenders shall be conducted by the Contracting Entity in accordance with Articles 4.1.1, </w:t>
      </w:r>
      <w:r w:rsidR="001F6578">
        <w:rPr>
          <w:color w:val="000000"/>
          <w:szCs w:val="24"/>
          <w:lang w:val="en-US"/>
        </w:rPr>
        <w:t xml:space="preserve">4.3., </w:t>
      </w:r>
      <w:r w:rsidRPr="0097755E">
        <w:rPr>
          <w:color w:val="000000"/>
          <w:szCs w:val="24"/>
          <w:lang w:val="en-US"/>
        </w:rPr>
        <w:t>17. and 88. of the Description.</w:t>
      </w:r>
    </w:p>
    <w:p w14:paraId="62D90B72" w14:textId="37BF49DA"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rFonts w:cstheme="minorHAnsi"/>
          <w:szCs w:val="24"/>
          <w:lang w:val="en-US"/>
        </w:rPr>
        <w:t xml:space="preserve">The centralized procurement catalogue will not be used for the procurement as it contains no </w:t>
      </w:r>
      <w:r w:rsidR="001F6578">
        <w:rPr>
          <w:rFonts w:cstheme="minorHAnsi"/>
          <w:szCs w:val="24"/>
          <w:lang w:val="en-US"/>
        </w:rPr>
        <w:t>services</w:t>
      </w:r>
      <w:r w:rsidRPr="0097755E">
        <w:rPr>
          <w:rFonts w:cstheme="minorHAnsi"/>
          <w:szCs w:val="24"/>
          <w:lang w:val="en-US"/>
        </w:rPr>
        <w:t xml:space="preserve"> corresponding to the procurement object</w:t>
      </w:r>
      <w:r w:rsidRPr="0097755E">
        <w:rPr>
          <w:szCs w:val="24"/>
          <w:lang w:val="en-US"/>
        </w:rPr>
        <w:t>.</w:t>
      </w:r>
    </w:p>
    <w:p w14:paraId="3B9906D5" w14:textId="77777777"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szCs w:val="24"/>
          <w:lang w:val="en-US"/>
        </w:rPr>
        <w:t>The procurement is conducted following the principles of equality, nondiscrimination, transparency, mutual recognition, proportionality and the requirements of confidentiality and impartiality</w:t>
      </w:r>
      <w:r w:rsidRPr="0097755E">
        <w:rPr>
          <w:szCs w:val="24"/>
          <w:lang w:val="en-US" w:eastAsia="lt-LT"/>
        </w:rPr>
        <w:t>.</w:t>
      </w:r>
    </w:p>
    <w:p w14:paraId="78A7DADD" w14:textId="77777777" w:rsidR="0097755E" w:rsidRPr="0097755E" w:rsidRDefault="0097755E" w:rsidP="0097755E">
      <w:pPr>
        <w:widowControl w:val="0"/>
        <w:numPr>
          <w:ilvl w:val="1"/>
          <w:numId w:val="32"/>
        </w:numPr>
        <w:tabs>
          <w:tab w:val="left" w:pos="851"/>
        </w:tabs>
        <w:suppressAutoHyphens/>
        <w:autoSpaceDE w:val="0"/>
        <w:adjustRightInd w:val="0"/>
        <w:ind w:left="0" w:firstLine="567"/>
        <w:rPr>
          <w:szCs w:val="24"/>
          <w:lang w:val="en-US" w:eastAsia="lt-LT"/>
        </w:rPr>
      </w:pPr>
      <w:r w:rsidRPr="0097755E">
        <w:rPr>
          <w:lang w:val="en-US"/>
        </w:rPr>
        <w:t>All procurement conditions are set forth in the tender documents, including</w:t>
      </w:r>
      <w:r w:rsidRPr="0097755E">
        <w:rPr>
          <w:szCs w:val="24"/>
          <w:lang w:val="en-US" w:eastAsia="lt-LT"/>
        </w:rPr>
        <w:t>:</w:t>
      </w:r>
    </w:p>
    <w:p w14:paraId="5A84470C" w14:textId="77777777" w:rsidR="0097755E" w:rsidRPr="0097755E" w:rsidRDefault="0097755E" w:rsidP="0097755E">
      <w:pPr>
        <w:widowControl w:val="0"/>
        <w:numPr>
          <w:ilvl w:val="2"/>
          <w:numId w:val="32"/>
        </w:numPr>
        <w:tabs>
          <w:tab w:val="left" w:pos="1418"/>
        </w:tabs>
        <w:suppressAutoHyphens/>
        <w:autoSpaceDE w:val="0"/>
        <w:adjustRightInd w:val="0"/>
        <w:ind w:left="0" w:firstLine="567"/>
        <w:rPr>
          <w:szCs w:val="24"/>
          <w:lang w:val="en-US" w:eastAsia="lt-LT"/>
        </w:rPr>
      </w:pPr>
      <w:r w:rsidRPr="0097755E">
        <w:rPr>
          <w:szCs w:val="24"/>
          <w:lang w:val="en-US" w:eastAsia="lt-LT"/>
        </w:rPr>
        <w:t>Announcement of the procurement;</w:t>
      </w:r>
    </w:p>
    <w:p w14:paraId="1FA66D74" w14:textId="77777777" w:rsidR="0097755E" w:rsidRPr="0097755E" w:rsidRDefault="0097755E" w:rsidP="0097755E">
      <w:pPr>
        <w:widowControl w:val="0"/>
        <w:numPr>
          <w:ilvl w:val="2"/>
          <w:numId w:val="32"/>
        </w:numPr>
        <w:tabs>
          <w:tab w:val="left" w:pos="1418"/>
        </w:tabs>
        <w:suppressAutoHyphens/>
        <w:autoSpaceDE w:val="0"/>
        <w:adjustRightInd w:val="0"/>
        <w:ind w:left="0" w:firstLine="567"/>
        <w:rPr>
          <w:szCs w:val="24"/>
          <w:lang w:val="en-US" w:eastAsia="lt-LT"/>
        </w:rPr>
      </w:pPr>
      <w:r w:rsidRPr="0097755E">
        <w:rPr>
          <w:szCs w:val="24"/>
          <w:lang w:val="en-US" w:eastAsia="lt-LT"/>
        </w:rPr>
        <w:t>The present procurement documents (with annexes hereto);</w:t>
      </w:r>
    </w:p>
    <w:p w14:paraId="4EC1C9AA" w14:textId="3C46802F" w:rsidR="0097755E" w:rsidRPr="0097755E" w:rsidRDefault="0097755E" w:rsidP="0097755E">
      <w:pPr>
        <w:widowControl w:val="0"/>
        <w:numPr>
          <w:ilvl w:val="2"/>
          <w:numId w:val="32"/>
        </w:numPr>
        <w:tabs>
          <w:tab w:val="left" w:pos="1418"/>
        </w:tabs>
        <w:suppressAutoHyphens/>
        <w:autoSpaceDE w:val="0"/>
        <w:adjustRightInd w:val="0"/>
        <w:ind w:left="0" w:firstLine="567"/>
        <w:rPr>
          <w:szCs w:val="24"/>
          <w:lang w:val="en-US" w:eastAsia="lt-LT"/>
        </w:rPr>
      </w:pPr>
      <w:r w:rsidRPr="0097755E">
        <w:rPr>
          <w:szCs w:val="24"/>
          <w:lang w:val="en-US" w:eastAsia="lt-LT"/>
        </w:rPr>
        <w:t xml:space="preserve">Documentation clarifications (revisions), and answers to the </w:t>
      </w:r>
      <w:r w:rsidR="00CA32C6">
        <w:rPr>
          <w:szCs w:val="24"/>
          <w:lang w:val="en-US" w:eastAsia="lt-LT"/>
        </w:rPr>
        <w:t>Providers</w:t>
      </w:r>
      <w:r w:rsidRPr="0097755E">
        <w:rPr>
          <w:szCs w:val="24"/>
          <w:lang w:val="en-US" w:eastAsia="lt-LT"/>
        </w:rPr>
        <w:t>’ questions (if any);</w:t>
      </w:r>
    </w:p>
    <w:p w14:paraId="7B626661" w14:textId="77777777"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szCs w:val="24"/>
          <w:lang w:val="en-US" w:eastAsia="lt-LT"/>
        </w:rPr>
        <w:t>Other documents provided in the centralized procurement information system, (hereinafter referred to as CPP IS).</w:t>
      </w:r>
    </w:p>
    <w:p w14:paraId="08FE9F76" w14:textId="226743E5"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szCs w:val="24"/>
          <w:lang w:val="en-US" w:eastAsia="lt-LT"/>
        </w:rPr>
        <w:t xml:space="preserve">The procurement is conducted via CPP IS at: </w:t>
      </w:r>
      <w:hyperlink r:id="rId9" w:history="1">
        <w:r w:rsidRPr="0097755E">
          <w:rPr>
            <w:rStyle w:val="Hipersaitas"/>
            <w:szCs w:val="24"/>
            <w:lang w:val="en-US" w:eastAsia="lt-LT"/>
          </w:rPr>
          <w:t>https://pirkimai.eviesiejipirkimai.lt</w:t>
        </w:r>
      </w:hyperlink>
      <w:r w:rsidR="00CA32C6">
        <w:rPr>
          <w:szCs w:val="24"/>
          <w:lang w:val="en-US" w:eastAsia="lt-LT"/>
        </w:rPr>
        <w:t>.  Only providers</w:t>
      </w:r>
      <w:r w:rsidRPr="0097755E">
        <w:rPr>
          <w:szCs w:val="24"/>
          <w:lang w:val="en-US" w:eastAsia="lt-LT"/>
        </w:rPr>
        <w:t xml:space="preserve"> registered on the CPP IS may participate in the procurement</w:t>
      </w:r>
      <w:r w:rsidRPr="0097755E">
        <w:rPr>
          <w:rFonts w:eastAsia="Calibri"/>
          <w:szCs w:val="24"/>
          <w:lang w:val="en-US"/>
        </w:rPr>
        <w:t>.</w:t>
      </w:r>
    </w:p>
    <w:p w14:paraId="2B382E09" w14:textId="2BB7337A" w:rsidR="0097755E" w:rsidRPr="0097755E" w:rsidRDefault="0097755E" w:rsidP="0097755E">
      <w:pPr>
        <w:pStyle w:val="Pagrindinistekstas"/>
        <w:numPr>
          <w:ilvl w:val="1"/>
          <w:numId w:val="32"/>
        </w:numPr>
        <w:suppressAutoHyphens/>
        <w:ind w:left="0" w:firstLine="567"/>
        <w:contextualSpacing/>
        <w:rPr>
          <w:szCs w:val="24"/>
          <w:lang w:val="en-US"/>
        </w:rPr>
      </w:pPr>
      <w:r w:rsidRPr="0097755E">
        <w:rPr>
          <w:bCs/>
          <w:lang w:val="en-US"/>
        </w:rPr>
        <w:t>All procurement documents are publicized in the official language which is Lithuanian</w:t>
      </w:r>
      <w:r w:rsidR="001C0F75">
        <w:rPr>
          <w:bCs/>
          <w:lang w:val="en-US"/>
        </w:rPr>
        <w:t xml:space="preserve"> and English language</w:t>
      </w:r>
      <w:r w:rsidRPr="0097755E">
        <w:rPr>
          <w:bCs/>
          <w:lang w:val="en-US"/>
        </w:rPr>
        <w:t xml:space="preserve">. Any explanations (specifications) of the documents as well as replies to the </w:t>
      </w:r>
      <w:r w:rsidRPr="0097755E">
        <w:rPr>
          <w:bCs/>
          <w:szCs w:val="24"/>
          <w:lang w:val="en-US"/>
        </w:rPr>
        <w:t>Tender Participant questions (until the tender submission deadline) will also be made available in Lithuanian</w:t>
      </w:r>
      <w:r w:rsidR="001C0F75">
        <w:rPr>
          <w:bCs/>
          <w:szCs w:val="24"/>
          <w:lang w:val="en-US"/>
        </w:rPr>
        <w:t xml:space="preserve"> and English languages</w:t>
      </w:r>
      <w:r w:rsidRPr="0097755E">
        <w:rPr>
          <w:bCs/>
          <w:szCs w:val="24"/>
          <w:lang w:val="en-US"/>
        </w:rPr>
        <w:t xml:space="preserve">. All and any communication and exchange of information between the Contracting Entity and Tender Participants, including call for tenders, submission of all tender-related documents and submission of Tender Participants’ proposals and communication shall be done via the CPP IS </w:t>
      </w:r>
      <w:r w:rsidRPr="0097755E">
        <w:rPr>
          <w:lang w:val="en-US"/>
        </w:rPr>
        <w:t xml:space="preserve">at </w:t>
      </w:r>
      <w:hyperlink r:id="rId10" w:history="1">
        <w:r w:rsidRPr="0097755E">
          <w:rPr>
            <w:rStyle w:val="Hipersaitas"/>
            <w:lang w:val="en-US"/>
          </w:rPr>
          <w:t>https://pirkimai.eviesiejipirkimai.lt/</w:t>
        </w:r>
      </w:hyperlink>
      <w:r w:rsidRPr="0097755E">
        <w:rPr>
          <w:rStyle w:val="Hipersaitas"/>
          <w:lang w:val="en-US"/>
        </w:rPr>
        <w:t>.</w:t>
      </w:r>
      <w:r w:rsidRPr="0097755E">
        <w:rPr>
          <w:lang w:val="en-US"/>
        </w:rPr>
        <w:t xml:space="preserve"> </w:t>
      </w:r>
      <w:r w:rsidRPr="0097755E">
        <w:rPr>
          <w:bCs/>
          <w:szCs w:val="24"/>
          <w:lang w:val="en-US"/>
        </w:rPr>
        <w:t xml:space="preserve"> </w:t>
      </w:r>
      <w:r w:rsidRPr="0097755E">
        <w:rPr>
          <w:lang w:val="en-US"/>
        </w:rPr>
        <w:t>Exceptions to this requirement are allowed only in cases set forth in these Specifications</w:t>
      </w:r>
      <w:r w:rsidRPr="0097755E">
        <w:rPr>
          <w:szCs w:val="24"/>
          <w:lang w:val="en-US"/>
        </w:rPr>
        <w:t>.</w:t>
      </w:r>
    </w:p>
    <w:p w14:paraId="254AE3A4" w14:textId="77777777" w:rsidR="0097755E" w:rsidRPr="0097755E" w:rsidRDefault="0097755E" w:rsidP="0097755E">
      <w:pPr>
        <w:rPr>
          <w:szCs w:val="24"/>
          <w:lang w:val="en-US"/>
        </w:rPr>
      </w:pPr>
      <w:r w:rsidRPr="0097755E">
        <w:rPr>
          <w:szCs w:val="24"/>
          <w:lang w:val="en-US"/>
        </w:rPr>
        <w:t xml:space="preserve">         1.12. </w:t>
      </w:r>
      <w:r w:rsidRPr="0097755E">
        <w:rPr>
          <w:lang w:val="en-US"/>
        </w:rPr>
        <w:t xml:space="preserve">Authorized Representative for questions related to the Procurement Object: </w:t>
      </w:r>
      <w:r w:rsidRPr="0097755E">
        <w:rPr>
          <w:szCs w:val="24"/>
          <w:lang w:val="en-US"/>
        </w:rPr>
        <w:t xml:space="preserve"> Mr. </w:t>
      </w:r>
      <w:r w:rsidRPr="0097755E">
        <w:rPr>
          <w:lang w:val="en-US"/>
        </w:rPr>
        <w:t xml:space="preserve">Mantas Žiulpa, Server Administrator of Kauno </w:t>
      </w:r>
      <w:proofErr w:type="spellStart"/>
      <w:r w:rsidRPr="0097755E">
        <w:rPr>
          <w:lang w:val="en-US"/>
        </w:rPr>
        <w:t>Autobusai</w:t>
      </w:r>
      <w:proofErr w:type="spellEnd"/>
      <w:r w:rsidRPr="0097755E">
        <w:rPr>
          <w:lang w:val="en-US"/>
        </w:rPr>
        <w:t xml:space="preserve"> UAB, e-mail: </w:t>
      </w:r>
      <w:hyperlink r:id="rId11" w:history="1">
        <w:r w:rsidRPr="0097755E">
          <w:rPr>
            <w:rStyle w:val="Hipersaitas"/>
            <w:szCs w:val="24"/>
            <w:lang w:val="en-US"/>
          </w:rPr>
          <w:t>mantas.ziulpa@kaunoautobusai.lt</w:t>
        </w:r>
      </w:hyperlink>
      <w:r w:rsidRPr="0097755E">
        <w:rPr>
          <w:lang w:val="en-US"/>
        </w:rPr>
        <w:t>.</w:t>
      </w:r>
    </w:p>
    <w:p w14:paraId="450BD249" w14:textId="77777777" w:rsidR="0097755E" w:rsidRPr="0097755E" w:rsidRDefault="0097755E" w:rsidP="0097755E">
      <w:pPr>
        <w:rPr>
          <w:szCs w:val="24"/>
          <w:lang w:val="en-US"/>
        </w:rPr>
      </w:pPr>
      <w:r w:rsidRPr="0097755E">
        <w:rPr>
          <w:szCs w:val="24"/>
          <w:lang w:val="en-US"/>
        </w:rPr>
        <w:t xml:space="preserve">        1.13. </w:t>
      </w:r>
      <w:r w:rsidRPr="0097755E">
        <w:rPr>
          <w:lang w:val="en-US"/>
        </w:rPr>
        <w:t xml:space="preserve">All questions regarding the Procurement object should be directed to Ms. </w:t>
      </w:r>
      <w:r w:rsidRPr="0097755E">
        <w:rPr>
          <w:szCs w:val="24"/>
          <w:lang w:val="en-US"/>
        </w:rPr>
        <w:t>Dalia Gudeliauskienė, Public Procurement Department Manager, via CPP IS.</w:t>
      </w:r>
    </w:p>
    <w:p w14:paraId="718F0DD6" w14:textId="77777777" w:rsidR="0097755E" w:rsidRPr="0097755E" w:rsidRDefault="0097755E" w:rsidP="0097755E">
      <w:pPr>
        <w:contextualSpacing/>
        <w:jc w:val="left"/>
        <w:rPr>
          <w:szCs w:val="24"/>
          <w:lang w:val="en-US"/>
        </w:rPr>
      </w:pPr>
    </w:p>
    <w:p w14:paraId="1812CA59" w14:textId="77777777" w:rsidR="0097755E" w:rsidRPr="0097755E" w:rsidRDefault="0097755E" w:rsidP="0097755E">
      <w:pPr>
        <w:contextualSpacing/>
        <w:jc w:val="left"/>
        <w:rPr>
          <w:szCs w:val="24"/>
          <w:lang w:val="en-US"/>
        </w:rPr>
      </w:pPr>
    </w:p>
    <w:p w14:paraId="23E978B3" w14:textId="77777777" w:rsidR="0097755E" w:rsidRPr="0097755E" w:rsidRDefault="0097755E" w:rsidP="0097755E">
      <w:pPr>
        <w:jc w:val="center"/>
        <w:rPr>
          <w:szCs w:val="24"/>
          <w:lang w:val="en-US"/>
        </w:rPr>
      </w:pPr>
      <w:r w:rsidRPr="0097755E">
        <w:rPr>
          <w:b/>
          <w:szCs w:val="24"/>
          <w:lang w:val="en-US"/>
        </w:rPr>
        <w:t>2. PROCUREMENT OBJECT</w:t>
      </w:r>
    </w:p>
    <w:p w14:paraId="4EC81FA0" w14:textId="77777777" w:rsidR="0097755E" w:rsidRPr="0097755E" w:rsidRDefault="0097755E" w:rsidP="0097755E">
      <w:pPr>
        <w:ind w:left="360"/>
        <w:contextualSpacing/>
        <w:jc w:val="left"/>
        <w:rPr>
          <w:szCs w:val="24"/>
          <w:lang w:val="en-US"/>
        </w:rPr>
      </w:pPr>
    </w:p>
    <w:p w14:paraId="19B64F2A" w14:textId="65396BE6" w:rsidR="0097755E" w:rsidRPr="004E0209" w:rsidRDefault="0097755E" w:rsidP="004E0209">
      <w:pPr>
        <w:pStyle w:val="Sraopastraipa"/>
        <w:numPr>
          <w:ilvl w:val="1"/>
          <w:numId w:val="5"/>
        </w:numPr>
        <w:suppressAutoHyphens/>
        <w:ind w:left="0" w:firstLine="709"/>
        <w:jc w:val="left"/>
        <w:rPr>
          <w:vanish/>
          <w:szCs w:val="24"/>
          <w:lang w:val="en-US"/>
        </w:rPr>
      </w:pPr>
      <w:r w:rsidRPr="004E0209">
        <w:rPr>
          <w:lang w:val="en-US"/>
        </w:rPr>
        <w:t xml:space="preserve">The Procurement Object is the </w:t>
      </w:r>
      <w:r w:rsidR="001F6578" w:rsidRPr="004E0209">
        <w:rPr>
          <w:szCs w:val="24"/>
          <w:lang w:val="en-US"/>
        </w:rPr>
        <w:t>“</w:t>
      </w:r>
      <w:proofErr w:type="spellStart"/>
      <w:r w:rsidR="001F6578" w:rsidRPr="004E0209">
        <w:rPr>
          <w:szCs w:val="24"/>
          <w:lang w:val="en-US"/>
        </w:rPr>
        <w:t>cEMV</w:t>
      </w:r>
      <w:proofErr w:type="spellEnd"/>
      <w:r w:rsidR="001F6578" w:rsidRPr="004E0209">
        <w:rPr>
          <w:szCs w:val="24"/>
          <w:lang w:val="en-US"/>
        </w:rPr>
        <w:t xml:space="preserve"> payments with contactless bank cards in Kaunas City public transport” System </w:t>
      </w:r>
      <w:proofErr w:type="gramStart"/>
      <w:r w:rsidR="001F6578" w:rsidRPr="004E0209">
        <w:rPr>
          <w:szCs w:val="24"/>
          <w:lang w:val="en-US"/>
        </w:rPr>
        <w:t>launch</w:t>
      </w:r>
      <w:proofErr w:type="gramEnd"/>
      <w:r w:rsidR="001F6578" w:rsidRPr="004E0209">
        <w:rPr>
          <w:szCs w:val="24"/>
          <w:lang w:val="en-US"/>
        </w:rPr>
        <w:t xml:space="preserve"> and maintenance services</w:t>
      </w:r>
      <w:r w:rsidRPr="004E0209">
        <w:rPr>
          <w:lang w:val="en-US"/>
        </w:rPr>
        <w:t xml:space="preserve"> (hereinafter referred to as the </w:t>
      </w:r>
      <w:r w:rsidR="001F6578" w:rsidRPr="004E0209">
        <w:rPr>
          <w:lang w:val="en-US"/>
        </w:rPr>
        <w:t>Services</w:t>
      </w:r>
      <w:r w:rsidRPr="004E0209">
        <w:rPr>
          <w:lang w:val="en-US"/>
        </w:rPr>
        <w:t>).</w:t>
      </w:r>
    </w:p>
    <w:p w14:paraId="0207BB8E" w14:textId="57BFAB45" w:rsidR="0097755E" w:rsidRPr="0097755E" w:rsidRDefault="0097755E" w:rsidP="001F6578">
      <w:pPr>
        <w:pStyle w:val="Pagrindinistekstas"/>
        <w:numPr>
          <w:ilvl w:val="1"/>
          <w:numId w:val="5"/>
        </w:numPr>
        <w:suppressAutoHyphens/>
        <w:ind w:left="0" w:firstLine="709"/>
        <w:contextualSpacing/>
        <w:rPr>
          <w:lang w:val="en-US"/>
        </w:rPr>
      </w:pPr>
      <w:r w:rsidRPr="0097755E">
        <w:rPr>
          <w:lang w:val="en-US"/>
        </w:rPr>
        <w:t xml:space="preserve">The subject matter of this procurement is classified in the CPV (Common Procurement Vocabulary) under code </w:t>
      </w:r>
      <w:r w:rsidR="001F6578">
        <w:rPr>
          <w:lang w:val="en-US"/>
        </w:rPr>
        <w:t>50324100</w:t>
      </w:r>
      <w:r w:rsidRPr="0097755E">
        <w:rPr>
          <w:lang w:val="en-US"/>
        </w:rPr>
        <w:t>-</w:t>
      </w:r>
      <w:r w:rsidR="001F6578">
        <w:rPr>
          <w:lang w:val="en-US"/>
        </w:rPr>
        <w:t>9</w:t>
      </w:r>
      <w:r w:rsidRPr="0097755E">
        <w:rPr>
          <w:lang w:val="en-US"/>
        </w:rPr>
        <w:t xml:space="preserve"> – </w:t>
      </w:r>
      <w:r w:rsidR="001F6578" w:rsidRPr="001F6578">
        <w:rPr>
          <w:lang w:val="en-US"/>
        </w:rPr>
        <w:t>System maintenance services</w:t>
      </w:r>
      <w:r w:rsidRPr="0097755E">
        <w:rPr>
          <w:szCs w:val="24"/>
          <w:lang w:val="en-US"/>
        </w:rPr>
        <w:t xml:space="preserve">. </w:t>
      </w:r>
      <w:r w:rsidRPr="0097755E">
        <w:rPr>
          <w:lang w:val="en-US"/>
        </w:rPr>
        <w:t>The Procurement Object will not be divided into parts.</w:t>
      </w:r>
    </w:p>
    <w:p w14:paraId="420CAC40" w14:textId="1762352D" w:rsidR="0097755E" w:rsidRPr="00F306D9" w:rsidRDefault="0097755E" w:rsidP="001F6578">
      <w:pPr>
        <w:pStyle w:val="Sraopastraipa"/>
        <w:numPr>
          <w:ilvl w:val="1"/>
          <w:numId w:val="5"/>
        </w:numPr>
        <w:ind w:left="0" w:firstLine="709"/>
        <w:rPr>
          <w:lang w:val="en-US"/>
        </w:rPr>
      </w:pPr>
      <w:r w:rsidRPr="0097755E">
        <w:rPr>
          <w:lang w:val="en-US"/>
        </w:rPr>
        <w:lastRenderedPageBreak/>
        <w:t xml:space="preserve">The specifications and purpose of the purchased </w:t>
      </w:r>
      <w:r w:rsidR="001F6578">
        <w:rPr>
          <w:lang w:val="en-US"/>
        </w:rPr>
        <w:t>Services</w:t>
      </w:r>
      <w:r w:rsidRPr="0097755E">
        <w:rPr>
          <w:lang w:val="en-US"/>
        </w:rPr>
        <w:t>, the scope of the work, the term limit for completion of the task, etc. are stipulated in the Technical Specification enclosed herewith as Annex 1</w:t>
      </w:r>
      <w:r w:rsidRPr="0097755E">
        <w:rPr>
          <w:szCs w:val="24"/>
          <w:lang w:val="en-US"/>
        </w:rPr>
        <w:t>.</w:t>
      </w:r>
    </w:p>
    <w:p w14:paraId="58E29B8F" w14:textId="60EA3E78" w:rsidR="00F306D9" w:rsidRPr="00F306D9" w:rsidRDefault="00F306D9" w:rsidP="001F6578">
      <w:pPr>
        <w:pStyle w:val="Sraopastraipa"/>
        <w:numPr>
          <w:ilvl w:val="1"/>
          <w:numId w:val="5"/>
        </w:numPr>
        <w:ind w:left="0" w:firstLine="709"/>
        <w:rPr>
          <w:lang w:val="en-US"/>
        </w:rPr>
      </w:pPr>
      <w:r w:rsidRPr="0097755E">
        <w:rPr>
          <w:szCs w:val="24"/>
          <w:lang w:val="en-US"/>
        </w:rPr>
        <w:t>The Parties hereby agree on the following payment terms and conditions:</w:t>
      </w:r>
    </w:p>
    <w:p w14:paraId="26E3C235" w14:textId="578148B0" w:rsidR="00F306D9" w:rsidRPr="00733CA8" w:rsidRDefault="00F306D9" w:rsidP="00176C6C">
      <w:pPr>
        <w:pStyle w:val="Sraopastraipa"/>
        <w:numPr>
          <w:ilvl w:val="2"/>
          <w:numId w:val="5"/>
        </w:numPr>
        <w:ind w:left="0" w:firstLine="720"/>
        <w:rPr>
          <w:lang w:val="en-US"/>
        </w:rPr>
      </w:pPr>
      <w:r w:rsidRPr="00733CA8">
        <w:rPr>
          <w:lang w:val="en-US"/>
        </w:rPr>
        <w:t xml:space="preserve">The Buyer </w:t>
      </w:r>
      <w:proofErr w:type="gramStart"/>
      <w:r w:rsidRPr="00733CA8">
        <w:rPr>
          <w:lang w:val="en-US"/>
        </w:rPr>
        <w:t>make</w:t>
      </w:r>
      <w:proofErr w:type="gramEnd"/>
      <w:r w:rsidRPr="00733CA8">
        <w:rPr>
          <w:lang w:val="en-US"/>
        </w:rPr>
        <w:t xml:space="preserve"> the payment</w:t>
      </w:r>
      <w:r w:rsidR="00733CA8">
        <w:rPr>
          <w:lang w:val="en-US"/>
        </w:rPr>
        <w:t xml:space="preserve"> for the provided Services </w:t>
      </w:r>
      <w:r w:rsidRPr="00733CA8">
        <w:rPr>
          <w:lang w:val="en-US"/>
        </w:rPr>
        <w:t>within 30 (thirty) calendar days from the</w:t>
      </w:r>
      <w:r w:rsidR="00733CA8">
        <w:rPr>
          <w:lang w:val="en-US"/>
        </w:rPr>
        <w:t xml:space="preserve"> invoice</w:t>
      </w:r>
      <w:r w:rsidRPr="00733CA8">
        <w:rPr>
          <w:lang w:val="en-US"/>
        </w:rPr>
        <w:t xml:space="preserve"> day. All invoices shall be issued and submitted by the </w:t>
      </w:r>
      <w:r w:rsidR="00733CA8">
        <w:rPr>
          <w:lang w:val="en-US"/>
        </w:rPr>
        <w:t>Provider</w:t>
      </w:r>
      <w:r w:rsidRPr="00733CA8">
        <w:rPr>
          <w:lang w:val="en-US"/>
        </w:rPr>
        <w:t xml:space="preserve"> electronically:</w:t>
      </w:r>
    </w:p>
    <w:p w14:paraId="4782E0B3" w14:textId="34CD44BB" w:rsidR="00F306D9" w:rsidRPr="00F306D9" w:rsidRDefault="00F306D9" w:rsidP="00F306D9">
      <w:pPr>
        <w:pStyle w:val="Sraopastraipa"/>
        <w:numPr>
          <w:ilvl w:val="3"/>
          <w:numId w:val="5"/>
        </w:numPr>
        <w:tabs>
          <w:tab w:val="left" w:pos="1560"/>
        </w:tabs>
        <w:ind w:left="0" w:firstLine="709"/>
        <w:rPr>
          <w:lang w:val="en-US"/>
        </w:rPr>
      </w:pPr>
      <w:r w:rsidRPr="0097755E">
        <w:rPr>
          <w:szCs w:val="24"/>
          <w:lang w:val="en-US"/>
        </w:rPr>
        <w:t xml:space="preserve">The electronic invoices that comply with the Commission Implementing Decision (EU) 2017/1870 of 16 October 2017 on the publication of the reference of the European standard on electronic invoicing and the list of its syntaxes pursuant to Directive 2014/55/EU of the European Parliament and of the Council (OL 2017 L 266, page 19) (hereinafter referred to as the European Electronic Invoice Standard) shall be submitted by the </w:t>
      </w:r>
      <w:r w:rsidR="00CA32C6">
        <w:rPr>
          <w:szCs w:val="24"/>
          <w:lang w:val="en-US"/>
        </w:rPr>
        <w:t>Provider</w:t>
      </w:r>
      <w:r w:rsidRPr="0097755E">
        <w:rPr>
          <w:szCs w:val="24"/>
          <w:lang w:val="en-US"/>
        </w:rPr>
        <w:t xml:space="preserve"> using the chosen means;</w:t>
      </w:r>
    </w:p>
    <w:p w14:paraId="1952AC66" w14:textId="16C0FB9B" w:rsidR="00F306D9" w:rsidRPr="00F306D9" w:rsidRDefault="00F306D9" w:rsidP="00F306D9">
      <w:pPr>
        <w:pStyle w:val="Sraopastraipa"/>
        <w:numPr>
          <w:ilvl w:val="3"/>
          <w:numId w:val="5"/>
        </w:numPr>
        <w:tabs>
          <w:tab w:val="left" w:pos="1560"/>
        </w:tabs>
        <w:ind w:left="0" w:firstLine="709"/>
        <w:rPr>
          <w:lang w:val="en-US"/>
        </w:rPr>
      </w:pPr>
      <w:r w:rsidRPr="0097755E">
        <w:rPr>
          <w:szCs w:val="24"/>
          <w:lang w:val="en-US"/>
        </w:rPr>
        <w:t xml:space="preserve">The electronic invoices that do not comply with the European Electronic Invoice Standard may only be submitted using the Electronic Invoice Administration and Information System (SABIS) (the website can be accessed at </w:t>
      </w:r>
      <w:proofErr w:type="spellStart"/>
      <w:r w:rsidRPr="0097755E">
        <w:rPr>
          <w:rFonts w:cs="Calibri"/>
          <w:szCs w:val="24"/>
          <w:lang w:val="en-US"/>
        </w:rPr>
        <w:t>sabis.nbfc.lt</w:t>
      </w:r>
      <w:proofErr w:type="spellEnd"/>
      <w:r w:rsidRPr="0097755E">
        <w:rPr>
          <w:rFonts w:cs="Calibri"/>
          <w:szCs w:val="24"/>
          <w:lang w:val="en-US"/>
        </w:rPr>
        <w:t>);</w:t>
      </w:r>
    </w:p>
    <w:p w14:paraId="15F798EB" w14:textId="2DDBFA06" w:rsidR="00F306D9" w:rsidRPr="00F306D9" w:rsidRDefault="00F306D9" w:rsidP="00F306D9">
      <w:pPr>
        <w:pStyle w:val="Sraopastraipa"/>
        <w:numPr>
          <w:ilvl w:val="3"/>
          <w:numId w:val="5"/>
        </w:numPr>
        <w:tabs>
          <w:tab w:val="left" w:pos="1560"/>
        </w:tabs>
        <w:ind w:left="0" w:firstLine="709"/>
        <w:rPr>
          <w:lang w:val="en-US"/>
        </w:rPr>
      </w:pPr>
      <w:r w:rsidRPr="0097755E">
        <w:rPr>
          <w:szCs w:val="24"/>
          <w:lang w:val="en-US"/>
        </w:rPr>
        <w:t xml:space="preserve">The Buyer shall accept and process the electronic invoices via the Electronic Invoice Administration and Information System (SABIS) (the website can be accessed at </w:t>
      </w:r>
      <w:proofErr w:type="spellStart"/>
      <w:r w:rsidRPr="0097755E">
        <w:rPr>
          <w:rFonts w:cs="Calibri"/>
          <w:szCs w:val="24"/>
          <w:lang w:val="en-US"/>
        </w:rPr>
        <w:t>sabis.nbfc.lt</w:t>
      </w:r>
      <w:proofErr w:type="spellEnd"/>
      <w:r w:rsidRPr="0097755E">
        <w:rPr>
          <w:rFonts w:cs="Calibri"/>
          <w:szCs w:val="24"/>
          <w:lang w:val="en-US"/>
        </w:rPr>
        <w:t>)</w:t>
      </w:r>
      <w:r w:rsidRPr="0097755E">
        <w:rPr>
          <w:szCs w:val="24"/>
          <w:lang w:val="en-US"/>
        </w:rPr>
        <w:t>, except the cases stipulated in Article 34(12) of the Law on Procuring Entities Operating in the Fields of Water, Energy, Transport or Postal Services of the Republic of Lithuania. An electronic invoice shall be defined as an invoice which has been generated, transferred and received in such an electronic format that it can be processed either by automatic or electronic means.</w:t>
      </w:r>
    </w:p>
    <w:p w14:paraId="6B139038" w14:textId="69E4EF10" w:rsidR="00F306D9" w:rsidRPr="00F306D9" w:rsidRDefault="00F306D9" w:rsidP="00F306D9">
      <w:pPr>
        <w:pStyle w:val="Sraopastraipa"/>
        <w:numPr>
          <w:ilvl w:val="1"/>
          <w:numId w:val="5"/>
        </w:numPr>
        <w:ind w:left="0" w:firstLine="709"/>
        <w:rPr>
          <w:lang w:val="en-US"/>
        </w:rPr>
      </w:pPr>
      <w:r w:rsidRPr="0097755E">
        <w:rPr>
          <w:lang w:val="en-US"/>
        </w:rPr>
        <w:t>The Contracting Entity will not accept alternative proposals. Any alternative proposals submitted by Tender Participants will be rejected</w:t>
      </w:r>
      <w:r w:rsidRPr="0097755E">
        <w:rPr>
          <w:rFonts w:eastAsia="Calibri"/>
          <w:szCs w:val="24"/>
          <w:lang w:val="en-US"/>
        </w:rPr>
        <w:t>.</w:t>
      </w:r>
    </w:p>
    <w:p w14:paraId="42429C5D" w14:textId="079CBABC" w:rsidR="00F306D9" w:rsidRPr="00F306D9" w:rsidRDefault="00F306D9" w:rsidP="00F306D9">
      <w:pPr>
        <w:pStyle w:val="Sraopastraipa"/>
        <w:numPr>
          <w:ilvl w:val="1"/>
          <w:numId w:val="5"/>
        </w:numPr>
        <w:ind w:left="0" w:firstLine="709"/>
        <w:rPr>
          <w:lang w:val="en-US"/>
        </w:rPr>
      </w:pPr>
      <w:r w:rsidRPr="00B32B75">
        <w:rPr>
          <w:bCs/>
          <w:shd w:val="clear" w:color="auto" w:fill="FFFFFF"/>
          <w:lang w:val="en-US"/>
        </w:rPr>
        <w:t xml:space="preserve">The Procurement Object is considered </w:t>
      </w:r>
      <w:r w:rsidRPr="00B32B75">
        <w:rPr>
          <w:b/>
          <w:shd w:val="clear" w:color="auto" w:fill="FFFFFF"/>
          <w:lang w:val="en-US"/>
        </w:rPr>
        <w:t>green</w:t>
      </w:r>
      <w:r w:rsidRPr="00B32B75">
        <w:rPr>
          <w:bCs/>
          <w:shd w:val="clear" w:color="auto" w:fill="FFFFFF"/>
          <w:lang w:val="en-US"/>
        </w:rPr>
        <w:t xml:space="preserve"> for the following reasons:</w:t>
      </w:r>
    </w:p>
    <w:p w14:paraId="22B4688F" w14:textId="0291B94E" w:rsidR="00F306D9" w:rsidRPr="00F306D9" w:rsidRDefault="00F306D9" w:rsidP="00F306D9">
      <w:pPr>
        <w:pStyle w:val="Sraopastraipa"/>
        <w:numPr>
          <w:ilvl w:val="2"/>
          <w:numId w:val="5"/>
        </w:numPr>
        <w:ind w:left="0" w:firstLine="720"/>
        <w:rPr>
          <w:lang w:val="en-US"/>
        </w:rPr>
      </w:pPr>
      <w:r w:rsidRPr="0097755E">
        <w:rPr>
          <w:szCs w:val="24"/>
          <w:shd w:val="clear" w:color="auto" w:fill="FFFFFF"/>
          <w:lang w:val="en-US" w:eastAsia="ar-SA"/>
        </w:rPr>
        <w:t xml:space="preserve">Pursuant to Article 4.4.3 of Order No. D1-508 of June 28, 2011 passed by the Minister of the Environment of the Republic of Lithuania of On Approval of Description of the Procedure for Application of Environmental Criteria in Green Procurements (version No. D1-401 of December 13, 2022) (hereinafter referred to as the Description of Procedure), the procurement involves the purchase of an intangible product, i.e. </w:t>
      </w:r>
      <w:r w:rsidR="00F94E42">
        <w:rPr>
          <w:szCs w:val="24"/>
          <w:shd w:val="clear" w:color="auto" w:fill="FFFFFF"/>
          <w:lang w:val="en-US" w:eastAsia="ar-SA"/>
        </w:rPr>
        <w:t>the Service</w:t>
      </w:r>
      <w:r w:rsidRPr="0097755E">
        <w:rPr>
          <w:szCs w:val="24"/>
          <w:shd w:val="clear" w:color="auto" w:fill="FFFFFF"/>
          <w:lang w:val="en-US" w:eastAsia="ar-SA"/>
        </w:rPr>
        <w:t xml:space="preserve"> that does not entail creation of a tangible object, and the creation and operation of which is not likely to have a significant adverse effect on the environment, create a source of pollution or generate waste;</w:t>
      </w:r>
    </w:p>
    <w:p w14:paraId="75386503" w14:textId="44A479D0" w:rsidR="00F306D9" w:rsidRPr="0097755E" w:rsidRDefault="00F306D9" w:rsidP="00F306D9">
      <w:pPr>
        <w:pStyle w:val="Sraopastraipa"/>
        <w:numPr>
          <w:ilvl w:val="2"/>
          <w:numId w:val="5"/>
        </w:numPr>
        <w:ind w:left="0" w:firstLine="720"/>
        <w:rPr>
          <w:lang w:val="en-US"/>
        </w:rPr>
      </w:pPr>
      <w:r w:rsidRPr="0097755E">
        <w:rPr>
          <w:szCs w:val="24"/>
          <w:shd w:val="clear" w:color="auto" w:fill="FFFFFF"/>
          <w:lang w:val="en-US" w:eastAsia="ar-SA"/>
        </w:rPr>
        <w:t xml:space="preserve">The </w:t>
      </w:r>
      <w:r w:rsidR="00CA32C6">
        <w:rPr>
          <w:szCs w:val="24"/>
          <w:shd w:val="clear" w:color="auto" w:fill="FFFFFF"/>
          <w:lang w:val="en-US" w:eastAsia="ar-SA"/>
        </w:rPr>
        <w:t>Provider</w:t>
      </w:r>
      <w:r w:rsidRPr="0097755E">
        <w:rPr>
          <w:szCs w:val="24"/>
          <w:shd w:val="clear" w:color="auto" w:fill="FFFFFF"/>
          <w:lang w:val="en-US" w:eastAsia="ar-SA"/>
        </w:rPr>
        <w:t xml:space="preserve"> must aim to reduce the use of paper and refuse unnecessary copying and printing of documents for the execution of the Agreement. The documentation prepared must, as far as possible, be provided to the Contracting Entity in electronic format and the documentation to be signed must be signed with electronic signature. Where printing is required, recycled paper fulfilling the requirements of green procurement as set out in the minimum environmental criteria set out in Section 1 'Paper and Paper Products' of Annex 2 of the Description of Procedure</w:t>
      </w:r>
      <w:r w:rsidRPr="0097755E">
        <w:rPr>
          <w:szCs w:val="24"/>
          <w:lang w:val="en-US"/>
        </w:rPr>
        <w:t>.</w:t>
      </w:r>
    </w:p>
    <w:p w14:paraId="26CC436E" w14:textId="77777777" w:rsidR="0097755E" w:rsidRPr="0097755E" w:rsidRDefault="0097755E" w:rsidP="0097755E">
      <w:pPr>
        <w:pStyle w:val="Sraopastraipa"/>
        <w:ind w:left="1069"/>
        <w:rPr>
          <w:rFonts w:eastAsia="Calibri"/>
          <w:szCs w:val="24"/>
          <w:lang w:val="en-US"/>
        </w:rPr>
      </w:pPr>
    </w:p>
    <w:p w14:paraId="05438BD6" w14:textId="77777777" w:rsidR="0097755E" w:rsidRPr="0097755E" w:rsidRDefault="0097755E" w:rsidP="0097755E">
      <w:pPr>
        <w:pStyle w:val="Sraopastraipa"/>
        <w:keepNext/>
        <w:ind w:left="0"/>
        <w:jc w:val="center"/>
        <w:outlineLvl w:val="0"/>
        <w:rPr>
          <w:b/>
          <w:szCs w:val="24"/>
          <w:lang w:val="en-US" w:eastAsia="lt-LT"/>
        </w:rPr>
      </w:pPr>
      <w:bookmarkStart w:id="0" w:name="_Toc32329937"/>
      <w:r w:rsidRPr="0097755E">
        <w:rPr>
          <w:rFonts w:ascii="Times New Roman Bold" w:hAnsi="Times New Roman Bold"/>
          <w:b/>
          <w:caps/>
          <w:lang w:val="en-US"/>
        </w:rPr>
        <w:t>3. Reasons for Elimination of Tender Participants, Qualification Requirements, and, Where Applicable, the Required Standards for Quality Management and (or) Environmental Management Systems, Including the Requirements for Each PartNER in Case of Joint Tender. List of Substantiating Documents</w:t>
      </w:r>
      <w:bookmarkEnd w:id="0"/>
      <w:r w:rsidRPr="0097755E">
        <w:rPr>
          <w:rFonts w:ascii="Times New Roman Bold" w:hAnsi="Times New Roman Bold"/>
          <w:b/>
          <w:caps/>
          <w:lang w:val="en-US"/>
        </w:rPr>
        <w:t>. SPECIAL REQUIREMENTS RELATED TO PROTECTION OF NATIONAL SECURITY INTERESTS</w:t>
      </w:r>
    </w:p>
    <w:p w14:paraId="0B583F0D" w14:textId="77777777" w:rsidR="0097755E" w:rsidRPr="0097755E" w:rsidRDefault="0097755E" w:rsidP="0097755E">
      <w:pPr>
        <w:contextualSpacing/>
        <w:jc w:val="left"/>
        <w:rPr>
          <w:szCs w:val="24"/>
          <w:lang w:val="en-US"/>
        </w:rPr>
      </w:pPr>
    </w:p>
    <w:p w14:paraId="2D4CEA63" w14:textId="77777777" w:rsidR="0097755E" w:rsidRPr="0097755E" w:rsidRDefault="0097755E" w:rsidP="0097755E">
      <w:pPr>
        <w:pStyle w:val="Sraopastraipa"/>
        <w:numPr>
          <w:ilvl w:val="1"/>
          <w:numId w:val="34"/>
        </w:numPr>
        <w:ind w:left="0" w:firstLine="709"/>
        <w:rPr>
          <w:rFonts w:eastAsia="Calibri"/>
          <w:szCs w:val="24"/>
          <w:lang w:val="en-US"/>
        </w:rPr>
      </w:pPr>
      <w:r w:rsidRPr="0097755E">
        <w:rPr>
          <w:lang w:val="en-US" w:eastAsia="lt-LT"/>
        </w:rPr>
        <w:t>Pursuant to Article 48 of the Description, the Contracting Entity will not examine the reasons for elimination of Tender Participants.</w:t>
      </w:r>
    </w:p>
    <w:p w14:paraId="42AC3474" w14:textId="77777777" w:rsidR="0097755E" w:rsidRPr="0097755E" w:rsidRDefault="0097755E" w:rsidP="0097755E">
      <w:pPr>
        <w:contextualSpacing/>
        <w:jc w:val="left"/>
        <w:rPr>
          <w:rFonts w:eastAsia="Calibri"/>
          <w:szCs w:val="24"/>
          <w:lang w:val="en-US"/>
        </w:rPr>
      </w:pPr>
    </w:p>
    <w:p w14:paraId="636526CC" w14:textId="77777777" w:rsidR="0097755E" w:rsidRPr="0097755E" w:rsidRDefault="0097755E" w:rsidP="0097755E">
      <w:pPr>
        <w:jc w:val="center"/>
        <w:rPr>
          <w:b/>
          <w:color w:val="0070C0"/>
          <w:szCs w:val="24"/>
          <w:lang w:val="en-US"/>
        </w:rPr>
      </w:pPr>
      <w:bookmarkStart w:id="1" w:name="_Toc32329938"/>
      <w:r w:rsidRPr="0097755E">
        <w:rPr>
          <w:rFonts w:ascii="Times New Roman Bold" w:hAnsi="Times New Roman Bold"/>
          <w:b/>
          <w:caps/>
          <w:lang w:val="en-US"/>
        </w:rPr>
        <w:t>4. Joint Tender PROPOSALS</w:t>
      </w:r>
    </w:p>
    <w:p w14:paraId="3A8E518D" w14:textId="77777777" w:rsidR="0097755E" w:rsidRPr="0097755E" w:rsidRDefault="0097755E" w:rsidP="0097755E">
      <w:pPr>
        <w:pStyle w:val="Sraopastraipa"/>
        <w:ind w:left="0"/>
        <w:jc w:val="center"/>
        <w:rPr>
          <w:b/>
          <w:color w:val="0070C0"/>
          <w:szCs w:val="24"/>
          <w:lang w:val="en-US"/>
        </w:rPr>
      </w:pPr>
      <w:r w:rsidRPr="0097755E">
        <w:rPr>
          <w:rFonts w:ascii="Times New Roman Bold" w:hAnsi="Times New Roman Bold"/>
          <w:b/>
          <w:caps/>
          <w:lang w:val="en-US"/>
        </w:rPr>
        <w:t>Submitted by a Group of BUSINESS ENTITIES</w:t>
      </w:r>
      <w:bookmarkEnd w:id="1"/>
    </w:p>
    <w:p w14:paraId="00DB6837" w14:textId="77777777" w:rsidR="0097755E" w:rsidRPr="0097755E" w:rsidRDefault="0097755E" w:rsidP="0097755E">
      <w:pPr>
        <w:contextualSpacing/>
        <w:jc w:val="center"/>
        <w:rPr>
          <w:szCs w:val="24"/>
          <w:lang w:val="en-US"/>
        </w:rPr>
      </w:pPr>
    </w:p>
    <w:p w14:paraId="4E69E538" w14:textId="77777777" w:rsidR="0097755E" w:rsidRPr="0097755E" w:rsidRDefault="0097755E" w:rsidP="0097755E">
      <w:pPr>
        <w:pStyle w:val="Pagrindinistekstas"/>
        <w:numPr>
          <w:ilvl w:val="1"/>
          <w:numId w:val="6"/>
        </w:numPr>
        <w:suppressAutoHyphens/>
        <w:ind w:left="0" w:firstLine="567"/>
        <w:contextualSpacing/>
        <w:rPr>
          <w:lang w:val="en-US"/>
        </w:rPr>
      </w:pPr>
      <w:r w:rsidRPr="0097755E">
        <w:rPr>
          <w:lang w:val="en-US"/>
        </w:rPr>
        <w:t>Tender Proposals may be submitted by a group of business entities acting on the basis of a joint-activity agreement.</w:t>
      </w:r>
    </w:p>
    <w:p w14:paraId="4F8B6FEE" w14:textId="77777777" w:rsidR="0097755E" w:rsidRPr="0097755E" w:rsidRDefault="0097755E" w:rsidP="0097755E">
      <w:pPr>
        <w:pStyle w:val="Pagrindinistekstas"/>
        <w:numPr>
          <w:ilvl w:val="1"/>
          <w:numId w:val="6"/>
        </w:numPr>
        <w:suppressAutoHyphens/>
        <w:ind w:left="0" w:firstLine="567"/>
        <w:contextualSpacing/>
        <w:rPr>
          <w:lang w:val="en-US"/>
        </w:rPr>
      </w:pPr>
      <w:r w:rsidRPr="0097755E">
        <w:rPr>
          <w:lang w:val="en-US"/>
        </w:rPr>
        <w:lastRenderedPageBreak/>
        <w:t>The joint-activity agreement shall include:</w:t>
      </w:r>
    </w:p>
    <w:p w14:paraId="3351EE74" w14:textId="77777777" w:rsidR="0097755E" w:rsidRPr="0097755E" w:rsidRDefault="0097755E" w:rsidP="0097755E">
      <w:pPr>
        <w:pStyle w:val="Pagrindinistekstas"/>
        <w:numPr>
          <w:ilvl w:val="2"/>
          <w:numId w:val="6"/>
        </w:numPr>
        <w:tabs>
          <w:tab w:val="left" w:pos="1418"/>
        </w:tabs>
        <w:suppressAutoHyphens/>
        <w:ind w:left="0" w:firstLine="567"/>
        <w:contextualSpacing/>
        <w:rPr>
          <w:lang w:val="en-US"/>
        </w:rPr>
      </w:pPr>
      <w:r w:rsidRPr="0097755E">
        <w:rPr>
          <w:lang w:val="en-US"/>
        </w:rPr>
        <w:t>Detailed description of the duties and liabilities of each party (partner) when executing the sale and purchase agreement signed with the Contracting Entity.</w:t>
      </w:r>
      <w:r w:rsidRPr="0097755E">
        <w:rPr>
          <w:color w:val="76923C" w:themeColor="accent3" w:themeShade="BF"/>
          <w:lang w:val="en-US"/>
        </w:rPr>
        <w:t xml:space="preserve"> </w:t>
      </w:r>
    </w:p>
    <w:p w14:paraId="6935AEAE" w14:textId="77777777" w:rsidR="0097755E" w:rsidRPr="0097755E" w:rsidRDefault="0097755E" w:rsidP="0097755E">
      <w:pPr>
        <w:pStyle w:val="Pagrindinistekstas"/>
        <w:numPr>
          <w:ilvl w:val="2"/>
          <w:numId w:val="6"/>
        </w:numPr>
        <w:tabs>
          <w:tab w:val="left" w:pos="1418"/>
        </w:tabs>
        <w:suppressAutoHyphens/>
        <w:ind w:left="0" w:firstLine="567"/>
        <w:contextualSpacing/>
        <w:rPr>
          <w:lang w:val="en-US"/>
        </w:rPr>
      </w:pPr>
      <w:r w:rsidRPr="0097755E">
        <w:rPr>
          <w:lang w:val="en-US"/>
        </w:rPr>
        <w:t>Provision on joint and several liability of all partners in case full failure to fulfil the undertaken obligations with respect to the Contracting Entity;</w:t>
      </w:r>
    </w:p>
    <w:p w14:paraId="4B7B418C" w14:textId="77777777" w:rsidR="0097755E" w:rsidRPr="0097755E" w:rsidRDefault="0097755E" w:rsidP="0097755E">
      <w:pPr>
        <w:pStyle w:val="Pagrindinistekstas"/>
        <w:numPr>
          <w:ilvl w:val="2"/>
          <w:numId w:val="6"/>
        </w:numPr>
        <w:tabs>
          <w:tab w:val="left" w:pos="1418"/>
        </w:tabs>
        <w:suppressAutoHyphens/>
        <w:ind w:left="0" w:firstLine="567"/>
        <w:contextualSpacing/>
        <w:rPr>
          <w:lang w:val="en-US"/>
        </w:rPr>
      </w:pPr>
      <w:r w:rsidRPr="0097755E">
        <w:rPr>
          <w:lang w:val="en-US"/>
        </w:rPr>
        <w:t>One of the jointly acting partners shall be appointed as the representative of the group responsible for communicating with the Contracting Entity regarding any issues related to the qualification requirements and provision of information during the evaluation of tenders (hereinafter referred to as the Responsible Partner).</w:t>
      </w:r>
    </w:p>
    <w:p w14:paraId="528E66C2" w14:textId="56C4B474" w:rsidR="0097755E" w:rsidRPr="0097755E" w:rsidRDefault="0097755E" w:rsidP="0097755E">
      <w:pPr>
        <w:pStyle w:val="Pagrindinistekstas"/>
        <w:numPr>
          <w:ilvl w:val="1"/>
          <w:numId w:val="6"/>
        </w:numPr>
        <w:suppressAutoHyphens/>
        <w:ind w:left="0" w:firstLine="567"/>
        <w:contextualSpacing/>
        <w:rPr>
          <w:lang w:val="en-US"/>
        </w:rPr>
      </w:pPr>
      <w:r w:rsidRPr="0097755E">
        <w:rPr>
          <w:lang w:val="en-US"/>
        </w:rPr>
        <w:t xml:space="preserve">In case a group of business entities becomes the Winning Tenderer, the Contracting Entity will maintain further communication with the Responsible Partner. The agreement for sale and purchase of the </w:t>
      </w:r>
      <w:r w:rsidR="00172CD4">
        <w:rPr>
          <w:lang w:val="en-US"/>
        </w:rPr>
        <w:t>Software</w:t>
      </w:r>
      <w:r w:rsidRPr="0097755E">
        <w:rPr>
          <w:lang w:val="en-US"/>
        </w:rPr>
        <w:t xml:space="preserve"> will be signed between the Contracting Entity and the Responsible Person, and all payments will be made to the Responsible Person.</w:t>
      </w:r>
    </w:p>
    <w:p w14:paraId="3C090495" w14:textId="77777777" w:rsidR="0097755E" w:rsidRPr="0097755E" w:rsidRDefault="0097755E" w:rsidP="0097755E">
      <w:pPr>
        <w:pStyle w:val="Pagrindinistekstas"/>
        <w:numPr>
          <w:ilvl w:val="1"/>
          <w:numId w:val="6"/>
        </w:numPr>
        <w:suppressAutoHyphens/>
        <w:ind w:left="0" w:firstLine="567"/>
        <w:contextualSpacing/>
        <w:rPr>
          <w:lang w:val="en-US"/>
        </w:rPr>
      </w:pPr>
      <w:r w:rsidRPr="0097755E">
        <w:rPr>
          <w:lang w:val="en-US"/>
        </w:rPr>
        <w:t>In case a group of business entities becomes the Winning Tenderer, the Contracting Entity will not require the partners to start operating as a single legal entity.</w:t>
      </w:r>
    </w:p>
    <w:p w14:paraId="41019561" w14:textId="77777777" w:rsidR="0097755E" w:rsidRPr="0097755E" w:rsidRDefault="0097755E" w:rsidP="0097755E">
      <w:pPr>
        <w:contextualSpacing/>
        <w:jc w:val="left"/>
        <w:rPr>
          <w:szCs w:val="24"/>
          <w:lang w:val="en-US"/>
        </w:rPr>
      </w:pPr>
    </w:p>
    <w:p w14:paraId="74CC8E7D" w14:textId="77777777" w:rsidR="0097755E" w:rsidRPr="0097755E" w:rsidRDefault="0097755E" w:rsidP="0097755E">
      <w:pPr>
        <w:contextualSpacing/>
        <w:jc w:val="left"/>
        <w:rPr>
          <w:szCs w:val="24"/>
          <w:lang w:val="en-US"/>
        </w:rPr>
      </w:pPr>
    </w:p>
    <w:p w14:paraId="668352F6" w14:textId="77777777" w:rsidR="0097755E" w:rsidRPr="0097755E" w:rsidRDefault="0097755E" w:rsidP="0097755E">
      <w:pPr>
        <w:contextualSpacing/>
        <w:jc w:val="center"/>
        <w:rPr>
          <w:b/>
          <w:szCs w:val="24"/>
          <w:lang w:val="en-US"/>
        </w:rPr>
      </w:pPr>
      <w:r w:rsidRPr="0097755E">
        <w:rPr>
          <w:b/>
          <w:szCs w:val="24"/>
          <w:lang w:val="en-US"/>
        </w:rPr>
        <w:t>5. TENDER SECURITY (BID BOND)</w:t>
      </w:r>
    </w:p>
    <w:p w14:paraId="57128374" w14:textId="77777777" w:rsidR="0097755E" w:rsidRPr="0097755E" w:rsidRDefault="0097755E" w:rsidP="0097755E">
      <w:pPr>
        <w:contextualSpacing/>
        <w:jc w:val="left"/>
        <w:rPr>
          <w:szCs w:val="24"/>
          <w:lang w:val="en-US"/>
        </w:rPr>
      </w:pPr>
    </w:p>
    <w:p w14:paraId="7C49DC0B" w14:textId="77777777" w:rsidR="0097755E" w:rsidRPr="0097755E" w:rsidRDefault="0097755E" w:rsidP="007B79BA">
      <w:pPr>
        <w:pStyle w:val="Sraopastraipa"/>
        <w:suppressAutoHyphens/>
        <w:ind w:left="360"/>
        <w:rPr>
          <w:vanish/>
          <w:szCs w:val="24"/>
          <w:lang w:val="en-US"/>
        </w:rPr>
      </w:pPr>
    </w:p>
    <w:p w14:paraId="388B8935" w14:textId="4DCD6117" w:rsidR="0097755E" w:rsidRPr="0097755E" w:rsidRDefault="0097755E" w:rsidP="007B79BA">
      <w:pPr>
        <w:pStyle w:val="Pagrindinistekstas"/>
        <w:numPr>
          <w:ilvl w:val="1"/>
          <w:numId w:val="41"/>
        </w:numPr>
        <w:suppressAutoHyphens/>
        <w:ind w:left="0" w:firstLine="567"/>
        <w:contextualSpacing/>
        <w:rPr>
          <w:szCs w:val="24"/>
          <w:lang w:val="en-US"/>
        </w:rPr>
      </w:pPr>
      <w:r w:rsidRPr="0097755E">
        <w:rPr>
          <w:color w:val="000000"/>
          <w:szCs w:val="24"/>
          <w:lang w:val="en-US"/>
        </w:rPr>
        <w:t>The Contracting Entity does not require the Tender Participants to secure their proposals, as defined in the Civil Code of the Republic of Lithuania</w:t>
      </w:r>
      <w:r w:rsidRPr="0097755E">
        <w:rPr>
          <w:lang w:val="en-US"/>
        </w:rPr>
        <w:t>.</w:t>
      </w:r>
    </w:p>
    <w:p w14:paraId="5C1B8FCB" w14:textId="77777777" w:rsidR="0097755E" w:rsidRPr="0097755E" w:rsidRDefault="0097755E" w:rsidP="0097755E">
      <w:pPr>
        <w:contextualSpacing/>
        <w:jc w:val="left"/>
        <w:rPr>
          <w:szCs w:val="24"/>
          <w:lang w:val="en-US"/>
        </w:rPr>
      </w:pPr>
    </w:p>
    <w:p w14:paraId="28683AE9" w14:textId="77777777" w:rsidR="0097755E" w:rsidRPr="0097755E" w:rsidRDefault="0097755E" w:rsidP="0097755E">
      <w:pPr>
        <w:contextualSpacing/>
        <w:jc w:val="left"/>
        <w:rPr>
          <w:szCs w:val="24"/>
          <w:lang w:val="en-US"/>
        </w:rPr>
      </w:pPr>
    </w:p>
    <w:p w14:paraId="41A8C028" w14:textId="77777777" w:rsidR="0097755E" w:rsidRPr="0097755E" w:rsidRDefault="0097755E" w:rsidP="0097755E">
      <w:pPr>
        <w:contextualSpacing/>
        <w:jc w:val="center"/>
        <w:rPr>
          <w:b/>
          <w:szCs w:val="24"/>
          <w:lang w:val="en-US"/>
        </w:rPr>
      </w:pPr>
      <w:r w:rsidRPr="0097755E">
        <w:rPr>
          <w:rFonts w:ascii="Times New Roman Bold" w:hAnsi="Times New Roman Bold"/>
          <w:b/>
          <w:caps/>
          <w:lang w:val="en-US"/>
        </w:rPr>
        <w:t xml:space="preserve">6. </w:t>
      </w:r>
      <w:bookmarkStart w:id="2" w:name="_Toc32329940"/>
      <w:bookmarkStart w:id="3" w:name="_Toc34919303"/>
      <w:r w:rsidRPr="0097755E">
        <w:rPr>
          <w:rFonts w:ascii="Times New Roman Bold" w:hAnsi="Times New Roman Bold"/>
          <w:b/>
          <w:caps/>
          <w:lang w:val="en-US"/>
        </w:rPr>
        <w:t>Preparation, Submission and MODIFICATION of Tenders</w:t>
      </w:r>
      <w:bookmarkEnd w:id="2"/>
      <w:bookmarkEnd w:id="3"/>
    </w:p>
    <w:p w14:paraId="01E08B43" w14:textId="77777777" w:rsidR="0097755E" w:rsidRPr="0097755E" w:rsidRDefault="0097755E" w:rsidP="0097755E">
      <w:pPr>
        <w:contextualSpacing/>
        <w:jc w:val="center"/>
        <w:rPr>
          <w:b/>
          <w:szCs w:val="24"/>
          <w:lang w:val="en-US"/>
        </w:rPr>
      </w:pPr>
    </w:p>
    <w:p w14:paraId="1E4B3CD1" w14:textId="77777777" w:rsidR="0097755E" w:rsidRPr="0097755E" w:rsidRDefault="0097755E" w:rsidP="0097755E">
      <w:pPr>
        <w:pStyle w:val="Sraopastraipa"/>
        <w:numPr>
          <w:ilvl w:val="1"/>
          <w:numId w:val="14"/>
        </w:numPr>
        <w:ind w:left="0" w:firstLine="567"/>
        <w:rPr>
          <w:rFonts w:eastAsia="Calibri"/>
          <w:szCs w:val="24"/>
          <w:lang w:val="en-US"/>
        </w:rPr>
      </w:pPr>
      <w:r w:rsidRPr="0097755E">
        <w:rPr>
          <w:rFonts w:eastAsia="Calibri"/>
          <w:szCs w:val="24"/>
          <w:lang w:val="en-US"/>
        </w:rPr>
        <w:t>By submitting the proposal, the Tender Participant agrees to comply with the requirement set forth in the present Procurement Documents and confirms that the information provided in the proposal is correct and accurate in terms of the scope of the Procurement and requirements of the Sale and Purchase Agreement.</w:t>
      </w:r>
    </w:p>
    <w:p w14:paraId="4768EF9A" w14:textId="77777777" w:rsidR="0097755E" w:rsidRPr="0097755E" w:rsidRDefault="0097755E" w:rsidP="0097755E">
      <w:pPr>
        <w:pStyle w:val="Sraopastraipa"/>
        <w:numPr>
          <w:ilvl w:val="1"/>
          <w:numId w:val="14"/>
        </w:numPr>
        <w:ind w:left="0" w:firstLine="567"/>
        <w:rPr>
          <w:rFonts w:eastAsia="Calibri"/>
          <w:szCs w:val="24"/>
          <w:lang w:val="en-US"/>
        </w:rPr>
      </w:pPr>
      <w:r w:rsidRPr="0097755E">
        <w:rPr>
          <w:rFonts w:eastAsia="Calibri"/>
          <w:szCs w:val="24"/>
          <w:lang w:val="en-US"/>
        </w:rPr>
        <w:t>All Tender Participants shall submit their proposals online, via the CPP IS system.</w:t>
      </w:r>
    </w:p>
    <w:p w14:paraId="1FBCB0FA" w14:textId="501F0D16" w:rsidR="0097755E" w:rsidRPr="0097755E" w:rsidRDefault="0097755E" w:rsidP="0097755E">
      <w:pPr>
        <w:pStyle w:val="Sraopastraipa"/>
        <w:numPr>
          <w:ilvl w:val="1"/>
          <w:numId w:val="14"/>
        </w:numPr>
        <w:ind w:left="0" w:firstLine="567"/>
        <w:rPr>
          <w:rFonts w:eastAsia="Calibri"/>
          <w:szCs w:val="24"/>
          <w:lang w:val="en-US"/>
        </w:rPr>
      </w:pPr>
      <w:r w:rsidRPr="0097755E">
        <w:rPr>
          <w:szCs w:val="24"/>
          <w:lang w:val="en-US"/>
        </w:rPr>
        <w:t>Before submitting the documents electronically, the Tender Participants shall sign the copies of all the documents and the tender proposal (completed Tender Proposal Template (Annex 2 herewith)) either with qualified secure electronic signature that has a qualifying certificate, or with regular signature (signed by the Tender Participant’s CEO and scanned). The Tender Participant’s CEO or Authorized Representative shall confirm that each copy is a true copy of the respective document. The Contracting Entity has the right to request that original documents were also provided. If the proposal is signed by a person other than the CEO, a letter o</w:t>
      </w:r>
      <w:r w:rsidR="000C6BF7">
        <w:rPr>
          <w:szCs w:val="24"/>
          <w:lang w:val="en-US"/>
        </w:rPr>
        <w:t>f</w:t>
      </w:r>
      <w:r w:rsidRPr="0097755E">
        <w:rPr>
          <w:szCs w:val="24"/>
          <w:lang w:val="en-US"/>
        </w:rPr>
        <w:t xml:space="preserve"> authorization authorizing the person to sign the proposal must be attached to the Proposal</w:t>
      </w:r>
      <w:r w:rsidRPr="0097755E">
        <w:rPr>
          <w:lang w:val="en-US"/>
        </w:rPr>
        <w:t>.</w:t>
      </w:r>
    </w:p>
    <w:p w14:paraId="24DE2BFB" w14:textId="4E38A691" w:rsidR="0097755E" w:rsidRPr="0097755E" w:rsidRDefault="0097755E" w:rsidP="0097755E">
      <w:pPr>
        <w:pStyle w:val="Sraopastraipa"/>
        <w:numPr>
          <w:ilvl w:val="1"/>
          <w:numId w:val="15"/>
        </w:numPr>
        <w:ind w:left="0" w:firstLine="567"/>
        <w:rPr>
          <w:rFonts w:eastAsia="Calibri"/>
          <w:szCs w:val="24"/>
          <w:lang w:val="en-US"/>
        </w:rPr>
      </w:pPr>
      <w:r w:rsidRPr="0097755E">
        <w:rPr>
          <w:rFonts w:eastAsia="Calibri"/>
          <w:szCs w:val="24"/>
          <w:lang w:val="en-US"/>
        </w:rPr>
        <w:t xml:space="preserve"> All tender proposals shall be submitted in the Lithuanian</w:t>
      </w:r>
      <w:r w:rsidR="00480BB8">
        <w:rPr>
          <w:rFonts w:eastAsia="Calibri"/>
          <w:szCs w:val="24"/>
          <w:lang w:val="en-US"/>
        </w:rPr>
        <w:t xml:space="preserve"> or English</w:t>
      </w:r>
      <w:r w:rsidRPr="0097755E">
        <w:rPr>
          <w:rFonts w:eastAsia="Calibri"/>
          <w:szCs w:val="24"/>
          <w:lang w:val="en-US"/>
        </w:rPr>
        <w:t xml:space="preserve"> language. If a proposal is prepared in another language, it shall be accompanied by its translation into Lithuanian. The translation shall be certified by the Tender Participant or its authorized representative shall be deemed valid.  Any certificates and other documents issued by the competent authorities may be submitted in the original</w:t>
      </w:r>
      <w:r w:rsidR="00480BB8">
        <w:rPr>
          <w:rFonts w:eastAsia="Calibri"/>
          <w:szCs w:val="24"/>
          <w:lang w:val="en-US"/>
        </w:rPr>
        <w:t xml:space="preserve"> or</w:t>
      </w:r>
      <w:r w:rsidRPr="0097755E">
        <w:rPr>
          <w:rFonts w:eastAsia="Calibri"/>
          <w:szCs w:val="24"/>
          <w:lang w:val="en-US"/>
        </w:rPr>
        <w:t xml:space="preserve"> English language without translation into Lithuanian. </w:t>
      </w:r>
    </w:p>
    <w:p w14:paraId="7A4A08C2" w14:textId="77777777" w:rsidR="0097755E" w:rsidRPr="0097755E" w:rsidRDefault="0097755E" w:rsidP="0097755E">
      <w:pPr>
        <w:numPr>
          <w:ilvl w:val="1"/>
          <w:numId w:val="15"/>
        </w:numPr>
        <w:ind w:left="0" w:firstLine="567"/>
        <w:contextualSpacing/>
        <w:rPr>
          <w:rFonts w:eastAsia="Calibri"/>
          <w:szCs w:val="24"/>
          <w:lang w:val="en-US"/>
        </w:rPr>
      </w:pPr>
      <w:r w:rsidRPr="0097755E">
        <w:rPr>
          <w:rFonts w:eastAsia="Calibri"/>
          <w:szCs w:val="24"/>
          <w:lang w:val="en-US"/>
        </w:rPr>
        <w:t>One Tender Participant (natural person or legal entity) may submit only one proposal. This requirement applies both to individual entities and to groups of business entities acting jointly as partners. Natural persons or legal entities participating in the Tender individually or as a party (partner) of a joint activity agreement cannot act as subcontractors in other proposals.</w:t>
      </w:r>
    </w:p>
    <w:p w14:paraId="053EECBF" w14:textId="77777777" w:rsidR="0097755E" w:rsidRPr="0097755E" w:rsidRDefault="0097755E" w:rsidP="0097755E">
      <w:pPr>
        <w:numPr>
          <w:ilvl w:val="1"/>
          <w:numId w:val="15"/>
        </w:numPr>
        <w:ind w:left="0" w:firstLine="567"/>
        <w:contextualSpacing/>
        <w:rPr>
          <w:rFonts w:eastAsia="Calibri"/>
          <w:szCs w:val="24"/>
          <w:lang w:val="en-US"/>
        </w:rPr>
      </w:pPr>
      <w:r w:rsidRPr="0097755E">
        <w:rPr>
          <w:rFonts w:eastAsia="Calibri"/>
          <w:szCs w:val="24"/>
          <w:lang w:val="en-US"/>
        </w:rPr>
        <w:t>Tender Participants shall cover all the expenses related to preparation and submission of proposals. The Contracting Entity shall not be liable for any such expenses, regardless of how the procurement procedure ends.</w:t>
      </w:r>
    </w:p>
    <w:p w14:paraId="5A0D0F03" w14:textId="77777777" w:rsidR="0097755E" w:rsidRPr="0097755E" w:rsidRDefault="0097755E" w:rsidP="0097755E">
      <w:pPr>
        <w:numPr>
          <w:ilvl w:val="1"/>
          <w:numId w:val="15"/>
        </w:numPr>
        <w:ind w:left="0" w:firstLine="567"/>
        <w:contextualSpacing/>
        <w:rPr>
          <w:rFonts w:eastAsia="Calibri"/>
          <w:szCs w:val="24"/>
          <w:lang w:val="en-US"/>
        </w:rPr>
      </w:pPr>
      <w:r w:rsidRPr="0097755E">
        <w:rPr>
          <w:rFonts w:eastAsia="Calibri"/>
          <w:szCs w:val="24"/>
          <w:lang w:val="en-US"/>
        </w:rPr>
        <w:t>Requirements for all tender proposals:</w:t>
      </w:r>
    </w:p>
    <w:p w14:paraId="4205C5B3" w14:textId="77777777" w:rsidR="0097755E" w:rsidRPr="0097755E" w:rsidRDefault="0097755E" w:rsidP="0097755E">
      <w:pPr>
        <w:rPr>
          <w:lang w:val="en-US"/>
        </w:rPr>
      </w:pPr>
      <w:r w:rsidRPr="0097755E">
        <w:rPr>
          <w:lang w:val="en-US"/>
        </w:rPr>
        <w:lastRenderedPageBreak/>
        <w:t xml:space="preserve">         6.7.1. If the proposal is signed by an Authorized Representative rather than the CEO of the legal entity, a letter of authorization or an equivalent document proving the right of signing (e. g. description of the respective person’s duties and responsibilities at the company) shall be enclosed with the tender proposal</w:t>
      </w:r>
      <w:r w:rsidRPr="0097755E">
        <w:rPr>
          <w:rFonts w:eastAsia="Calibri"/>
          <w:szCs w:val="24"/>
          <w:lang w:val="en-US"/>
        </w:rPr>
        <w:t>;</w:t>
      </w:r>
    </w:p>
    <w:p w14:paraId="727E352C" w14:textId="77777777" w:rsidR="0097755E" w:rsidRPr="0097755E" w:rsidRDefault="0097755E" w:rsidP="0097755E">
      <w:pPr>
        <w:rPr>
          <w:lang w:val="en-US"/>
        </w:rPr>
      </w:pPr>
      <w:r w:rsidRPr="0097755E">
        <w:rPr>
          <w:rFonts w:eastAsia="Calibri"/>
          <w:lang w:val="en-US"/>
        </w:rPr>
        <w:t xml:space="preserve">          6.7.2. Duly and fully completed and signed Tender Proposal (template enclosed herewith as Annex 2);</w:t>
      </w:r>
    </w:p>
    <w:p w14:paraId="6ECACE52" w14:textId="77777777" w:rsidR="0097755E" w:rsidRPr="0097755E" w:rsidRDefault="0097755E" w:rsidP="0097755E">
      <w:pPr>
        <w:rPr>
          <w:rFonts w:eastAsia="Calibri"/>
          <w:szCs w:val="24"/>
          <w:lang w:val="en-US"/>
        </w:rPr>
      </w:pPr>
      <w:r w:rsidRPr="0097755E">
        <w:rPr>
          <w:rFonts w:eastAsia="Calibri"/>
          <w:szCs w:val="24"/>
          <w:lang w:val="en-US"/>
        </w:rPr>
        <w:t xml:space="preserve">          6.7.3. Joint-activity agreement when the tender is submitted jointly by a group of business entities;</w:t>
      </w:r>
    </w:p>
    <w:p w14:paraId="3AB73FDD" w14:textId="5B25AE47" w:rsidR="0097755E" w:rsidRPr="0097755E" w:rsidRDefault="0097755E" w:rsidP="0097755E">
      <w:pPr>
        <w:spacing w:line="276" w:lineRule="auto"/>
        <w:ind w:firstLine="426"/>
        <w:rPr>
          <w:rFonts w:eastAsia="Calibri"/>
          <w:szCs w:val="24"/>
          <w:lang w:val="en-US"/>
        </w:rPr>
      </w:pPr>
      <w:r w:rsidRPr="0097755E">
        <w:rPr>
          <w:rFonts w:eastAsia="Calibri"/>
          <w:szCs w:val="24"/>
          <w:lang w:val="en-US"/>
        </w:rPr>
        <w:t>6.7.</w:t>
      </w:r>
      <w:r w:rsidR="00F93974">
        <w:rPr>
          <w:rFonts w:eastAsia="Calibri"/>
          <w:szCs w:val="24"/>
          <w:lang w:val="en-US"/>
        </w:rPr>
        <w:t>4</w:t>
      </w:r>
      <w:r w:rsidRPr="0097755E">
        <w:rPr>
          <w:rFonts w:eastAsia="Calibri"/>
          <w:szCs w:val="24"/>
          <w:lang w:val="en-US"/>
        </w:rPr>
        <w:t>. Other documents according to the procurement documents (if any).</w:t>
      </w:r>
    </w:p>
    <w:p w14:paraId="2319DC8D" w14:textId="3EC59F42" w:rsidR="0097755E" w:rsidRPr="0097755E" w:rsidRDefault="0097755E" w:rsidP="0097755E">
      <w:pPr>
        <w:rPr>
          <w:lang w:val="en-US"/>
        </w:rPr>
      </w:pPr>
      <w:r w:rsidRPr="0097755E">
        <w:rPr>
          <w:rFonts w:eastAsia="Calibri"/>
          <w:lang w:val="en-US"/>
        </w:rPr>
        <w:t xml:space="preserve">        6.8.</w:t>
      </w:r>
      <w:r w:rsidRPr="0097755E">
        <w:rPr>
          <w:rFonts w:eastAsia="Calibri"/>
          <w:b/>
          <w:i/>
          <w:lang w:val="en-US"/>
        </w:rPr>
        <w:t xml:space="preserve"> </w:t>
      </w:r>
      <w:r w:rsidRPr="0097755E">
        <w:rPr>
          <w:rFonts w:eastAsia="Calibri"/>
          <w:bCs/>
          <w:iCs/>
          <w:lang w:val="en-US"/>
        </w:rPr>
        <w:t xml:space="preserve">All prices offered in the tender proposal shall be calculated and laid out as indicated on the proposal template. The final offered price shall include all possible related expenses, taking into consideration the scope of the procurement, the constituent prices of the tender, all the requirements set forth in the technical specification, payment terms for the </w:t>
      </w:r>
      <w:r w:rsidR="00F94E42">
        <w:rPr>
          <w:rFonts w:eastAsia="Calibri"/>
          <w:bCs/>
          <w:iCs/>
          <w:lang w:val="en-US"/>
        </w:rPr>
        <w:t>provided Service</w:t>
      </w:r>
      <w:r w:rsidRPr="0097755E">
        <w:rPr>
          <w:rFonts w:eastAsia="Calibri"/>
          <w:bCs/>
          <w:iCs/>
          <w:lang w:val="en-US"/>
        </w:rPr>
        <w:t xml:space="preserve"> and all other requirements set forth in the Procurement Documents. The price shall include all taxes payable by the </w:t>
      </w:r>
      <w:r w:rsidR="00CA32C6">
        <w:rPr>
          <w:rFonts w:eastAsia="Calibri"/>
          <w:bCs/>
          <w:iCs/>
          <w:lang w:val="en-US"/>
        </w:rPr>
        <w:t>Provider</w:t>
      </w:r>
      <w:r w:rsidRPr="0097755E">
        <w:rPr>
          <w:rFonts w:eastAsia="Calibri"/>
          <w:bCs/>
          <w:iCs/>
          <w:lang w:val="en-US"/>
        </w:rPr>
        <w:t xml:space="preserve"> and all costs incurred by the </w:t>
      </w:r>
      <w:r w:rsidR="00CA32C6">
        <w:rPr>
          <w:rFonts w:eastAsia="Calibri"/>
          <w:bCs/>
          <w:iCs/>
          <w:lang w:val="en-US"/>
        </w:rPr>
        <w:t>Provider</w:t>
      </w:r>
      <w:r w:rsidRPr="0097755E">
        <w:rPr>
          <w:rFonts w:eastAsia="Calibri"/>
          <w:bCs/>
          <w:iCs/>
          <w:lang w:val="en-US"/>
        </w:rPr>
        <w:t xml:space="preserve"> in connection with the performance of the contract, including charges for </w:t>
      </w:r>
      <w:r w:rsidRPr="0097755E">
        <w:rPr>
          <w:rFonts w:eastAsia="Calibri"/>
          <w:b/>
          <w:iCs/>
          <w:lang w:val="en-US"/>
        </w:rPr>
        <w:t>electronic invoicing via</w:t>
      </w:r>
      <w:r w:rsidRPr="0097755E">
        <w:rPr>
          <w:rFonts w:eastAsia="Calibri"/>
          <w:bCs/>
          <w:iCs/>
          <w:lang w:val="en-US"/>
        </w:rPr>
        <w:t xml:space="preserve"> </w:t>
      </w:r>
      <w:r w:rsidR="00F94E42">
        <w:rPr>
          <w:rFonts w:eastAsia="Calibri"/>
          <w:b/>
          <w:iCs/>
          <w:lang w:val="en-US"/>
        </w:rPr>
        <w:t>SABIS</w:t>
      </w:r>
      <w:r w:rsidRPr="0097755E">
        <w:rPr>
          <w:rFonts w:eastAsia="Calibri"/>
          <w:b/>
          <w:iCs/>
          <w:lang w:val="en-US"/>
        </w:rPr>
        <w:t xml:space="preserve"> System.</w:t>
      </w:r>
      <w:r w:rsidRPr="0097755E">
        <w:rPr>
          <w:b/>
          <w:lang w:val="en-US"/>
        </w:rPr>
        <w:t xml:space="preserve"> </w:t>
      </w:r>
    </w:p>
    <w:p w14:paraId="322EC9D7" w14:textId="77777777" w:rsidR="0097755E" w:rsidRPr="0097755E" w:rsidRDefault="0097755E" w:rsidP="0097755E">
      <w:pPr>
        <w:rPr>
          <w:lang w:val="en-US"/>
        </w:rPr>
      </w:pPr>
      <w:r w:rsidRPr="0097755E">
        <w:rPr>
          <w:lang w:val="en-US"/>
        </w:rPr>
        <w:t xml:space="preserve">         6.9. </w:t>
      </w:r>
      <w:r w:rsidRPr="0097755E">
        <w:rPr>
          <w:rFonts w:eastAsia="Calibri"/>
          <w:szCs w:val="24"/>
          <w:lang w:val="en-US"/>
        </w:rPr>
        <w:t>All prices (and their constituent parts) on the tender proposal shall be rounded off to two decimal places after comma</w:t>
      </w:r>
      <w:r w:rsidRPr="0097755E">
        <w:rPr>
          <w:lang w:val="en-US"/>
        </w:rPr>
        <w:t>.</w:t>
      </w:r>
    </w:p>
    <w:p w14:paraId="480214EC" w14:textId="3153922C" w:rsidR="0097755E" w:rsidRPr="0097755E" w:rsidRDefault="0097755E" w:rsidP="0097755E">
      <w:pPr>
        <w:rPr>
          <w:lang w:val="en-US"/>
        </w:rPr>
      </w:pPr>
      <w:r w:rsidRPr="0097755E">
        <w:rPr>
          <w:lang w:val="en-US"/>
        </w:rPr>
        <w:t xml:space="preserve">         6.10. </w:t>
      </w:r>
      <w:r w:rsidRPr="0097755E">
        <w:rPr>
          <w:szCs w:val="24"/>
          <w:lang w:val="en-US"/>
        </w:rPr>
        <w:t xml:space="preserve">All tender proposals shall be submitted to the Contracting Entity </w:t>
      </w:r>
      <w:r w:rsidRPr="00FF7D26">
        <w:rPr>
          <w:b/>
          <w:bCs/>
          <w:szCs w:val="24"/>
          <w:lang w:val="en-US"/>
        </w:rPr>
        <w:t xml:space="preserve">by 9:00 AM on </w:t>
      </w:r>
      <w:r w:rsidR="00F94E42" w:rsidRPr="00FF7D26">
        <w:rPr>
          <w:b/>
          <w:bCs/>
          <w:szCs w:val="24"/>
          <w:lang w:val="en-US"/>
        </w:rPr>
        <w:t>Ju</w:t>
      </w:r>
      <w:r w:rsidR="002919E0" w:rsidRPr="00FF7D26">
        <w:rPr>
          <w:b/>
          <w:bCs/>
          <w:szCs w:val="24"/>
          <w:lang w:val="en-US"/>
        </w:rPr>
        <w:t>ly</w:t>
      </w:r>
      <w:r w:rsidRPr="00FF7D26">
        <w:rPr>
          <w:b/>
          <w:bCs/>
          <w:szCs w:val="24"/>
          <w:lang w:val="en-US"/>
        </w:rPr>
        <w:t xml:space="preserve"> </w:t>
      </w:r>
      <w:r w:rsidR="00FF7D26" w:rsidRPr="00FF7D26">
        <w:rPr>
          <w:b/>
          <w:bCs/>
          <w:szCs w:val="24"/>
          <w:lang w:val="en-US"/>
        </w:rPr>
        <w:t>4</w:t>
      </w:r>
      <w:r w:rsidRPr="00FF7D26">
        <w:rPr>
          <w:b/>
          <w:bCs/>
          <w:szCs w:val="24"/>
          <w:lang w:val="en-US"/>
        </w:rPr>
        <w:t>, 202</w:t>
      </w:r>
      <w:r w:rsidR="00F94E42" w:rsidRPr="00FF7D26">
        <w:rPr>
          <w:b/>
          <w:bCs/>
          <w:szCs w:val="24"/>
          <w:lang w:val="en-US"/>
        </w:rPr>
        <w:t>5</w:t>
      </w:r>
      <w:r w:rsidRPr="00FF7D26">
        <w:rPr>
          <w:b/>
          <w:lang w:val="en-US"/>
        </w:rPr>
        <w:t xml:space="preserve"> </w:t>
      </w:r>
      <w:r w:rsidRPr="00FF7D26">
        <w:rPr>
          <w:b/>
          <w:bCs/>
          <w:lang w:val="en-US"/>
        </w:rPr>
        <w:t>Lithuania tim</w:t>
      </w:r>
      <w:r w:rsidRPr="00112367">
        <w:rPr>
          <w:b/>
          <w:bCs/>
          <w:lang w:val="en-US"/>
        </w:rPr>
        <w:t>e</w:t>
      </w:r>
      <w:r w:rsidRPr="00112367">
        <w:rPr>
          <w:lang w:val="en-US"/>
        </w:rPr>
        <w:t>.</w:t>
      </w:r>
      <w:r w:rsidRPr="0097755E">
        <w:rPr>
          <w:lang w:val="en-US"/>
        </w:rPr>
        <w:t xml:space="preserve"> Any tenders received past this time will not be accepted and will not participate in the tender evaluation procedure. The Contracting Entity shall not be held liable for any unforeseen circumstances, such as power outage, problems with the CPP IS system or alike, resulting in belated tender submission.</w:t>
      </w:r>
    </w:p>
    <w:p w14:paraId="12E97715" w14:textId="77777777" w:rsidR="0097755E" w:rsidRPr="0097755E" w:rsidRDefault="0097755E" w:rsidP="0097755E">
      <w:pPr>
        <w:rPr>
          <w:lang w:val="en-US"/>
        </w:rPr>
      </w:pPr>
      <w:r w:rsidRPr="0097755E">
        <w:rPr>
          <w:lang w:val="en-US"/>
        </w:rPr>
        <w:t xml:space="preserve">         6.11. Tender Participants have the right to modify or withdraw their submitted proposals by doing this via the CPP IS system before the tender submission deadline, without losing the tender security (bond) if such was provided.</w:t>
      </w:r>
    </w:p>
    <w:p w14:paraId="218A0FD6" w14:textId="77777777" w:rsidR="0097755E" w:rsidRPr="0097755E" w:rsidRDefault="0097755E" w:rsidP="0097755E">
      <w:pPr>
        <w:rPr>
          <w:lang w:val="en-US"/>
        </w:rPr>
      </w:pPr>
      <w:r w:rsidRPr="0097755E">
        <w:rPr>
          <w:lang w:val="en-US"/>
        </w:rPr>
        <w:t xml:space="preserve">         6.12. The tender proposal must be valid for at least 90 calendar days. If no period of validity is specified in the proposal, it shall be deemed to be valid for the period specified in the Specification.</w:t>
      </w:r>
    </w:p>
    <w:p w14:paraId="488E48DA" w14:textId="77777777" w:rsidR="0097755E" w:rsidRPr="0097755E" w:rsidRDefault="0097755E" w:rsidP="0097755E">
      <w:pPr>
        <w:rPr>
          <w:lang w:val="en-US"/>
        </w:rPr>
      </w:pPr>
      <w:r w:rsidRPr="0097755E">
        <w:rPr>
          <w:lang w:val="en-US"/>
        </w:rPr>
        <w:t xml:space="preserve">         6.13. Tender Participants shall indicate which part of the information contained in the proposals they are submitting, if any, is confidential, as defined </w:t>
      </w:r>
      <w:r w:rsidRPr="0097755E">
        <w:rPr>
          <w:szCs w:val="24"/>
          <w:lang w:val="en-US"/>
        </w:rPr>
        <w:t>in Article 32(2) of the Procurement Law</w:t>
      </w:r>
      <w:r w:rsidRPr="0097755E">
        <w:rPr>
          <w:lang w:val="en-US"/>
        </w:rPr>
        <w:t>.</w:t>
      </w:r>
    </w:p>
    <w:p w14:paraId="158DB14F" w14:textId="77777777" w:rsidR="0097755E" w:rsidRPr="0097755E" w:rsidRDefault="0097755E" w:rsidP="0097755E">
      <w:pPr>
        <w:rPr>
          <w:rFonts w:eastAsia="Calibri"/>
          <w:lang w:val="en-US"/>
        </w:rPr>
      </w:pPr>
      <w:r w:rsidRPr="0097755E">
        <w:rPr>
          <w:rFonts w:eastAsia="Calibri"/>
          <w:lang w:val="en-US"/>
        </w:rPr>
        <w:t xml:space="preserve">         6.14. If Tender Participants intend to subcontract (quasi-subcontract) any business entities, </w:t>
      </w:r>
      <w:r w:rsidRPr="0097755E">
        <w:rPr>
          <w:szCs w:val="24"/>
          <w:lang w:val="en-US"/>
        </w:rPr>
        <w:t>all such subcontractors (</w:t>
      </w:r>
      <w:r w:rsidRPr="0097755E">
        <w:rPr>
          <w:rFonts w:eastAsia="Calibri"/>
          <w:lang w:val="en-US"/>
        </w:rPr>
        <w:t>quasi-subcontractors)</w:t>
      </w:r>
      <w:r w:rsidRPr="0097755E">
        <w:rPr>
          <w:szCs w:val="24"/>
          <w:lang w:val="en-US"/>
        </w:rPr>
        <w:t xml:space="preserve"> shall be named in the tender proposal, provided that they are known on the day of submission of the tender proposal</w:t>
      </w:r>
      <w:r w:rsidRPr="0097755E">
        <w:rPr>
          <w:rFonts w:eastAsia="Calibri"/>
          <w:lang w:val="en-US"/>
        </w:rPr>
        <w:t>.</w:t>
      </w:r>
    </w:p>
    <w:p w14:paraId="77D7DC91" w14:textId="77777777" w:rsidR="0097755E" w:rsidRPr="0097755E" w:rsidRDefault="0097755E" w:rsidP="0097755E">
      <w:pPr>
        <w:rPr>
          <w:rFonts w:eastAsia="Calibri"/>
          <w:lang w:val="en-US"/>
        </w:rPr>
      </w:pPr>
    </w:p>
    <w:p w14:paraId="2F35A1B6" w14:textId="77777777" w:rsidR="0097755E" w:rsidRPr="0097755E" w:rsidRDefault="0097755E" w:rsidP="0097755E">
      <w:pPr>
        <w:widowControl w:val="0"/>
        <w:spacing w:before="240"/>
        <w:jc w:val="center"/>
        <w:rPr>
          <w:rFonts w:ascii="Times New Roman Bold" w:hAnsi="Times New Roman Bold"/>
          <w:b/>
          <w:caps/>
          <w:lang w:val="en-US"/>
        </w:rPr>
      </w:pPr>
      <w:r w:rsidRPr="0097755E">
        <w:rPr>
          <w:rFonts w:eastAsia="Calibri"/>
          <w:b/>
          <w:szCs w:val="22"/>
          <w:lang w:val="en-US" w:eastAsia="lt-LT"/>
        </w:rPr>
        <w:t xml:space="preserve">7. </w:t>
      </w:r>
      <w:bookmarkStart w:id="4" w:name="_Toc34919304"/>
      <w:r w:rsidRPr="0097755E">
        <w:rPr>
          <w:b/>
          <w:lang w:val="en-US"/>
        </w:rPr>
        <w:t>ENCRYPTED (</w:t>
      </w:r>
      <w:r w:rsidRPr="0097755E">
        <w:rPr>
          <w:rFonts w:ascii="Times New Roman Bold" w:hAnsi="Times New Roman Bold"/>
          <w:b/>
          <w:caps/>
          <w:lang w:val="en-US"/>
        </w:rPr>
        <w:t>Password-Protected) Proposals</w:t>
      </w:r>
      <w:bookmarkEnd w:id="4"/>
    </w:p>
    <w:p w14:paraId="3789807C" w14:textId="77777777" w:rsidR="0097755E" w:rsidRPr="0097755E" w:rsidRDefault="0097755E" w:rsidP="0097755E">
      <w:pPr>
        <w:widowControl w:val="0"/>
        <w:ind w:firstLine="360"/>
        <w:rPr>
          <w:rFonts w:eastAsia="Calibri"/>
          <w:sz w:val="22"/>
          <w:szCs w:val="22"/>
          <w:lang w:val="en-US" w:eastAsia="lt-LT"/>
        </w:rPr>
      </w:pPr>
    </w:p>
    <w:p w14:paraId="3112E5D2" w14:textId="77777777" w:rsidR="0097755E" w:rsidRPr="0097755E" w:rsidRDefault="0097755E" w:rsidP="0097755E">
      <w:pPr>
        <w:widowControl w:val="0"/>
        <w:ind w:firstLine="360"/>
        <w:rPr>
          <w:rFonts w:eastAsia="Calibri"/>
          <w:sz w:val="22"/>
          <w:szCs w:val="22"/>
          <w:lang w:val="en-US" w:eastAsia="lt-LT"/>
        </w:rPr>
      </w:pPr>
      <w:r w:rsidRPr="0097755E">
        <w:rPr>
          <w:rFonts w:eastAsia="Calibri"/>
          <w:sz w:val="22"/>
          <w:szCs w:val="22"/>
          <w:lang w:val="en-US" w:eastAsia="lt-LT"/>
        </w:rPr>
        <w:t xml:space="preserve">7.1. </w:t>
      </w:r>
      <w:r w:rsidRPr="0097755E">
        <w:rPr>
          <w:szCs w:val="24"/>
          <w:lang w:val="en-US"/>
        </w:rPr>
        <w:t>Tender Participants may encrypt, i.e. password-protect the data in their proposals before submitting them via the CPP IS system</w:t>
      </w:r>
      <w:r w:rsidRPr="0097755E">
        <w:rPr>
          <w:rFonts w:eastAsia="Calibri"/>
          <w:szCs w:val="22"/>
          <w:lang w:val="en-US" w:eastAsia="lt-LT"/>
        </w:rPr>
        <w:t>.</w:t>
      </w:r>
    </w:p>
    <w:p w14:paraId="3D077BC9" w14:textId="77777777" w:rsidR="0097755E" w:rsidRPr="0097755E" w:rsidRDefault="0097755E" w:rsidP="0097755E">
      <w:pPr>
        <w:rPr>
          <w:lang w:val="en-US"/>
        </w:rPr>
      </w:pPr>
      <w:r w:rsidRPr="0097755E">
        <w:rPr>
          <w:lang w:val="en-US"/>
        </w:rPr>
        <w:t xml:space="preserve">      7.2. </w:t>
      </w:r>
      <w:r w:rsidRPr="0097755E">
        <w:rPr>
          <w:szCs w:val="24"/>
          <w:lang w:val="en-US"/>
        </w:rPr>
        <w:t>Tender Participants wishing to submit password-protected proposals shall follow this procedure</w:t>
      </w:r>
      <w:r w:rsidRPr="0097755E">
        <w:rPr>
          <w:lang w:val="en-US"/>
        </w:rPr>
        <w:t>:</w:t>
      </w:r>
    </w:p>
    <w:p w14:paraId="6324A755" w14:textId="77777777" w:rsidR="0097755E" w:rsidRPr="0097755E" w:rsidRDefault="0097755E" w:rsidP="0097755E">
      <w:pPr>
        <w:rPr>
          <w:szCs w:val="24"/>
          <w:lang w:val="en-US"/>
        </w:rPr>
      </w:pPr>
      <w:r w:rsidRPr="0097755E">
        <w:rPr>
          <w:lang w:val="en-US"/>
        </w:rPr>
        <w:t xml:space="preserve">      7.2.1. </w:t>
      </w:r>
      <w:r w:rsidRPr="0097755E">
        <w:rPr>
          <w:szCs w:val="24"/>
          <w:lang w:val="en-US"/>
        </w:rPr>
        <w:t xml:space="preserve">Submit their password-protected proposals </w:t>
      </w:r>
      <w:r w:rsidRPr="0097755E">
        <w:rPr>
          <w:szCs w:val="24"/>
          <w:u w:val="single"/>
          <w:lang w:val="en-US"/>
        </w:rPr>
        <w:t>by the tender submission deadline</w:t>
      </w:r>
      <w:r w:rsidRPr="0097755E">
        <w:rPr>
          <w:szCs w:val="24"/>
          <w:lang w:val="en-US"/>
        </w:rPr>
        <w:t xml:space="preserve"> via the CPP IS system (it is possible to password-protect the entire tender (all the attached documents) or just the proposal document containing the offered prices)</w:t>
      </w:r>
      <w:r w:rsidRPr="0097755E">
        <w:rPr>
          <w:iCs/>
          <w:lang w:val="en-US"/>
        </w:rPr>
        <w:t>;</w:t>
      </w:r>
    </w:p>
    <w:p w14:paraId="10345581" w14:textId="77777777" w:rsidR="0097755E" w:rsidRPr="0097755E" w:rsidRDefault="0097755E" w:rsidP="0097755E">
      <w:pPr>
        <w:rPr>
          <w:lang w:val="en-US"/>
        </w:rPr>
      </w:pPr>
      <w:r w:rsidRPr="0097755E">
        <w:rPr>
          <w:lang w:val="en-US"/>
        </w:rPr>
        <w:t xml:space="preserve">      7.2.2. </w:t>
      </w:r>
      <w:r w:rsidRPr="0097755E">
        <w:rPr>
          <w:szCs w:val="24"/>
          <w:lang w:val="en-US"/>
        </w:rPr>
        <w:t xml:space="preserve">Provide the Contracting Entity with the password (hereinafter referred to as the Password) for opening the files containing encrypted data </w:t>
      </w:r>
      <w:r w:rsidRPr="0097755E">
        <w:rPr>
          <w:szCs w:val="24"/>
          <w:u w:val="single"/>
          <w:lang w:val="en-US"/>
        </w:rPr>
        <w:t xml:space="preserve">via the CPP IS system </w:t>
      </w:r>
      <w:r w:rsidRPr="0097755E">
        <w:rPr>
          <w:szCs w:val="24"/>
          <w:lang w:val="en-US"/>
        </w:rPr>
        <w:t xml:space="preserve">at the end of the tender submission term, </w:t>
      </w:r>
      <w:r w:rsidRPr="0097755E">
        <w:rPr>
          <w:szCs w:val="24"/>
          <w:u w:val="single"/>
          <w:lang w:val="en-US"/>
        </w:rPr>
        <w:t>before the beginning of the meeting for opening and evaluation of the tenders</w:t>
      </w:r>
      <w:r w:rsidRPr="0097755E">
        <w:rPr>
          <w:lang w:val="en-US"/>
        </w:rPr>
        <w:t xml:space="preserve">. </w:t>
      </w:r>
    </w:p>
    <w:p w14:paraId="42C0DF60" w14:textId="77777777" w:rsidR="0097755E" w:rsidRPr="0097755E" w:rsidRDefault="0097755E" w:rsidP="0097755E">
      <w:pPr>
        <w:rPr>
          <w:szCs w:val="24"/>
          <w:lang w:val="en-US"/>
        </w:rPr>
      </w:pPr>
      <w:r w:rsidRPr="0097755E">
        <w:rPr>
          <w:lang w:val="en-US"/>
        </w:rPr>
        <w:t xml:space="preserve">      7.3. </w:t>
      </w:r>
      <w:r w:rsidRPr="0097755E">
        <w:rPr>
          <w:szCs w:val="24"/>
          <w:lang w:val="en-US"/>
        </w:rPr>
        <w:t>If a Tender Participant submits a password-protected proposal but fails to provide the Contracting Entity with the Password for opening the files containing encrypted information (due to own fault) before the beginning of the meeting for opening and evaluation of the tenders, or provides an incorrect Password that does not grant access to the said information (i.e. does not allow to open the attached password-protected files), then</w:t>
      </w:r>
      <w:r w:rsidRPr="0097755E">
        <w:rPr>
          <w:lang w:val="en-US"/>
        </w:rPr>
        <w:t>:</w:t>
      </w:r>
    </w:p>
    <w:p w14:paraId="7C463179" w14:textId="77777777" w:rsidR="0097755E" w:rsidRPr="0097755E" w:rsidRDefault="0097755E" w:rsidP="0097755E">
      <w:pPr>
        <w:rPr>
          <w:lang w:val="en-US"/>
        </w:rPr>
      </w:pPr>
      <w:r w:rsidRPr="0097755E">
        <w:rPr>
          <w:lang w:val="en-US"/>
        </w:rPr>
        <w:t xml:space="preserve">      7.3.1. </w:t>
      </w:r>
      <w:r w:rsidRPr="0097755E">
        <w:rPr>
          <w:szCs w:val="24"/>
          <w:lang w:val="en-US"/>
        </w:rPr>
        <w:t>If the entire tender, i.e. all the documents submitted via the CPP IS system are password-protected, such a tender will be eliminated from the evaluation process as unsubmitted</w:t>
      </w:r>
      <w:r w:rsidRPr="0097755E">
        <w:rPr>
          <w:lang w:val="en-US"/>
        </w:rPr>
        <w:t>;</w:t>
      </w:r>
    </w:p>
    <w:p w14:paraId="2BE4F9BA" w14:textId="77777777" w:rsidR="0097755E" w:rsidRPr="0097755E" w:rsidRDefault="0097755E" w:rsidP="0097755E">
      <w:pPr>
        <w:rPr>
          <w:lang w:val="en-US"/>
        </w:rPr>
      </w:pPr>
      <w:r w:rsidRPr="0097755E">
        <w:rPr>
          <w:lang w:val="en-US"/>
        </w:rPr>
        <w:lastRenderedPageBreak/>
        <w:t xml:space="preserve">      7.3.2. </w:t>
      </w:r>
      <w:r w:rsidRPr="0097755E">
        <w:rPr>
          <w:szCs w:val="24"/>
          <w:lang w:val="en-US"/>
        </w:rPr>
        <w:t>If case only one of the submitted documents is password-protected, i.e. the proposal containing the offered prices, such a tender will be rejected for failure to comply with the requirements of the Procurement Specification (failure to submit a price offer)</w:t>
      </w:r>
      <w:r w:rsidRPr="0097755E">
        <w:rPr>
          <w:lang w:val="en-US"/>
        </w:rPr>
        <w:t>.</w:t>
      </w:r>
    </w:p>
    <w:p w14:paraId="0A4D1756" w14:textId="77777777" w:rsidR="0097755E" w:rsidRPr="0097755E" w:rsidRDefault="0097755E" w:rsidP="0097755E">
      <w:pPr>
        <w:rPr>
          <w:b/>
          <w:lang w:val="en-US"/>
        </w:rPr>
      </w:pPr>
      <w:r w:rsidRPr="0097755E">
        <w:rPr>
          <w:lang w:val="en-US"/>
        </w:rPr>
        <w:t xml:space="preserve">      7.4. </w:t>
      </w:r>
      <w:r w:rsidRPr="0097755E">
        <w:rPr>
          <w:szCs w:val="24"/>
          <w:lang w:val="en-US"/>
        </w:rPr>
        <w:t xml:space="preserve">In case of experiencing any technical problems with the CPP IS system, the Tender Participant has the right to provide the Contracting Entity with the Password either by sending an email message at the official email address of the Contracting Entity, or in any other written form. In such a case, the Tender Participant shall be responsible for following up and making sure that the Contracting Entity has received the Password (by calling the Contracting Entity’s office or in any other way).  Tender Participants may submit their Passwords by any other means than the CPP IS system only in case of officially recorded technical problems (technical problem shall be understood as a CPP IS system breakdown resulting in failure to connect to the system at </w:t>
      </w:r>
      <w:hyperlink r:id="rId12" w:history="1">
        <w:r w:rsidRPr="0097755E">
          <w:rPr>
            <w:rStyle w:val="Hipersaitas"/>
            <w:szCs w:val="24"/>
            <w:lang w:val="en-US"/>
          </w:rPr>
          <w:t>https://pirkimai.eviesiejipirkimai.lt</w:t>
        </w:r>
      </w:hyperlink>
      <w:r w:rsidRPr="0097755E">
        <w:rPr>
          <w:szCs w:val="24"/>
          <w:lang w:val="en-US"/>
        </w:rPr>
        <w:t xml:space="preserve"> for at least 10 registered users from different enterprises and/or impossibility to use its main functions, such as sending messages, opening the proposal submission window and other basic functions, and the information about the breakdown has been announced on the website of the Public Procurement Office at  </w:t>
      </w:r>
      <w:hyperlink r:id="rId13" w:history="1">
        <w:r w:rsidRPr="0097755E">
          <w:rPr>
            <w:rStyle w:val="Hipersaitas"/>
            <w:szCs w:val="24"/>
            <w:lang w:val="en-US"/>
          </w:rPr>
          <w:t>http://vpt.lrv.lt</w:t>
        </w:r>
      </w:hyperlink>
      <w:r w:rsidRPr="0097755E">
        <w:rPr>
          <w:szCs w:val="24"/>
          <w:lang w:val="en-US"/>
        </w:rPr>
        <w:t>)</w:t>
      </w:r>
      <w:r w:rsidRPr="0097755E">
        <w:rPr>
          <w:lang w:val="en-US"/>
        </w:rPr>
        <w:t>.</w:t>
      </w:r>
    </w:p>
    <w:p w14:paraId="4A84EBA6" w14:textId="77777777" w:rsidR="0097755E" w:rsidRPr="0097755E" w:rsidRDefault="0097755E" w:rsidP="0097755E">
      <w:pPr>
        <w:contextualSpacing/>
        <w:rPr>
          <w:szCs w:val="24"/>
          <w:lang w:val="en-US"/>
        </w:rPr>
      </w:pPr>
    </w:p>
    <w:p w14:paraId="68511BFD" w14:textId="77777777" w:rsidR="0097755E" w:rsidRPr="0097755E" w:rsidRDefault="0097755E" w:rsidP="0097755E">
      <w:pPr>
        <w:contextualSpacing/>
        <w:jc w:val="center"/>
        <w:rPr>
          <w:b/>
          <w:szCs w:val="24"/>
          <w:lang w:val="en-US"/>
        </w:rPr>
      </w:pPr>
      <w:bookmarkStart w:id="5" w:name="_Toc32329941"/>
      <w:bookmarkStart w:id="6" w:name="_Toc34919305"/>
      <w:r w:rsidRPr="0097755E">
        <w:rPr>
          <w:rFonts w:ascii="Times New Roman Bold" w:hAnsi="Times New Roman Bold"/>
          <w:b/>
          <w:caps/>
          <w:lang w:val="en-US"/>
        </w:rPr>
        <w:t>8. Procedure for Tender Participants to Request Clarification of the Procurement Documents AND Find Out if the Contracting Entity Intends to Meet WITH the Tender ParticipantS for this Reason. Procedure for the Contracting Entity to Clarify (Modify) the Procurement Documents by Own Initiative</w:t>
      </w:r>
      <w:bookmarkEnd w:id="5"/>
      <w:bookmarkEnd w:id="6"/>
    </w:p>
    <w:p w14:paraId="772053C4" w14:textId="77777777" w:rsidR="0097755E" w:rsidRPr="0097755E" w:rsidRDefault="0097755E" w:rsidP="007B79BA">
      <w:pPr>
        <w:contextualSpacing/>
        <w:outlineLvl w:val="2"/>
        <w:rPr>
          <w:bCs/>
          <w:vanish/>
          <w:szCs w:val="24"/>
          <w:lang w:val="en-US"/>
        </w:rPr>
      </w:pPr>
    </w:p>
    <w:p w14:paraId="01449234" w14:textId="77777777" w:rsidR="0097755E" w:rsidRPr="0097755E" w:rsidRDefault="0097755E" w:rsidP="0097755E">
      <w:pPr>
        <w:ind w:firstLine="567"/>
        <w:rPr>
          <w:lang w:val="en-US"/>
        </w:rPr>
      </w:pPr>
      <w:r w:rsidRPr="0097755E">
        <w:rPr>
          <w:lang w:val="en-US"/>
        </w:rPr>
        <w:t>8.1. Tender Participants may submit their requests for clarification of the Public Procurement documents or requests for additional information no later than 2 business days before the tender submission deadline.</w:t>
      </w:r>
    </w:p>
    <w:p w14:paraId="3EA985AB" w14:textId="77777777" w:rsidR="0097755E" w:rsidRPr="0097755E" w:rsidRDefault="0097755E" w:rsidP="0097755E">
      <w:pPr>
        <w:ind w:firstLine="567"/>
        <w:rPr>
          <w:lang w:val="en-US"/>
        </w:rPr>
      </w:pPr>
      <w:r w:rsidRPr="0097755E">
        <w:rPr>
          <w:lang w:val="en-US"/>
        </w:rPr>
        <w:t>8.2. All timely submitted requests for clarification and/or additional information shall be responded to by the Contracting Entity no later than 1 business day before the tender submission deadline.</w:t>
      </w:r>
    </w:p>
    <w:p w14:paraId="0879D47B" w14:textId="77777777" w:rsidR="0097755E" w:rsidRPr="0097755E" w:rsidRDefault="0097755E" w:rsidP="0097755E">
      <w:pPr>
        <w:ind w:firstLine="567"/>
        <w:rPr>
          <w:rFonts w:eastAsia="Calibri"/>
          <w:lang w:val="en-US"/>
        </w:rPr>
      </w:pPr>
      <w:r w:rsidRPr="0097755E">
        <w:rPr>
          <w:lang w:val="en-US"/>
        </w:rPr>
        <w:t>8.3. The Contracting Entity has the right to clarify (modify) the Public Procurement documents by own initiative by announcing any such clarifications (modifications) to all Tender Participants no later than 1 business day before the tender submission deadline.</w:t>
      </w:r>
    </w:p>
    <w:p w14:paraId="44D92C14" w14:textId="2C3D2D99" w:rsidR="0097755E" w:rsidRPr="0097755E" w:rsidRDefault="0097755E" w:rsidP="0097755E">
      <w:pPr>
        <w:ind w:firstLine="567"/>
        <w:rPr>
          <w:lang w:val="en-US"/>
        </w:rPr>
      </w:pPr>
      <w:r w:rsidRPr="0097755E">
        <w:rPr>
          <w:rFonts w:eastAsia="Calibri"/>
          <w:lang w:val="en-US"/>
        </w:rPr>
        <w:t xml:space="preserve">8.4. If for any reason the Contracting Entity cannot provide the clarifications (modifications) to the Tender documents in accordance with the terms specified in Articles 8.1 and 8.2. hereof, the Contracting Entity shall </w:t>
      </w:r>
      <w:r w:rsidRPr="0097755E">
        <w:rPr>
          <w:szCs w:val="24"/>
          <w:lang w:val="en-US"/>
        </w:rPr>
        <w:t>postpone the deadline for tender submission for a reasonable period of time, so that all Tender Participants were able to get familiar with the new information and take the respective changes into consideration when preparing their proposals</w:t>
      </w:r>
      <w:r w:rsidRPr="0097755E">
        <w:rPr>
          <w:rFonts w:eastAsia="Calibri"/>
          <w:lang w:val="en-US"/>
        </w:rPr>
        <w:t>.</w:t>
      </w:r>
    </w:p>
    <w:p w14:paraId="5A7CDA59" w14:textId="77777777" w:rsidR="0097755E" w:rsidRPr="0097755E" w:rsidRDefault="0097755E" w:rsidP="0097755E">
      <w:pPr>
        <w:ind w:firstLine="567"/>
        <w:outlineLvl w:val="2"/>
        <w:rPr>
          <w:szCs w:val="24"/>
          <w:lang w:val="en-US"/>
        </w:rPr>
      </w:pPr>
      <w:r w:rsidRPr="0097755E">
        <w:rPr>
          <w:rFonts w:eastAsia="Calibri"/>
          <w:bCs/>
          <w:szCs w:val="24"/>
          <w:lang w:val="en-US"/>
        </w:rPr>
        <w:t>8.5. When postponing the tender submission deadline on the grounds stipulated in Article 8.4 hereof, the Contracting Entity shall consider the importance and overall influence of the changes (modifications) made to the Public Procurement documents. In case clarification or additional information was not requested on time, or in case it does not have major influence on the preparation of tenders, the Contracting Entity has the right to stay with the initially set tender submission deadline.</w:t>
      </w:r>
    </w:p>
    <w:p w14:paraId="02D1756F" w14:textId="77777777" w:rsidR="0097755E" w:rsidRPr="0097755E" w:rsidRDefault="0097755E" w:rsidP="0097755E">
      <w:pPr>
        <w:ind w:firstLine="567"/>
        <w:rPr>
          <w:lang w:val="en-US"/>
        </w:rPr>
      </w:pPr>
      <w:r w:rsidRPr="0097755E">
        <w:rPr>
          <w:lang w:val="en-US"/>
        </w:rPr>
        <w:t>8.6. The Contracting Entity does not intend to meet with the Tender Participants regarding any Public Procurement documents.</w:t>
      </w:r>
    </w:p>
    <w:p w14:paraId="3892C26C" w14:textId="77777777" w:rsidR="0097755E" w:rsidRPr="0097755E" w:rsidRDefault="0097755E" w:rsidP="0097755E">
      <w:pPr>
        <w:ind w:firstLine="567"/>
        <w:contextualSpacing/>
        <w:jc w:val="left"/>
        <w:rPr>
          <w:szCs w:val="24"/>
          <w:lang w:val="en-US"/>
        </w:rPr>
      </w:pPr>
    </w:p>
    <w:p w14:paraId="71396B52" w14:textId="77777777" w:rsidR="0097755E" w:rsidRPr="0097755E" w:rsidRDefault="0097755E" w:rsidP="0097755E">
      <w:pPr>
        <w:contextualSpacing/>
        <w:jc w:val="center"/>
        <w:rPr>
          <w:b/>
          <w:szCs w:val="24"/>
          <w:lang w:val="en-US"/>
        </w:rPr>
      </w:pPr>
      <w:bookmarkStart w:id="7" w:name="_Toc34919308"/>
      <w:r w:rsidRPr="0097755E">
        <w:rPr>
          <w:rFonts w:ascii="Times New Roman Bold" w:hAnsi="Times New Roman Bold"/>
          <w:b/>
          <w:caps/>
          <w:szCs w:val="24"/>
          <w:lang w:val="en-US"/>
        </w:rPr>
        <w:t>9. Opening and Evaluation of the TENDER Proposals</w:t>
      </w:r>
      <w:bookmarkEnd w:id="7"/>
    </w:p>
    <w:p w14:paraId="522FD6BF" w14:textId="77777777" w:rsidR="0097755E" w:rsidRPr="0097755E" w:rsidRDefault="0097755E" w:rsidP="007B79BA">
      <w:pPr>
        <w:contextualSpacing/>
        <w:rPr>
          <w:vanish/>
          <w:szCs w:val="24"/>
          <w:lang w:val="en-US"/>
        </w:rPr>
      </w:pPr>
    </w:p>
    <w:p w14:paraId="104E4F22" w14:textId="77777777" w:rsidR="0097755E" w:rsidRPr="0097755E" w:rsidRDefault="0097755E" w:rsidP="0097755E">
      <w:pPr>
        <w:rPr>
          <w:lang w:val="en-US"/>
        </w:rPr>
      </w:pPr>
      <w:r w:rsidRPr="0097755E">
        <w:rPr>
          <w:lang w:val="en-US"/>
        </w:rPr>
        <w:t xml:space="preserve">        9.1. Tender Participants shall not take part in the meetings during which the electronically submitted tenders will be opened, assessed and compared.  </w:t>
      </w:r>
    </w:p>
    <w:p w14:paraId="273E747D" w14:textId="0BD8C689" w:rsidR="0097755E" w:rsidRPr="0097755E" w:rsidRDefault="0097755E" w:rsidP="0097755E">
      <w:pPr>
        <w:rPr>
          <w:bCs/>
          <w:lang w:val="en-US"/>
        </w:rPr>
      </w:pPr>
      <w:r w:rsidRPr="0097755E">
        <w:rPr>
          <w:lang w:val="en-US"/>
        </w:rPr>
        <w:t xml:space="preserve">        9.2. The opening of the received tender proposals will take place </w:t>
      </w:r>
      <w:r w:rsidRPr="00FF7D26">
        <w:rPr>
          <w:b/>
          <w:bCs/>
          <w:lang w:val="en-US"/>
        </w:rPr>
        <w:t>at 9:</w:t>
      </w:r>
      <w:r w:rsidR="00DA741E">
        <w:rPr>
          <w:b/>
          <w:bCs/>
          <w:lang w:val="en-US"/>
        </w:rPr>
        <w:t>30</w:t>
      </w:r>
      <w:r w:rsidRPr="00FF7D26">
        <w:rPr>
          <w:b/>
          <w:bCs/>
          <w:lang w:val="en-US"/>
        </w:rPr>
        <w:t xml:space="preserve"> AM on </w:t>
      </w:r>
      <w:r w:rsidR="00F94E42" w:rsidRPr="00FF7D26">
        <w:rPr>
          <w:b/>
          <w:bCs/>
          <w:lang w:val="en-US"/>
        </w:rPr>
        <w:t>Ju</w:t>
      </w:r>
      <w:r w:rsidR="002919E0" w:rsidRPr="00FF7D26">
        <w:rPr>
          <w:b/>
          <w:bCs/>
          <w:lang w:val="en-US"/>
        </w:rPr>
        <w:t>ly</w:t>
      </w:r>
      <w:r w:rsidRPr="00FF7D26">
        <w:rPr>
          <w:b/>
          <w:bCs/>
          <w:lang w:val="en-US"/>
        </w:rPr>
        <w:t xml:space="preserve"> </w:t>
      </w:r>
      <w:r w:rsidR="00FF7D26" w:rsidRPr="00FF7D26">
        <w:rPr>
          <w:b/>
          <w:bCs/>
          <w:lang w:val="en-US"/>
        </w:rPr>
        <w:t>4</w:t>
      </w:r>
      <w:r w:rsidRPr="00FF7D26">
        <w:rPr>
          <w:b/>
          <w:bCs/>
          <w:lang w:val="en-US"/>
        </w:rPr>
        <w:t>, 202</w:t>
      </w:r>
      <w:r w:rsidR="002919E0" w:rsidRPr="00FF7D26">
        <w:rPr>
          <w:b/>
          <w:bCs/>
          <w:lang w:val="en-US"/>
        </w:rPr>
        <w:t>5</w:t>
      </w:r>
      <w:r w:rsidRPr="0097755E">
        <w:rPr>
          <w:b/>
          <w:bCs/>
          <w:lang w:val="en-US"/>
        </w:rPr>
        <w:t xml:space="preserve"> (Lithuania time)</w:t>
      </w:r>
      <w:r w:rsidRPr="0097755E">
        <w:rPr>
          <w:lang w:val="en-US"/>
        </w:rPr>
        <w:t xml:space="preserve"> at the headquarters of Kauno </w:t>
      </w:r>
      <w:proofErr w:type="spellStart"/>
      <w:r w:rsidRPr="0097755E">
        <w:rPr>
          <w:lang w:val="en-US"/>
        </w:rPr>
        <w:t>Autobusai</w:t>
      </w:r>
      <w:proofErr w:type="spellEnd"/>
      <w:r w:rsidRPr="0097755E">
        <w:rPr>
          <w:lang w:val="en-US"/>
        </w:rPr>
        <w:t xml:space="preserve"> UAB (Room 203, </w:t>
      </w:r>
      <w:proofErr w:type="spellStart"/>
      <w:r w:rsidRPr="0097755E">
        <w:rPr>
          <w:lang w:val="en-US"/>
        </w:rPr>
        <w:t>Raudondvario</w:t>
      </w:r>
      <w:proofErr w:type="spellEnd"/>
      <w:r w:rsidRPr="0097755E">
        <w:rPr>
          <w:lang w:val="en-US"/>
        </w:rPr>
        <w:t xml:space="preserve"> Pl. 105, Kaunas, Lithuania).</w:t>
      </w:r>
      <w:r w:rsidRPr="0097755E">
        <w:rPr>
          <w:bCs/>
          <w:lang w:val="en-US"/>
        </w:rPr>
        <w:t xml:space="preserve"> There will be no observers at the meeting, as set forth in Part 4 of Article 31 of the Procurement Law</w:t>
      </w:r>
      <w:r w:rsidRPr="0097755E">
        <w:rPr>
          <w:lang w:val="en-US" w:eastAsia="ar-SA"/>
        </w:rPr>
        <w:t>.</w:t>
      </w:r>
    </w:p>
    <w:p w14:paraId="2207AE89" w14:textId="77777777" w:rsidR="0097755E" w:rsidRPr="0097755E" w:rsidRDefault="0097755E" w:rsidP="0097755E">
      <w:pPr>
        <w:rPr>
          <w:lang w:val="en-US" w:eastAsia="ar-SA"/>
        </w:rPr>
      </w:pPr>
    </w:p>
    <w:p w14:paraId="1BBF906B" w14:textId="77777777" w:rsidR="0097755E" w:rsidRPr="0097755E" w:rsidRDefault="0097755E" w:rsidP="0097755E">
      <w:pPr>
        <w:widowControl w:val="0"/>
        <w:tabs>
          <w:tab w:val="num" w:pos="377"/>
          <w:tab w:val="num" w:pos="737"/>
        </w:tabs>
        <w:autoSpaceDE w:val="0"/>
        <w:autoSpaceDN w:val="0"/>
        <w:adjustRightInd w:val="0"/>
        <w:spacing w:before="240" w:after="120"/>
        <w:ind w:left="567" w:hanging="210"/>
        <w:jc w:val="center"/>
        <w:outlineLvl w:val="0"/>
        <w:rPr>
          <w:b/>
          <w:szCs w:val="24"/>
          <w:lang w:val="en-US" w:eastAsia="x-none"/>
        </w:rPr>
      </w:pPr>
      <w:r w:rsidRPr="0097755E">
        <w:rPr>
          <w:b/>
          <w:szCs w:val="24"/>
          <w:lang w:val="en-US" w:eastAsia="x-none"/>
        </w:rPr>
        <w:t xml:space="preserve">10. </w:t>
      </w:r>
      <w:r w:rsidRPr="0097755E">
        <w:rPr>
          <w:b/>
          <w:bCs/>
          <w:szCs w:val="24"/>
          <w:lang w:val="en-US"/>
        </w:rPr>
        <w:t>ANALYSIS, EVALUATION AND COMPARISON OF THE PROPOSALS</w:t>
      </w:r>
    </w:p>
    <w:p w14:paraId="1F1419C3" w14:textId="77777777" w:rsidR="0097755E" w:rsidRPr="0097755E" w:rsidRDefault="0097755E" w:rsidP="0097755E">
      <w:pPr>
        <w:rPr>
          <w:szCs w:val="24"/>
          <w:lang w:val="en-US"/>
        </w:rPr>
      </w:pPr>
    </w:p>
    <w:p w14:paraId="612D0CDA" w14:textId="77777777" w:rsidR="0097755E" w:rsidRPr="0097755E" w:rsidRDefault="0097755E" w:rsidP="0097755E">
      <w:pPr>
        <w:tabs>
          <w:tab w:val="left" w:pos="284"/>
          <w:tab w:val="left" w:pos="709"/>
        </w:tabs>
        <w:ind w:firstLine="720"/>
        <w:rPr>
          <w:rFonts w:eastAsia="Calibri"/>
          <w:szCs w:val="24"/>
          <w:lang w:val="en-US"/>
        </w:rPr>
      </w:pPr>
      <w:r w:rsidRPr="0097755E">
        <w:rPr>
          <w:szCs w:val="24"/>
          <w:lang w:val="en-US" w:eastAsia="lt-LT"/>
        </w:rPr>
        <w:lastRenderedPageBreak/>
        <w:t xml:space="preserve">10.1. </w:t>
      </w:r>
      <w:r w:rsidRPr="0097755E">
        <w:rPr>
          <w:rFonts w:eastAsia="Calibri"/>
          <w:szCs w:val="24"/>
          <w:lang w:val="en-US"/>
        </w:rPr>
        <w:t xml:space="preserve">The proposals shall be analyzed, evaluated and compared by the Contracting Entity. </w:t>
      </w:r>
    </w:p>
    <w:p w14:paraId="1852FE2F" w14:textId="77777777" w:rsidR="0097755E" w:rsidRPr="0097755E" w:rsidRDefault="0097755E" w:rsidP="0097755E">
      <w:pPr>
        <w:tabs>
          <w:tab w:val="left" w:pos="284"/>
          <w:tab w:val="left" w:pos="709"/>
        </w:tabs>
        <w:ind w:firstLine="720"/>
        <w:rPr>
          <w:szCs w:val="24"/>
          <w:lang w:val="en-US" w:eastAsia="lt-LT"/>
        </w:rPr>
      </w:pPr>
      <w:r w:rsidRPr="0097755E">
        <w:rPr>
          <w:szCs w:val="24"/>
          <w:lang w:val="en-US" w:eastAsia="ar-SA"/>
        </w:rPr>
        <w:t>10.2. The tender proposals will be analyzed, evaluated and compared in the following order:</w:t>
      </w:r>
    </w:p>
    <w:p w14:paraId="42EE15A2" w14:textId="77777777" w:rsidR="0097755E" w:rsidRPr="0097755E" w:rsidRDefault="0097755E" w:rsidP="0097755E">
      <w:pPr>
        <w:tabs>
          <w:tab w:val="left" w:pos="284"/>
          <w:tab w:val="left" w:pos="709"/>
        </w:tabs>
        <w:ind w:firstLine="720"/>
        <w:rPr>
          <w:szCs w:val="24"/>
          <w:lang w:val="en-US" w:eastAsia="ar-SA"/>
        </w:rPr>
      </w:pPr>
      <w:r w:rsidRPr="0097755E">
        <w:rPr>
          <w:szCs w:val="24"/>
          <w:lang w:val="en-US" w:eastAsia="ar-SA"/>
        </w:rPr>
        <w:t xml:space="preserve">10.2.1. It will be evaluated whether the </w:t>
      </w:r>
      <w:r w:rsidRPr="0097755E">
        <w:rPr>
          <w:rFonts w:eastAsia="Calibri"/>
          <w:szCs w:val="24"/>
          <w:lang w:val="en-US"/>
        </w:rPr>
        <w:t>submitted tender proposals and offered prices comply with the general requirements set forth in the Procurement Specification and the Procurement Law and the tenders will be compared</w:t>
      </w:r>
      <w:r w:rsidRPr="0097755E">
        <w:rPr>
          <w:szCs w:val="24"/>
          <w:lang w:val="en-US" w:eastAsia="ar-SA"/>
        </w:rPr>
        <w:t>;</w:t>
      </w:r>
    </w:p>
    <w:p w14:paraId="42C0C969" w14:textId="77777777" w:rsidR="0097755E" w:rsidRPr="0097755E" w:rsidRDefault="0097755E" w:rsidP="0097755E">
      <w:pPr>
        <w:widowControl w:val="0"/>
        <w:tabs>
          <w:tab w:val="left" w:pos="1134"/>
        </w:tabs>
        <w:autoSpaceDE w:val="0"/>
        <w:autoSpaceDN w:val="0"/>
        <w:adjustRightInd w:val="0"/>
        <w:outlineLvl w:val="0"/>
        <w:rPr>
          <w:kern w:val="16"/>
          <w:szCs w:val="24"/>
          <w:lang w:val="en-US" w:eastAsia="ar-SA"/>
        </w:rPr>
      </w:pPr>
      <w:r w:rsidRPr="0097755E">
        <w:rPr>
          <w:kern w:val="16"/>
          <w:szCs w:val="24"/>
          <w:lang w:val="en-US" w:eastAsia="ar-SA"/>
        </w:rPr>
        <w:t xml:space="preserve">             10.3. If examination of the proposal submitted by the </w:t>
      </w:r>
      <w:r w:rsidRPr="0097755E">
        <w:rPr>
          <w:szCs w:val="24"/>
          <w:lang w:val="en-US"/>
        </w:rPr>
        <w:t xml:space="preserve">Tender Participant </w:t>
      </w:r>
      <w:r w:rsidRPr="0097755E">
        <w:rPr>
          <w:kern w:val="16"/>
          <w:szCs w:val="24"/>
          <w:lang w:val="en-US" w:eastAsia="ar-SA"/>
        </w:rPr>
        <w:t>reveals that inaccurate, incomplete or fraudulent documents or data proving the absence of grounds for exclusion, compliance with the qualification requirements were submitted, or that such documents or data are missing, and in the event of other uncertainties in the examination of tender proposals, the following procedure shall be followed:</w:t>
      </w:r>
    </w:p>
    <w:p w14:paraId="78FB87A6" w14:textId="440E237F" w:rsidR="0097755E" w:rsidRPr="0097755E" w:rsidRDefault="0097755E" w:rsidP="0097755E">
      <w:pPr>
        <w:widowControl w:val="0"/>
        <w:tabs>
          <w:tab w:val="left" w:pos="1134"/>
        </w:tabs>
        <w:autoSpaceDE w:val="0"/>
        <w:autoSpaceDN w:val="0"/>
        <w:adjustRightInd w:val="0"/>
        <w:outlineLvl w:val="0"/>
        <w:rPr>
          <w:szCs w:val="24"/>
          <w:lang w:val="en-US"/>
        </w:rPr>
      </w:pPr>
      <w:r w:rsidRPr="0097755E">
        <w:rPr>
          <w:kern w:val="16"/>
          <w:szCs w:val="24"/>
          <w:lang w:val="en-US" w:eastAsia="ar-SA"/>
        </w:rPr>
        <w:t xml:space="preserve">            10.4.1. T</w:t>
      </w:r>
      <w:r w:rsidRPr="0097755E">
        <w:rPr>
          <w:szCs w:val="24"/>
          <w:lang w:val="en-US"/>
        </w:rPr>
        <w:t xml:space="preserve">he Contracting </w:t>
      </w:r>
      <w:r w:rsidRPr="00B701E0">
        <w:rPr>
          <w:szCs w:val="24"/>
          <w:lang w:val="en-US"/>
        </w:rPr>
        <w:t xml:space="preserve">Entity shall request the Tender Participant to explain, revise or supplement </w:t>
      </w:r>
      <w:r w:rsidR="00B701E0" w:rsidRPr="00B701E0">
        <w:rPr>
          <w:szCs w:val="24"/>
          <w:lang w:val="en-US"/>
        </w:rPr>
        <w:t xml:space="preserve">in writing </w:t>
      </w:r>
      <w:r w:rsidRPr="00B701E0">
        <w:rPr>
          <w:szCs w:val="24"/>
          <w:lang w:val="en-US"/>
        </w:rPr>
        <w:t>the respective information or data within a set reasonable period of time, without breaching the principles of equality and transparency</w:t>
      </w:r>
      <w:r w:rsidRPr="00B701E0">
        <w:rPr>
          <w:kern w:val="16"/>
          <w:szCs w:val="24"/>
          <w:lang w:val="en-US" w:eastAsia="ar-SA"/>
        </w:rPr>
        <w:t>;</w:t>
      </w:r>
    </w:p>
    <w:p w14:paraId="648FE895" w14:textId="77777777" w:rsidR="0097755E" w:rsidRPr="0097755E" w:rsidRDefault="0097755E" w:rsidP="0097755E">
      <w:pPr>
        <w:widowControl w:val="0"/>
        <w:tabs>
          <w:tab w:val="left" w:pos="1134"/>
        </w:tabs>
        <w:autoSpaceDE w:val="0"/>
        <w:autoSpaceDN w:val="0"/>
        <w:adjustRightInd w:val="0"/>
        <w:outlineLvl w:val="0"/>
        <w:rPr>
          <w:kern w:val="16"/>
          <w:szCs w:val="24"/>
          <w:lang w:val="en-US" w:eastAsia="ar-SA"/>
        </w:rPr>
      </w:pPr>
      <w:r w:rsidRPr="0097755E">
        <w:rPr>
          <w:kern w:val="16"/>
          <w:szCs w:val="24"/>
          <w:lang w:val="en-US" w:eastAsia="ar-SA"/>
        </w:rPr>
        <w:t xml:space="preserve">           10.4.2. The Tender Participant must respond in writing to the request and revise, supplement or clarify the tender as required by the Contracting Entity before the expiry of the time limit set by the Contracting Entity;</w:t>
      </w:r>
    </w:p>
    <w:p w14:paraId="7FDA90F0" w14:textId="77777777" w:rsidR="0097755E" w:rsidRPr="0097755E" w:rsidRDefault="0097755E" w:rsidP="0097755E">
      <w:pPr>
        <w:widowControl w:val="0"/>
        <w:tabs>
          <w:tab w:val="left" w:pos="1134"/>
        </w:tabs>
        <w:autoSpaceDE w:val="0"/>
        <w:autoSpaceDN w:val="0"/>
        <w:adjustRightInd w:val="0"/>
        <w:outlineLvl w:val="0"/>
        <w:rPr>
          <w:kern w:val="16"/>
          <w:szCs w:val="24"/>
          <w:lang w:val="en-US" w:eastAsia="ar-SA"/>
        </w:rPr>
      </w:pPr>
      <w:r w:rsidRPr="0097755E">
        <w:rPr>
          <w:kern w:val="16"/>
          <w:szCs w:val="24"/>
          <w:lang w:val="en-US" w:eastAsia="ar-SA"/>
        </w:rPr>
        <w:t xml:space="preserve">          10.4.3. Proposals of the Tender Participants shall be revised, supplemented or explained in accordance with the rules set by the Public Procurement Agency (Order No. 1S-240 On Approval of the Rules for Revision, Supplementation or Explanation of Tenders as amended, passed by the Director of the Public Procurement Agency on December 30, 2022);</w:t>
      </w:r>
    </w:p>
    <w:p w14:paraId="7EF74E34" w14:textId="6C5EDB8E" w:rsidR="0097755E" w:rsidRPr="0097755E" w:rsidRDefault="0097755E" w:rsidP="0097755E">
      <w:pPr>
        <w:contextualSpacing/>
        <w:rPr>
          <w:sz w:val="22"/>
          <w:szCs w:val="22"/>
          <w:lang w:val="en-US" w:eastAsia="ar-SA"/>
        </w:rPr>
      </w:pPr>
      <w:r w:rsidRPr="0097755E">
        <w:rPr>
          <w:szCs w:val="24"/>
          <w:lang w:val="en-US" w:eastAsia="lt-LT"/>
        </w:rPr>
        <w:t xml:space="preserve">           </w:t>
      </w:r>
      <w:r w:rsidRPr="00871167">
        <w:rPr>
          <w:szCs w:val="24"/>
          <w:lang w:val="en-US" w:eastAsia="lt-LT"/>
        </w:rPr>
        <w:t xml:space="preserve">10.4.4. In case the Contracting Entity </w:t>
      </w:r>
      <w:r w:rsidRPr="00871167">
        <w:rPr>
          <w:szCs w:val="24"/>
          <w:lang w:val="en-US" w:eastAsia="ar-SA"/>
        </w:rPr>
        <w:t>deems the offered price suspiciously too low, the Tender Participant will be requested</w:t>
      </w:r>
      <w:r w:rsidR="00871167" w:rsidRPr="00871167">
        <w:rPr>
          <w:szCs w:val="24"/>
          <w:lang w:val="en-US" w:eastAsia="ar-SA"/>
        </w:rPr>
        <w:t xml:space="preserve">, in accordance with Article 58.6 of the Description, </w:t>
      </w:r>
      <w:r w:rsidRPr="00871167">
        <w:rPr>
          <w:szCs w:val="24"/>
          <w:lang w:val="en-US" w:eastAsia="ar-SA"/>
        </w:rPr>
        <w:t>to substantiate the price by providing all its constituent parts and calculations in writing, as set forth in Parts 2 and 3 of Article 66 of the Procurement Law. The offered price will be by all means considered suspiciously too low if it is 30 or more percent lower than the mathematical average of the prices offered by other eligible Tender Participants, provided that the latter prices d</w:t>
      </w:r>
      <w:r w:rsidR="00B701E0" w:rsidRPr="00871167">
        <w:rPr>
          <w:szCs w:val="24"/>
          <w:lang w:val="en-US" w:eastAsia="ar-SA"/>
        </w:rPr>
        <w:t>o</w:t>
      </w:r>
      <w:r w:rsidRPr="00871167">
        <w:rPr>
          <w:szCs w:val="24"/>
          <w:lang w:val="en-US" w:eastAsia="ar-SA"/>
        </w:rPr>
        <w:t xml:space="preserve"> not exceed the budget intended by the Contracting Entity for this procurement.</w:t>
      </w:r>
      <w:r w:rsidRPr="0097755E">
        <w:rPr>
          <w:sz w:val="22"/>
          <w:szCs w:val="22"/>
          <w:lang w:val="en-US" w:eastAsia="ar-SA"/>
        </w:rPr>
        <w:t xml:space="preserve"> </w:t>
      </w:r>
    </w:p>
    <w:p w14:paraId="70802D61" w14:textId="77777777" w:rsidR="0097755E" w:rsidRPr="0097755E" w:rsidRDefault="0097755E" w:rsidP="0097755E">
      <w:pPr>
        <w:tabs>
          <w:tab w:val="left" w:pos="284"/>
          <w:tab w:val="left" w:pos="709"/>
        </w:tabs>
        <w:ind w:firstLine="720"/>
        <w:rPr>
          <w:szCs w:val="24"/>
          <w:lang w:val="en-US" w:eastAsia="lt-LT"/>
        </w:rPr>
      </w:pPr>
      <w:r w:rsidRPr="0097755E">
        <w:rPr>
          <w:szCs w:val="24"/>
          <w:lang w:val="en-US" w:eastAsia="ar-SA"/>
        </w:rPr>
        <w:t>10.5. If the Procurement Committee finds any mathematical errors that affect the total price of the proposal, the Tender Participant will be requested to correct the calculation errors and resubmit the proposal within a given period of time, without changing the originally quoted price.  This means that the Tender Participant may only correct the calculation mistakes that affect the final price of the proposal but may not change the originally quoted prices of the works/services and/or add/remove any constituent parts of the final price;</w:t>
      </w:r>
    </w:p>
    <w:p w14:paraId="0059D243" w14:textId="77777777" w:rsidR="0097755E" w:rsidRPr="0097755E" w:rsidRDefault="0097755E" w:rsidP="0097755E">
      <w:pPr>
        <w:tabs>
          <w:tab w:val="left" w:pos="284"/>
          <w:tab w:val="left" w:pos="709"/>
        </w:tabs>
        <w:ind w:firstLine="284"/>
        <w:rPr>
          <w:szCs w:val="24"/>
          <w:lang w:val="en-US" w:eastAsia="ar-SA"/>
        </w:rPr>
      </w:pPr>
      <w:r w:rsidRPr="0097755E">
        <w:rPr>
          <w:szCs w:val="24"/>
          <w:lang w:val="en-US" w:eastAsia="lt-LT"/>
        </w:rPr>
        <w:tab/>
      </w:r>
      <w:r w:rsidRPr="0097755E">
        <w:rPr>
          <w:szCs w:val="24"/>
          <w:lang w:val="en-US" w:eastAsia="ar-SA"/>
        </w:rPr>
        <w:t>10.6. The Contracting Entity is not obliged to evaluate the entire tender, if having evaluated a part of it the Contracting Entity finds out that the tender has to be rejected, i.e. it the tender does not comply with the requirements set forth in the Procurement Specification, the Procurement Law, the Public Procurement Law or the Description.</w:t>
      </w:r>
    </w:p>
    <w:p w14:paraId="10E3F6BC" w14:textId="77777777" w:rsidR="0097755E" w:rsidRPr="0097755E" w:rsidRDefault="0097755E" w:rsidP="0097755E">
      <w:pPr>
        <w:tabs>
          <w:tab w:val="left" w:pos="284"/>
          <w:tab w:val="left" w:pos="709"/>
        </w:tabs>
        <w:ind w:firstLine="284"/>
        <w:rPr>
          <w:szCs w:val="24"/>
          <w:lang w:val="en-US" w:eastAsia="lt-LT"/>
        </w:rPr>
      </w:pPr>
      <w:r w:rsidRPr="0097755E">
        <w:rPr>
          <w:szCs w:val="24"/>
          <w:lang w:val="en-US" w:eastAsia="lt-LT"/>
        </w:rPr>
        <w:tab/>
        <w:t xml:space="preserve">10.7. </w:t>
      </w:r>
      <w:r w:rsidRPr="0097755E">
        <w:rPr>
          <w:b/>
          <w:bCs/>
          <w:szCs w:val="24"/>
          <w:lang w:val="en-US" w:eastAsia="ar-SA"/>
        </w:rPr>
        <w:t>In this Procurement, the lowest price offer in EUR without VAT will be considered the most economically advantageous tender proposal.</w:t>
      </w:r>
    </w:p>
    <w:p w14:paraId="147D4C17" w14:textId="77777777" w:rsidR="0097755E" w:rsidRPr="0097755E" w:rsidRDefault="0097755E" w:rsidP="0097755E">
      <w:pPr>
        <w:tabs>
          <w:tab w:val="left" w:pos="284"/>
          <w:tab w:val="left" w:pos="709"/>
        </w:tabs>
        <w:ind w:firstLine="284"/>
        <w:rPr>
          <w:szCs w:val="24"/>
          <w:lang w:val="en-US" w:eastAsia="lt-LT"/>
        </w:rPr>
      </w:pPr>
      <w:r w:rsidRPr="0097755E">
        <w:rPr>
          <w:szCs w:val="24"/>
          <w:lang w:val="en-US" w:eastAsia="lt-LT"/>
        </w:rPr>
        <w:tab/>
      </w:r>
      <w:r w:rsidRPr="0097755E">
        <w:rPr>
          <w:rFonts w:eastAsiaTheme="minorHAnsi"/>
          <w:szCs w:val="24"/>
          <w:lang w:val="en-US" w:eastAsia="lt-LT"/>
        </w:rPr>
        <w:t xml:space="preserve">10.8. </w:t>
      </w:r>
      <w:r w:rsidRPr="0097755E">
        <w:rPr>
          <w:rFonts w:eastAsiaTheme="minorHAnsi"/>
          <w:szCs w:val="24"/>
          <w:lang w:val="en-US"/>
        </w:rPr>
        <w:t>The Contracting Entity will reject the tender proposals in the following cases</w:t>
      </w:r>
      <w:r w:rsidRPr="0097755E">
        <w:rPr>
          <w:szCs w:val="24"/>
          <w:lang w:val="en-US" w:eastAsia="lt-LT"/>
        </w:rPr>
        <w:t>:</w:t>
      </w:r>
    </w:p>
    <w:p w14:paraId="25DCBC45" w14:textId="77777777" w:rsidR="0097755E" w:rsidRPr="0097755E" w:rsidRDefault="0097755E" w:rsidP="0097755E">
      <w:pPr>
        <w:rPr>
          <w:rFonts w:eastAsia="Arial Unicode MS"/>
          <w:szCs w:val="24"/>
          <w:bdr w:val="nil"/>
          <w:lang w:val="en-US" w:eastAsia="lt-LT"/>
        </w:rPr>
      </w:pPr>
      <w:r w:rsidRPr="0097755E">
        <w:rPr>
          <w:rFonts w:eastAsia="Arial Unicode MS"/>
          <w:szCs w:val="24"/>
          <w:bdr w:val="nil"/>
          <w:lang w:val="en-US" w:eastAsia="lt-LT"/>
        </w:rPr>
        <w:t xml:space="preserve">            10.8.1. If the tender or its part has been submitted using any other means rather than the CPP IS system</w:t>
      </w:r>
      <w:r w:rsidRPr="0097755E">
        <w:rPr>
          <w:rFonts w:eastAsia="Arial Unicode MS" w:cs="Arial Unicode MS"/>
          <w:color w:val="000000"/>
          <w:szCs w:val="24"/>
          <w:bdr w:val="nil"/>
          <w:lang w:val="en-US" w:eastAsia="lt-LT"/>
        </w:rPr>
        <w:t>;</w:t>
      </w:r>
    </w:p>
    <w:p w14:paraId="202F6BA8" w14:textId="6F18AD6A" w:rsidR="0097755E" w:rsidRPr="0097755E" w:rsidRDefault="0097755E" w:rsidP="0097755E">
      <w:pPr>
        <w:rPr>
          <w:szCs w:val="24"/>
          <w:lang w:val="en-US" w:eastAsia="lt-LT"/>
        </w:rPr>
      </w:pPr>
      <w:r w:rsidRPr="0097755E">
        <w:rPr>
          <w:szCs w:val="24"/>
          <w:lang w:val="en-US" w:eastAsia="lt-LT"/>
        </w:rPr>
        <w:t xml:space="preserve">            10.8.2. </w:t>
      </w:r>
      <w:r w:rsidRPr="0097755E">
        <w:rPr>
          <w:szCs w:val="24"/>
          <w:lang w:val="en-US"/>
        </w:rPr>
        <w:t>If the submitted proposal does not comply with the requirements of this Procurement Specification</w:t>
      </w:r>
      <w:r w:rsidRPr="0097755E">
        <w:rPr>
          <w:szCs w:val="24"/>
          <w:lang w:val="en-US" w:eastAsia="lt-LT"/>
        </w:rPr>
        <w:t>;</w:t>
      </w:r>
    </w:p>
    <w:p w14:paraId="5641C7C0" w14:textId="77777777" w:rsidR="0097755E" w:rsidRPr="0097755E" w:rsidRDefault="0097755E" w:rsidP="0097755E">
      <w:pPr>
        <w:rPr>
          <w:rFonts w:eastAsia="Calibri"/>
          <w:szCs w:val="24"/>
          <w:lang w:val="en-US" w:eastAsia="lt-LT"/>
        </w:rPr>
      </w:pPr>
      <w:r w:rsidRPr="0097755E">
        <w:rPr>
          <w:rFonts w:eastAsia="Calibri"/>
          <w:szCs w:val="24"/>
          <w:lang w:val="en-US" w:eastAsia="lt-LT"/>
        </w:rPr>
        <w:t xml:space="preserve">            10.8.3. If the Tender Participant does not comply with the established qualification requirements (if required), or if the Tender Participant has provided inaccurate, incomplete or incorrect documents or data pertaining to the compliance with the qualification requirements, or if the Tender Participant did not provide such documents or data and has failed to provide such documents or data or to revise them when requested by the Contracting Entity;</w:t>
      </w:r>
    </w:p>
    <w:p w14:paraId="3498E1AC" w14:textId="77777777" w:rsidR="0097755E" w:rsidRPr="0097755E" w:rsidRDefault="0097755E" w:rsidP="0097755E">
      <w:pPr>
        <w:rPr>
          <w:rFonts w:eastAsia="Calibri"/>
          <w:szCs w:val="24"/>
          <w:lang w:val="en-US" w:eastAsia="lt-LT"/>
        </w:rPr>
      </w:pPr>
      <w:r w:rsidRPr="0097755E">
        <w:rPr>
          <w:rFonts w:eastAsia="Calibri"/>
          <w:szCs w:val="24"/>
          <w:lang w:val="en-US" w:eastAsia="lt-LT"/>
        </w:rPr>
        <w:t xml:space="preserve">            10.8.4. If the documents or data relating to compliance with the requirements of the Procurement Specification provided by the Tender Participant are incomplete or inaccurate, or the following documents or data have not been provided: joint venture/partnership agreement, performance guarantee (bid bond), </w:t>
      </w:r>
      <w:r w:rsidRPr="0097755E">
        <w:rPr>
          <w:rFonts w:eastAsia="Calibri"/>
          <w:szCs w:val="24"/>
          <w:lang w:val="en-US" w:eastAsia="lt-LT"/>
        </w:rPr>
        <w:lastRenderedPageBreak/>
        <w:t>and documents not related to the procurement object, its technical characteristics, the conditions of performance of the Agreement or the price of the tender, and have not been provided or revised at the request of the Contracting Entity;</w:t>
      </w:r>
    </w:p>
    <w:p w14:paraId="681663EA" w14:textId="77777777" w:rsidR="0097755E" w:rsidRPr="0097755E" w:rsidRDefault="0097755E" w:rsidP="0097755E">
      <w:pPr>
        <w:jc w:val="left"/>
        <w:rPr>
          <w:rFonts w:eastAsia="Calibri"/>
          <w:szCs w:val="24"/>
          <w:lang w:val="en-US" w:eastAsia="lt-LT"/>
        </w:rPr>
      </w:pPr>
      <w:r w:rsidRPr="0097755E">
        <w:rPr>
          <w:rFonts w:eastAsia="Calibri"/>
          <w:szCs w:val="24"/>
          <w:lang w:val="en-US" w:eastAsia="lt-LT"/>
        </w:rPr>
        <w:t xml:space="preserve">            10.8.5. </w:t>
      </w:r>
      <w:r w:rsidRPr="0097755E">
        <w:rPr>
          <w:lang w:val="en-US"/>
        </w:rPr>
        <w:t>If the Tender Participant fails to correct the mathematical errors in the proposal and (or) clarify the proposal within the time period given by the Contracting Entity</w:t>
      </w:r>
      <w:r w:rsidRPr="0097755E">
        <w:rPr>
          <w:rFonts w:eastAsia="Calibri"/>
          <w:szCs w:val="24"/>
          <w:lang w:val="en-US" w:eastAsia="lt-LT"/>
        </w:rPr>
        <w:t>;</w:t>
      </w:r>
    </w:p>
    <w:p w14:paraId="3E03FF72" w14:textId="77777777" w:rsidR="0097755E" w:rsidRPr="0097755E" w:rsidRDefault="0097755E" w:rsidP="0097755E">
      <w:pPr>
        <w:rPr>
          <w:szCs w:val="24"/>
          <w:lang w:val="en-US" w:eastAsia="lt-LT"/>
        </w:rPr>
      </w:pPr>
      <w:r w:rsidRPr="0097755E">
        <w:rPr>
          <w:szCs w:val="24"/>
          <w:lang w:val="en-US" w:eastAsia="lt-LT"/>
        </w:rPr>
        <w:t xml:space="preserve">            10.8.6. </w:t>
      </w:r>
      <w:r w:rsidRPr="0097755E">
        <w:rPr>
          <w:szCs w:val="24"/>
          <w:lang w:val="en-US"/>
        </w:rPr>
        <w:t>If the price or expenses offered by an eligible Tender Participant was too high for the Contracting Entity;</w:t>
      </w:r>
    </w:p>
    <w:p w14:paraId="3A6B806C" w14:textId="7FA1AD29" w:rsidR="0097755E" w:rsidRPr="0097755E" w:rsidRDefault="0097755E" w:rsidP="0097755E">
      <w:pPr>
        <w:rPr>
          <w:szCs w:val="24"/>
          <w:lang w:val="en-US" w:eastAsia="ar-SA"/>
        </w:rPr>
      </w:pPr>
      <w:r w:rsidRPr="0097755E">
        <w:rPr>
          <w:szCs w:val="24"/>
          <w:lang w:val="en-US" w:eastAsia="lt-LT"/>
        </w:rPr>
        <w:t xml:space="preserve">            10.8.7. </w:t>
      </w:r>
      <w:r w:rsidRPr="0097755E">
        <w:rPr>
          <w:szCs w:val="24"/>
          <w:lang w:val="en-US"/>
        </w:rPr>
        <w:t xml:space="preserve">If the offered price was considered suspiciously too low and the Tender Participant failed to </w:t>
      </w:r>
      <w:r w:rsidRPr="0097755E">
        <w:rPr>
          <w:szCs w:val="24"/>
          <w:lang w:val="en-US" w:eastAsia="ar-SA"/>
        </w:rPr>
        <w:t>substantiate the price by providing all its constituent parts and calculations in writing. This provision shall not be interpreted as the Contracting Entity’s obligation to evaluate the tenders wi</w:t>
      </w:r>
      <w:r w:rsidR="00332852">
        <w:rPr>
          <w:szCs w:val="24"/>
          <w:lang w:val="en-US" w:eastAsia="ar-SA"/>
        </w:rPr>
        <w:t>th</w:t>
      </w:r>
      <w:r w:rsidRPr="0097755E">
        <w:rPr>
          <w:szCs w:val="24"/>
          <w:lang w:val="en-US" w:eastAsia="ar-SA"/>
        </w:rPr>
        <w:t xml:space="preserve"> suspiciously low prices</w:t>
      </w:r>
      <w:r w:rsidRPr="0097755E">
        <w:rPr>
          <w:szCs w:val="24"/>
          <w:lang w:val="en-US" w:eastAsia="lt-LT"/>
        </w:rPr>
        <w:t>;</w:t>
      </w:r>
    </w:p>
    <w:p w14:paraId="492A7810" w14:textId="77777777" w:rsidR="0097755E" w:rsidRPr="0097755E" w:rsidRDefault="0097755E" w:rsidP="0097755E">
      <w:pPr>
        <w:rPr>
          <w:szCs w:val="24"/>
          <w:lang w:val="en-US" w:eastAsia="lt-LT"/>
        </w:rPr>
      </w:pPr>
      <w:r w:rsidRPr="0097755E">
        <w:rPr>
          <w:szCs w:val="24"/>
          <w:lang w:val="en-US" w:eastAsia="lt-LT"/>
        </w:rPr>
        <w:t xml:space="preserve">            10.8.8. </w:t>
      </w:r>
      <w:r w:rsidRPr="0097755E">
        <w:rPr>
          <w:szCs w:val="24"/>
          <w:lang w:val="en-US"/>
        </w:rPr>
        <w:t>If the price or expenses offered by an eligible Tender Participant was too high for the Contracting Entity</w:t>
      </w:r>
      <w:r w:rsidRPr="0097755E">
        <w:rPr>
          <w:szCs w:val="24"/>
          <w:lang w:val="en-US" w:eastAsia="lt-LT"/>
        </w:rPr>
        <w:t>.</w:t>
      </w:r>
    </w:p>
    <w:p w14:paraId="7D4CECEE" w14:textId="206068F0" w:rsidR="0097755E" w:rsidRPr="0097755E" w:rsidRDefault="0097755E" w:rsidP="0097755E">
      <w:pPr>
        <w:rPr>
          <w:rFonts w:eastAsia="Calibri"/>
          <w:lang w:val="en-US"/>
        </w:rPr>
      </w:pPr>
      <w:r w:rsidRPr="0097755E">
        <w:rPr>
          <w:rFonts w:eastAsia="Calibri"/>
          <w:szCs w:val="24"/>
          <w:lang w:val="en-US" w:eastAsia="lt-LT"/>
        </w:rPr>
        <w:t xml:space="preserve">            10.9. If the </w:t>
      </w:r>
      <w:r w:rsidR="00CA32C6">
        <w:rPr>
          <w:rFonts w:eastAsia="Calibri"/>
          <w:szCs w:val="24"/>
          <w:lang w:val="en-US" w:eastAsia="lt-LT"/>
        </w:rPr>
        <w:t>provider</w:t>
      </w:r>
      <w:r w:rsidRPr="0097755E">
        <w:rPr>
          <w:rFonts w:eastAsia="Calibri"/>
          <w:szCs w:val="24"/>
          <w:lang w:val="en-US" w:eastAsia="lt-LT"/>
        </w:rPr>
        <w:t xml:space="preserve"> has submitted false information in relation to the fulfilment of the established requirements, which may be justified by the Contracting Entity by any lawful measures</w:t>
      </w:r>
      <w:r w:rsidRPr="0097755E">
        <w:rPr>
          <w:rFonts w:eastAsia="Calibri"/>
          <w:lang w:val="en-US"/>
        </w:rPr>
        <w:t>.</w:t>
      </w:r>
    </w:p>
    <w:p w14:paraId="0B2A4E9D" w14:textId="77777777" w:rsidR="0097755E" w:rsidRPr="0097755E" w:rsidRDefault="0097755E" w:rsidP="0097755E">
      <w:pPr>
        <w:widowControl w:val="0"/>
        <w:tabs>
          <w:tab w:val="num" w:pos="377"/>
          <w:tab w:val="num" w:pos="737"/>
        </w:tabs>
        <w:autoSpaceDE w:val="0"/>
        <w:autoSpaceDN w:val="0"/>
        <w:adjustRightInd w:val="0"/>
        <w:spacing w:before="240" w:after="120"/>
        <w:ind w:left="567" w:hanging="210"/>
        <w:jc w:val="center"/>
        <w:rPr>
          <w:b/>
          <w:szCs w:val="24"/>
          <w:lang w:val="en-US" w:eastAsia="x-none"/>
        </w:rPr>
      </w:pPr>
      <w:r w:rsidRPr="0097755E">
        <w:rPr>
          <w:b/>
          <w:szCs w:val="24"/>
          <w:lang w:val="en-US" w:eastAsia="x-none"/>
        </w:rPr>
        <w:t>11. NOTIFICATION OF PROCUREMENT RESULTS</w:t>
      </w:r>
    </w:p>
    <w:p w14:paraId="7116A317" w14:textId="77777777" w:rsidR="0097755E" w:rsidRPr="0097755E" w:rsidRDefault="0097755E" w:rsidP="0097755E">
      <w:pPr>
        <w:tabs>
          <w:tab w:val="left" w:pos="1134"/>
        </w:tabs>
        <w:ind w:firstLine="567"/>
        <w:contextualSpacing/>
        <w:rPr>
          <w:rFonts w:eastAsia="Lucida Sans Unicode"/>
          <w:color w:val="000000"/>
          <w:szCs w:val="24"/>
          <w:lang w:val="en-US"/>
        </w:rPr>
      </w:pPr>
      <w:r w:rsidRPr="0097755E">
        <w:rPr>
          <w:color w:val="000000"/>
          <w:szCs w:val="24"/>
          <w:lang w:val="en-US"/>
        </w:rPr>
        <w:t xml:space="preserve">11.1. The Contracting Entity shall immediately evaluate and rate the submitted proposals in order to select the Winning Tenderer (except if there is only one proposal to be evaluated). The proposals will be rated using the </w:t>
      </w:r>
      <w:r w:rsidRPr="0097755E">
        <w:rPr>
          <w:rFonts w:eastAsia="Calibri"/>
          <w:szCs w:val="24"/>
          <w:lang w:val="en-US"/>
        </w:rPr>
        <w:t>most economically advantageous tender method, i.e. the highest position on the list will be given to the most economically advantageous proposal. In case there are two equally economically advantageous proposals, the proposal which was received earlier will take the higher place</w:t>
      </w:r>
      <w:r w:rsidRPr="0097755E">
        <w:rPr>
          <w:lang w:val="en-US"/>
        </w:rPr>
        <w:t>.</w:t>
      </w:r>
    </w:p>
    <w:p w14:paraId="0C7BA331" w14:textId="77777777" w:rsidR="0097755E" w:rsidRPr="0097755E" w:rsidRDefault="0097755E" w:rsidP="0097755E">
      <w:pPr>
        <w:tabs>
          <w:tab w:val="left" w:pos="1134"/>
        </w:tabs>
        <w:ind w:firstLine="567"/>
        <w:contextualSpacing/>
        <w:rPr>
          <w:rFonts w:eastAsia="Lucida Sans Unicode"/>
          <w:color w:val="000000"/>
          <w:szCs w:val="24"/>
          <w:lang w:val="en-US"/>
        </w:rPr>
      </w:pPr>
      <w:r w:rsidRPr="0097755E">
        <w:rPr>
          <w:rFonts w:eastAsia="Lucida Sans Unicode"/>
          <w:color w:val="000000"/>
          <w:szCs w:val="24"/>
          <w:lang w:val="en-US"/>
        </w:rPr>
        <w:t xml:space="preserve">11.2. </w:t>
      </w:r>
      <w:r w:rsidRPr="0097755E">
        <w:rPr>
          <w:color w:val="000000"/>
          <w:szCs w:val="24"/>
          <w:lang w:val="en-US"/>
        </w:rPr>
        <w:t>The Contracting Entity shall announce the Winning Tenderer that will be awarded the contract via the CPP IS system within 3 (three) business days. The Contracting Entity shall also provide a summary of the information defined in Article 68(2) of the Procurement Law, which was not available during the procurement procedure, along with the rating list of all the received proposals, and shall announce the duration of the standstill period.  The Contracting Entity shall also indicate the reasons why it was decided not to sign a preliminary sale and purchase agreement</w:t>
      </w:r>
      <w:r w:rsidRPr="0097755E">
        <w:rPr>
          <w:rFonts w:eastAsia="Lucida Sans Unicode"/>
          <w:color w:val="000000"/>
          <w:szCs w:val="24"/>
          <w:lang w:val="en-US"/>
        </w:rPr>
        <w:t>.</w:t>
      </w:r>
    </w:p>
    <w:p w14:paraId="7E304FC3" w14:textId="77777777" w:rsidR="0097755E" w:rsidRPr="0097755E" w:rsidRDefault="0097755E" w:rsidP="0097755E">
      <w:pPr>
        <w:suppressAutoHyphens/>
        <w:contextualSpacing/>
        <w:rPr>
          <w:rFonts w:eastAsia="Calibri"/>
          <w:bCs/>
          <w:szCs w:val="24"/>
          <w:lang w:val="en-US" w:eastAsia="lt-LT"/>
        </w:rPr>
      </w:pPr>
      <w:r w:rsidRPr="0097755E">
        <w:rPr>
          <w:rFonts w:eastAsia="Lucida Sans Unicode"/>
          <w:color w:val="000000"/>
          <w:szCs w:val="24"/>
          <w:lang w:val="en-US"/>
        </w:rPr>
        <w:t xml:space="preserve">         11.3. </w:t>
      </w:r>
      <w:r w:rsidRPr="0097755E">
        <w:rPr>
          <w:color w:val="000000"/>
          <w:szCs w:val="24"/>
          <w:lang w:val="en-US"/>
        </w:rPr>
        <w:t>The Winning Tenderer will be notified thereof in writing via the CPP IS system and will be informed about the deadline for signing the Purchase and Sale Agreement</w:t>
      </w:r>
      <w:r w:rsidRPr="0097755E">
        <w:rPr>
          <w:rFonts w:eastAsia="Lucida Sans Unicode"/>
          <w:bCs/>
          <w:color w:val="000000"/>
          <w:szCs w:val="24"/>
          <w:lang w:val="en-US"/>
        </w:rPr>
        <w:t>.</w:t>
      </w:r>
      <w:r w:rsidRPr="0097755E">
        <w:rPr>
          <w:rFonts w:eastAsia="Calibri"/>
          <w:bCs/>
          <w:szCs w:val="24"/>
          <w:lang w:val="en-US" w:eastAsia="lt-LT"/>
        </w:rPr>
        <w:t xml:space="preserve"> Pursuant to the requirements of the Description of Kauno </w:t>
      </w:r>
      <w:proofErr w:type="spellStart"/>
      <w:r w:rsidRPr="0097755E">
        <w:rPr>
          <w:rFonts w:eastAsia="Calibri"/>
          <w:bCs/>
          <w:szCs w:val="24"/>
          <w:lang w:val="en-US" w:eastAsia="lt-LT"/>
        </w:rPr>
        <w:t>Autobusai</w:t>
      </w:r>
      <w:proofErr w:type="spellEnd"/>
      <w:r w:rsidRPr="0097755E">
        <w:rPr>
          <w:rFonts w:eastAsia="Calibri"/>
          <w:bCs/>
          <w:szCs w:val="24"/>
          <w:lang w:val="en-US" w:eastAsia="lt-LT"/>
        </w:rPr>
        <w:t xml:space="preserve"> UAB, the standstill period for conclusion of the Agreement may be waived.</w:t>
      </w:r>
    </w:p>
    <w:p w14:paraId="1E70D830" w14:textId="77777777" w:rsidR="0097755E" w:rsidRPr="0097755E" w:rsidRDefault="0097755E" w:rsidP="0097755E">
      <w:pPr>
        <w:tabs>
          <w:tab w:val="left" w:pos="1134"/>
        </w:tabs>
        <w:ind w:firstLine="567"/>
        <w:contextualSpacing/>
        <w:rPr>
          <w:rFonts w:eastAsia="Lucida Sans Unicode"/>
          <w:color w:val="000000"/>
          <w:szCs w:val="24"/>
          <w:lang w:val="en-US"/>
        </w:rPr>
      </w:pPr>
      <w:bookmarkStart w:id="8" w:name="_Hlk128661937"/>
      <w:r w:rsidRPr="0097755E">
        <w:rPr>
          <w:rFonts w:eastAsia="Lucida Sans Unicode"/>
          <w:color w:val="000000"/>
          <w:szCs w:val="24"/>
          <w:lang w:val="en-US"/>
        </w:rPr>
        <w:t xml:space="preserve">11.4. </w:t>
      </w:r>
      <w:r w:rsidRPr="0097755E">
        <w:rPr>
          <w:color w:val="000000"/>
          <w:szCs w:val="24"/>
          <w:lang w:val="en-US"/>
        </w:rPr>
        <w:t>If having received the Contracting Entity’s invitation to sign the Sale and Purchase Agreement, the Winning Tenderer fails to do so by the set deadline, or refuses to do so by serving a respective written notice, or refuses to sign the Agreement under the conditions of the tender specifications, or fails to provide a performance guarantee (bid bond), it shall be deemed that the Winning Tenderer has refused to enter into the Sale and Purchase Agreement with the Contracting Entity. In such a case, the Contracting Entity shall pass the contract award to the Tender Participant that is the next on the rating list, provided that the conditions set forth in Article 58(1) of the Procurement Law are fulfilled</w:t>
      </w:r>
      <w:r w:rsidRPr="0097755E">
        <w:rPr>
          <w:rFonts w:eastAsia="Lucida Sans Unicode"/>
          <w:color w:val="000000"/>
          <w:szCs w:val="24"/>
          <w:lang w:val="en-US"/>
        </w:rPr>
        <w:t>.</w:t>
      </w:r>
      <w:bookmarkEnd w:id="8"/>
    </w:p>
    <w:p w14:paraId="6A227616" w14:textId="77777777" w:rsidR="0097755E" w:rsidRPr="0097755E" w:rsidRDefault="0097755E" w:rsidP="0097755E">
      <w:pPr>
        <w:tabs>
          <w:tab w:val="left" w:pos="1134"/>
        </w:tabs>
        <w:ind w:firstLine="567"/>
        <w:rPr>
          <w:rFonts w:eastAsia="Lucida Sans Unicode"/>
          <w:color w:val="000000"/>
          <w:szCs w:val="24"/>
          <w:lang w:val="en-US"/>
        </w:rPr>
      </w:pPr>
      <w:r w:rsidRPr="0097755E">
        <w:rPr>
          <w:rFonts w:eastAsia="Lucida Sans Unicode"/>
          <w:color w:val="000000"/>
          <w:szCs w:val="24"/>
          <w:lang w:val="en-US"/>
        </w:rPr>
        <w:t xml:space="preserve">11.5. </w:t>
      </w:r>
      <w:r w:rsidRPr="0097755E">
        <w:rPr>
          <w:color w:val="000000"/>
          <w:szCs w:val="24"/>
          <w:lang w:val="en-US"/>
        </w:rPr>
        <w:t>The Contracting Entity has the right to refuse to award the contract to the</w:t>
      </w:r>
      <w:r w:rsidRPr="0097755E">
        <w:rPr>
          <w:rFonts w:eastAsia="Calibri"/>
          <w:szCs w:val="24"/>
          <w:lang w:val="en-US"/>
        </w:rPr>
        <w:t xml:space="preserve"> most economically advantageous proposal in case it turns out that the tender in question does not comply with the conditions of Article 29(2)(2) </w:t>
      </w:r>
      <w:r w:rsidRPr="0097755E">
        <w:rPr>
          <w:lang w:val="en-US"/>
        </w:rPr>
        <w:t>regarding environmental protection, social and labor law obligations</w:t>
      </w:r>
      <w:r w:rsidRPr="0097755E">
        <w:rPr>
          <w:rFonts w:eastAsia="Lucida Sans Unicode"/>
          <w:color w:val="000000"/>
          <w:szCs w:val="24"/>
          <w:lang w:val="en-US"/>
        </w:rPr>
        <w:t>.</w:t>
      </w:r>
    </w:p>
    <w:p w14:paraId="4719233A" w14:textId="77777777" w:rsidR="0097755E" w:rsidRPr="0097755E" w:rsidRDefault="0097755E" w:rsidP="0097755E">
      <w:pPr>
        <w:widowControl w:val="0"/>
        <w:tabs>
          <w:tab w:val="num" w:pos="377"/>
          <w:tab w:val="num" w:pos="737"/>
        </w:tabs>
        <w:autoSpaceDE w:val="0"/>
        <w:autoSpaceDN w:val="0"/>
        <w:adjustRightInd w:val="0"/>
        <w:spacing w:before="240" w:after="120"/>
        <w:ind w:left="567" w:hanging="210"/>
        <w:jc w:val="center"/>
        <w:outlineLvl w:val="0"/>
        <w:rPr>
          <w:b/>
          <w:szCs w:val="24"/>
          <w:lang w:val="en-US" w:eastAsia="x-none"/>
        </w:rPr>
      </w:pPr>
      <w:r w:rsidRPr="0097755E">
        <w:rPr>
          <w:b/>
          <w:szCs w:val="24"/>
          <w:lang w:val="en-US" w:eastAsia="x-none"/>
        </w:rPr>
        <w:t>12. CONCLUSION OF THE SALE AND PURCHASE AGREEMENT</w:t>
      </w:r>
    </w:p>
    <w:p w14:paraId="2A693DDD" w14:textId="77777777" w:rsidR="0097755E" w:rsidRPr="0097755E" w:rsidRDefault="0097755E" w:rsidP="007B79BA">
      <w:pPr>
        <w:suppressAutoHyphens/>
        <w:ind w:firstLine="567"/>
        <w:contextualSpacing/>
        <w:rPr>
          <w:rFonts w:eastAsia="Calibri"/>
          <w:bCs/>
          <w:szCs w:val="24"/>
          <w:lang w:val="en-US"/>
        </w:rPr>
      </w:pPr>
      <w:r w:rsidRPr="0097755E">
        <w:rPr>
          <w:kern w:val="16"/>
          <w:szCs w:val="24"/>
          <w:lang w:val="en-US" w:eastAsia="ar-SA"/>
        </w:rPr>
        <w:t xml:space="preserve">12.1. </w:t>
      </w:r>
      <w:r w:rsidRPr="0097755E">
        <w:rPr>
          <w:szCs w:val="24"/>
          <w:lang w:val="en-US"/>
        </w:rPr>
        <w:t>The Sale and Purchase Agreement Template is enclosed herewith as Annex 3</w:t>
      </w:r>
      <w:r w:rsidRPr="0097755E">
        <w:rPr>
          <w:rFonts w:eastAsia="Calibri"/>
          <w:bCs/>
          <w:szCs w:val="24"/>
          <w:lang w:val="en-US"/>
        </w:rPr>
        <w:t>.</w:t>
      </w:r>
    </w:p>
    <w:p w14:paraId="2277204D" w14:textId="77777777" w:rsidR="0097755E" w:rsidRPr="0097755E" w:rsidRDefault="0097755E" w:rsidP="0097755E">
      <w:pPr>
        <w:suppressAutoHyphens/>
        <w:contextualSpacing/>
        <w:rPr>
          <w:szCs w:val="24"/>
          <w:lang w:val="en-US"/>
        </w:rPr>
      </w:pPr>
      <w:r w:rsidRPr="0097755E">
        <w:rPr>
          <w:rFonts w:eastAsia="Calibri"/>
          <w:bCs/>
          <w:szCs w:val="24"/>
          <w:lang w:val="en-US"/>
        </w:rPr>
        <w:t>The main terms and conditions of the Agreement are as follows:</w:t>
      </w:r>
    </w:p>
    <w:p w14:paraId="4F1EFBB8" w14:textId="77777777" w:rsidR="0097755E" w:rsidRPr="0097755E" w:rsidRDefault="0097755E" w:rsidP="007B79BA">
      <w:pPr>
        <w:suppressAutoHyphens/>
        <w:ind w:firstLine="567"/>
        <w:contextualSpacing/>
        <w:rPr>
          <w:szCs w:val="24"/>
          <w:lang w:val="en-US"/>
        </w:rPr>
      </w:pPr>
      <w:r w:rsidRPr="0097755E">
        <w:rPr>
          <w:kern w:val="16"/>
          <w:szCs w:val="24"/>
          <w:lang w:val="en-US" w:eastAsia="ar-SA"/>
        </w:rPr>
        <w:t xml:space="preserve">12.1.1. </w:t>
      </w:r>
      <w:r w:rsidRPr="0097755E">
        <w:rPr>
          <w:szCs w:val="24"/>
          <w:lang w:val="en-US"/>
        </w:rPr>
        <w:t>The provisions of the Agreement are non-negotiable and shall be binding to the Winning Tenderer. The Contracting Entity will be the first to sign the Agreement.</w:t>
      </w:r>
    </w:p>
    <w:p w14:paraId="72ABA233" w14:textId="77777777" w:rsidR="0097755E" w:rsidRPr="0097755E" w:rsidRDefault="0097755E" w:rsidP="007B79BA">
      <w:pPr>
        <w:suppressAutoHyphens/>
        <w:ind w:firstLine="567"/>
        <w:contextualSpacing/>
        <w:rPr>
          <w:szCs w:val="24"/>
          <w:lang w:val="en-US"/>
        </w:rPr>
      </w:pPr>
      <w:r w:rsidRPr="0097755E">
        <w:rPr>
          <w:kern w:val="16"/>
          <w:szCs w:val="24"/>
          <w:lang w:val="en-US" w:eastAsia="ar-SA"/>
        </w:rPr>
        <w:t>12.1.2.</w:t>
      </w:r>
      <w:r w:rsidRPr="0097755E">
        <w:rPr>
          <w:szCs w:val="24"/>
          <w:lang w:val="en-US"/>
        </w:rPr>
        <w:t xml:space="preserve"> The currency of the Sale and Purchase Agreement shall be euros. Any prices quoted in other currencies will be converted to euros at the reference rate announced by the European Central Bank. In case the euro and foreign exchange reference rate is not available, the reference rate of the Bank of Lithuania as at the final tender submission day will be applied.</w:t>
      </w:r>
    </w:p>
    <w:p w14:paraId="3D7A6EFF" w14:textId="7286A58D" w:rsidR="0097755E" w:rsidRPr="0097755E" w:rsidRDefault="0097755E" w:rsidP="007B79BA">
      <w:pPr>
        <w:ind w:firstLine="567"/>
        <w:contextualSpacing/>
        <w:rPr>
          <w:rFonts w:eastAsia="Calibri"/>
          <w:bCs/>
          <w:szCs w:val="24"/>
          <w:lang w:val="en-US"/>
        </w:rPr>
      </w:pPr>
      <w:r w:rsidRPr="0097755E">
        <w:rPr>
          <w:kern w:val="16"/>
          <w:szCs w:val="24"/>
          <w:lang w:val="en-US" w:eastAsia="ar-SA"/>
        </w:rPr>
        <w:lastRenderedPageBreak/>
        <w:t>12.1.3.</w:t>
      </w:r>
      <w:r w:rsidRPr="0097755E">
        <w:rPr>
          <w:rFonts w:eastAsia="Calibri"/>
          <w:bCs/>
          <w:szCs w:val="24"/>
          <w:lang w:val="en-US"/>
        </w:rPr>
        <w:t xml:space="preserve"> Considering the nature and special features of the Agreement, the Parties agree that the Contracting Entity must pay for the </w:t>
      </w:r>
      <w:r w:rsidR="00A91D45">
        <w:rPr>
          <w:rFonts w:eastAsia="Calibri"/>
          <w:bCs/>
          <w:szCs w:val="24"/>
          <w:lang w:val="en-US"/>
        </w:rPr>
        <w:t>provided properly Services</w:t>
      </w:r>
      <w:r w:rsidRPr="0097755E">
        <w:rPr>
          <w:rFonts w:eastAsia="Calibri"/>
          <w:bCs/>
          <w:szCs w:val="24"/>
          <w:lang w:val="en-US"/>
        </w:rPr>
        <w:t xml:space="preserve"> within 30 (thirty) calendar days from the date of submission of the tax invoice</w:t>
      </w:r>
      <w:r w:rsidRPr="0097755E">
        <w:rPr>
          <w:szCs w:val="24"/>
          <w:lang w:val="en-US"/>
        </w:rPr>
        <w:t xml:space="preserve">. </w:t>
      </w:r>
    </w:p>
    <w:p w14:paraId="1D00F8D7" w14:textId="77777777" w:rsidR="0097755E" w:rsidRPr="0097755E" w:rsidRDefault="0097755E" w:rsidP="0097755E">
      <w:pPr>
        <w:widowControl w:val="0"/>
        <w:tabs>
          <w:tab w:val="num" w:pos="377"/>
          <w:tab w:val="num" w:pos="737"/>
        </w:tabs>
        <w:autoSpaceDE w:val="0"/>
        <w:autoSpaceDN w:val="0"/>
        <w:adjustRightInd w:val="0"/>
        <w:spacing w:before="240" w:after="120"/>
        <w:ind w:left="567" w:hanging="210"/>
        <w:jc w:val="center"/>
        <w:outlineLvl w:val="0"/>
        <w:rPr>
          <w:b/>
          <w:szCs w:val="24"/>
          <w:lang w:val="en-US" w:eastAsia="x-none"/>
        </w:rPr>
      </w:pPr>
      <w:r w:rsidRPr="0097755E">
        <w:rPr>
          <w:b/>
          <w:szCs w:val="24"/>
          <w:lang w:val="en-US" w:eastAsia="x-none"/>
        </w:rPr>
        <w:t>13. CLAIM MANAGEMENT AND DISPUTE RESOLUTION</w:t>
      </w:r>
    </w:p>
    <w:p w14:paraId="49571F87" w14:textId="68DC8F26" w:rsidR="0097755E" w:rsidRPr="0097755E" w:rsidRDefault="0097755E" w:rsidP="0097755E">
      <w:pPr>
        <w:ind w:firstLine="567"/>
        <w:contextualSpacing/>
        <w:rPr>
          <w:color w:val="000000"/>
          <w:szCs w:val="24"/>
          <w:lang w:val="en-US"/>
        </w:rPr>
      </w:pPr>
      <w:r w:rsidRPr="0097755E">
        <w:rPr>
          <w:kern w:val="16"/>
          <w:szCs w:val="24"/>
          <w:lang w:val="en-US" w:eastAsia="x-none"/>
        </w:rPr>
        <w:t xml:space="preserve">13.1. </w:t>
      </w:r>
      <w:r w:rsidR="00CA32C6">
        <w:rPr>
          <w:color w:val="000000"/>
          <w:szCs w:val="24"/>
          <w:lang w:val="en-US"/>
        </w:rPr>
        <w:t>Provider</w:t>
      </w:r>
      <w:r w:rsidRPr="0097755E">
        <w:rPr>
          <w:color w:val="000000"/>
          <w:szCs w:val="24"/>
          <w:lang w:val="en-US"/>
        </w:rPr>
        <w:t>s wishing to challenge the Contracting Entity’s decisions or actions in court before the Sale and Purchase Agreement comes into force, must submit a claim to the Contracting Entity in accordance with the procedure set forth in Chapter VII of the Procurement Law. Decision of the Contracting Entity adopted following examination of the claim, may be challenged in court in accordance with the procedure set forth in Chapter VII of the Procurement Law</w:t>
      </w:r>
      <w:r w:rsidRPr="0097755E">
        <w:rPr>
          <w:rFonts w:eastAsia="Lucida Sans Unicode"/>
          <w:color w:val="000000"/>
          <w:szCs w:val="24"/>
          <w:lang w:val="en-US"/>
        </w:rPr>
        <w:t>.</w:t>
      </w:r>
    </w:p>
    <w:p w14:paraId="2E616C90" w14:textId="77777777" w:rsidR="0097755E" w:rsidRPr="0097755E" w:rsidRDefault="0097755E" w:rsidP="0097755E">
      <w:pPr>
        <w:ind w:firstLine="567"/>
        <w:contextualSpacing/>
        <w:rPr>
          <w:rFonts w:eastAsia="Lucida Sans Unicode"/>
          <w:color w:val="000000"/>
          <w:szCs w:val="24"/>
          <w:lang w:val="en-US"/>
        </w:rPr>
      </w:pPr>
      <w:r w:rsidRPr="0097755E">
        <w:rPr>
          <w:rFonts w:eastAsia="Lucida Sans Unicode"/>
          <w:color w:val="000000"/>
          <w:szCs w:val="24"/>
          <w:lang w:val="en-US"/>
        </w:rPr>
        <w:t xml:space="preserve">13.2. </w:t>
      </w:r>
      <w:r w:rsidRPr="0097755E">
        <w:rPr>
          <w:color w:val="000000"/>
          <w:szCs w:val="24"/>
          <w:lang w:val="en-US"/>
        </w:rPr>
        <w:t>The Contracting Entity is obligated to respond only to those claims that are received before signing of the Sale and Purchase Agreement and are filed in accordance with the terms and conditions of Chapter VII of the Procurement Law</w:t>
      </w:r>
      <w:r w:rsidRPr="0097755E">
        <w:rPr>
          <w:rFonts w:eastAsia="Lucida Sans Unicode"/>
          <w:color w:val="000000"/>
          <w:szCs w:val="24"/>
          <w:lang w:val="en-US"/>
        </w:rPr>
        <w:t>.</w:t>
      </w:r>
    </w:p>
    <w:p w14:paraId="6A8EA714" w14:textId="77777777" w:rsidR="0097755E" w:rsidRPr="0097755E" w:rsidRDefault="0097755E" w:rsidP="0097755E">
      <w:pPr>
        <w:ind w:firstLine="567"/>
        <w:contextualSpacing/>
        <w:rPr>
          <w:rFonts w:eastAsia="Lucida Sans Unicode"/>
          <w:color w:val="000000"/>
          <w:szCs w:val="24"/>
          <w:lang w:val="en-US"/>
        </w:rPr>
      </w:pPr>
      <w:r w:rsidRPr="0097755E">
        <w:rPr>
          <w:rFonts w:eastAsia="Lucida Sans Unicode"/>
          <w:color w:val="000000"/>
          <w:szCs w:val="24"/>
          <w:lang w:val="en-US"/>
        </w:rPr>
        <w:t xml:space="preserve">13.3. </w:t>
      </w:r>
      <w:r w:rsidRPr="0097755E">
        <w:rPr>
          <w:color w:val="000000"/>
          <w:szCs w:val="24"/>
          <w:lang w:val="en-US"/>
        </w:rPr>
        <w:t>Having received a claim, the Contracting Entity shall immediately defer all further procurement procedures until the dispute is resolved and a decision is made</w:t>
      </w:r>
      <w:r w:rsidRPr="0097755E">
        <w:rPr>
          <w:rFonts w:eastAsia="Lucida Sans Unicode"/>
          <w:color w:val="000000"/>
          <w:szCs w:val="24"/>
          <w:lang w:val="en-US"/>
        </w:rPr>
        <w:t>.</w:t>
      </w:r>
    </w:p>
    <w:p w14:paraId="63EB1B59" w14:textId="77777777" w:rsidR="00F16AF2" w:rsidRDefault="00F16AF2" w:rsidP="00871167">
      <w:pPr>
        <w:widowControl w:val="0"/>
        <w:tabs>
          <w:tab w:val="num" w:pos="377"/>
          <w:tab w:val="num" w:pos="737"/>
        </w:tabs>
        <w:autoSpaceDE w:val="0"/>
        <w:autoSpaceDN w:val="0"/>
        <w:adjustRightInd w:val="0"/>
        <w:spacing w:before="240" w:after="120"/>
        <w:outlineLvl w:val="0"/>
        <w:rPr>
          <w:b/>
          <w:szCs w:val="24"/>
          <w:lang w:val="en-US" w:eastAsia="x-none"/>
        </w:rPr>
      </w:pPr>
    </w:p>
    <w:p w14:paraId="7DAC9124" w14:textId="55C78FF9" w:rsidR="0097755E" w:rsidRPr="0097755E" w:rsidRDefault="0097755E" w:rsidP="0097755E">
      <w:pPr>
        <w:widowControl w:val="0"/>
        <w:tabs>
          <w:tab w:val="num" w:pos="377"/>
          <w:tab w:val="num" w:pos="737"/>
        </w:tabs>
        <w:autoSpaceDE w:val="0"/>
        <w:autoSpaceDN w:val="0"/>
        <w:adjustRightInd w:val="0"/>
        <w:spacing w:before="240" w:after="120"/>
        <w:ind w:left="567" w:hanging="210"/>
        <w:jc w:val="center"/>
        <w:outlineLvl w:val="0"/>
        <w:rPr>
          <w:b/>
          <w:szCs w:val="24"/>
          <w:lang w:val="en-US" w:eastAsia="x-none"/>
        </w:rPr>
      </w:pPr>
      <w:r w:rsidRPr="0097755E">
        <w:rPr>
          <w:b/>
          <w:szCs w:val="24"/>
          <w:lang w:val="en-US" w:eastAsia="x-none"/>
        </w:rPr>
        <w:t>14. FINAL PROVISIONS</w:t>
      </w:r>
    </w:p>
    <w:p w14:paraId="6048FAFA" w14:textId="77777777" w:rsidR="0097755E" w:rsidRPr="0097755E" w:rsidRDefault="0097755E" w:rsidP="0097755E">
      <w:pPr>
        <w:ind w:firstLine="567"/>
        <w:rPr>
          <w:kern w:val="16"/>
          <w:szCs w:val="24"/>
          <w:lang w:val="en-US" w:eastAsia="ar-SA"/>
        </w:rPr>
      </w:pPr>
      <w:r w:rsidRPr="0097755E">
        <w:rPr>
          <w:kern w:val="16"/>
          <w:szCs w:val="24"/>
          <w:lang w:val="en-US" w:eastAsia="ar-SA"/>
        </w:rPr>
        <w:t xml:space="preserve">14.1. </w:t>
      </w:r>
      <w:bookmarkStart w:id="9" w:name="_Hlk128662013"/>
      <w:r w:rsidRPr="0097755E">
        <w:rPr>
          <w:kern w:val="16"/>
          <w:szCs w:val="24"/>
          <w:lang w:val="en-US" w:eastAsia="ar-SA"/>
        </w:rPr>
        <w:t>The Contracting Entity has the right to cancel the procurement procedures at any time prior to the conclusion of the Agreement at its own initiative in the event of circumstances which could not have been foreseen (lack of funds to pay for the work, etc.) or in the event that material errors have been made in the Procurement Specification which would make the procurement inexpedient or which would result in acquisition of a procurement object not corresponding to the needs of the Contracting Entity. The Contracting Entity is obliged to cancel the procurement procedures initiated if the principles set out in Paragraph 1 of Article 29 of the Procurement Law have been violated and the relevant situation cannot be corrected</w:t>
      </w:r>
      <w:bookmarkEnd w:id="9"/>
      <w:r w:rsidRPr="0097755E">
        <w:rPr>
          <w:lang w:val="en-US" w:eastAsia="lt-LT"/>
        </w:rPr>
        <w:t>.</w:t>
      </w:r>
    </w:p>
    <w:p w14:paraId="6AD12E0C" w14:textId="77777777" w:rsidR="0097755E" w:rsidRPr="0097755E" w:rsidRDefault="0097755E" w:rsidP="0097755E">
      <w:pPr>
        <w:ind w:firstLine="567"/>
        <w:rPr>
          <w:lang w:val="en-US" w:eastAsia="lt-LT"/>
        </w:rPr>
      </w:pPr>
      <w:r w:rsidRPr="0097755E">
        <w:rPr>
          <w:lang w:val="en-US" w:eastAsia="lt-LT"/>
        </w:rPr>
        <w:t>14.2. The Contracting Entity is not liable to compensate the Tender Participants for any losses incurred as a result of termination of the procurement procedure.</w:t>
      </w:r>
    </w:p>
    <w:p w14:paraId="4042F5EF" w14:textId="0C4AAAA4" w:rsidR="00F66F4A" w:rsidRPr="00F16AF2" w:rsidRDefault="00F16AF2" w:rsidP="00F16AF2">
      <w:pPr>
        <w:rPr>
          <w:rFonts w:eastAsia="Calibri"/>
          <w:vanish/>
          <w:szCs w:val="24"/>
          <w:lang w:val="en-US"/>
        </w:rPr>
      </w:pPr>
      <w:r>
        <w:rPr>
          <w:szCs w:val="24"/>
          <w:lang w:val="en-US"/>
        </w:rPr>
        <w:t xml:space="preserve">          </w:t>
      </w:r>
      <w:r w:rsidR="0097755E" w:rsidRPr="00F16AF2">
        <w:rPr>
          <w:szCs w:val="24"/>
          <w:lang w:val="en-US"/>
        </w:rPr>
        <w:t>14.3. Any procurement procedures not discussed in this Public Procurement Specification shall be governed by the Procurement Law and subsequent legal norms.</w:t>
      </w:r>
    </w:p>
    <w:p w14:paraId="2806AA17" w14:textId="38E62C0B" w:rsidR="007B79BA" w:rsidRDefault="007B79BA">
      <w:pPr>
        <w:spacing w:after="200" w:line="276" w:lineRule="auto"/>
        <w:jc w:val="left"/>
        <w:rPr>
          <w:lang w:val="en-US"/>
        </w:rPr>
      </w:pPr>
      <w:r>
        <w:rPr>
          <w:lang w:val="en-US"/>
        </w:rPr>
        <w:br w:type="page"/>
      </w:r>
    </w:p>
    <w:p w14:paraId="3ADEE027" w14:textId="02322294" w:rsidR="00DD54D5" w:rsidRPr="0097755E" w:rsidRDefault="00CA0054" w:rsidP="00CA0054">
      <w:pPr>
        <w:pStyle w:val="Pagrindinistekstas"/>
        <w:ind w:firstLine="0"/>
        <w:contextualSpacing/>
        <w:jc w:val="right"/>
        <w:rPr>
          <w:lang w:val="en-US"/>
        </w:rPr>
      </w:pPr>
      <w:r w:rsidRPr="0097755E">
        <w:rPr>
          <w:lang w:val="en-US"/>
        </w:rPr>
        <w:lastRenderedPageBreak/>
        <w:t>Annex 1</w:t>
      </w:r>
    </w:p>
    <w:p w14:paraId="63E1B720" w14:textId="49D0B832" w:rsidR="000744ED" w:rsidRPr="0097755E" w:rsidRDefault="00CA0054" w:rsidP="00CA0054">
      <w:pPr>
        <w:pStyle w:val="Pagrindinistekstas"/>
        <w:tabs>
          <w:tab w:val="left" w:pos="7088"/>
        </w:tabs>
        <w:ind w:firstLine="0"/>
        <w:contextualSpacing/>
        <w:jc w:val="right"/>
        <w:rPr>
          <w:lang w:val="en-US"/>
        </w:rPr>
      </w:pPr>
      <w:r w:rsidRPr="0097755E">
        <w:rPr>
          <w:lang w:val="en-US"/>
        </w:rPr>
        <w:t>to Public Procurement Documents</w:t>
      </w:r>
    </w:p>
    <w:p w14:paraId="653B36A4" w14:textId="77777777" w:rsidR="00F20D66" w:rsidRPr="0097755E" w:rsidRDefault="00F20D66" w:rsidP="00CA0054">
      <w:pPr>
        <w:pStyle w:val="Pagrindinistekstas"/>
        <w:ind w:firstLine="0"/>
        <w:contextualSpacing/>
        <w:rPr>
          <w:color w:val="0070C0"/>
          <w:lang w:val="en-US"/>
        </w:rPr>
      </w:pPr>
    </w:p>
    <w:p w14:paraId="3615BD93" w14:textId="77777777" w:rsidR="00CA0054" w:rsidRPr="0097755E" w:rsidRDefault="00CA0054" w:rsidP="00CA0054">
      <w:pPr>
        <w:pStyle w:val="Pagrindinistekstas"/>
        <w:ind w:firstLine="0"/>
        <w:contextualSpacing/>
        <w:jc w:val="center"/>
        <w:rPr>
          <w:rFonts w:ascii="Times New Roman Bold" w:hAnsi="Times New Roman Bold"/>
          <w:b/>
          <w:caps/>
          <w:lang w:val="en-US"/>
        </w:rPr>
      </w:pPr>
      <w:r w:rsidRPr="0097755E">
        <w:rPr>
          <w:rFonts w:ascii="Times New Roman Bold" w:hAnsi="Times New Roman Bold"/>
          <w:b/>
          <w:caps/>
          <w:lang w:val="en-US"/>
        </w:rPr>
        <w:t>Technical Specification</w:t>
      </w:r>
    </w:p>
    <w:p w14:paraId="2242F5E4" w14:textId="77777777" w:rsidR="00CA0054" w:rsidRPr="0097755E" w:rsidRDefault="00CA0054" w:rsidP="00CA0054">
      <w:pPr>
        <w:tabs>
          <w:tab w:val="left" w:pos="3744"/>
        </w:tabs>
        <w:jc w:val="center"/>
        <w:rPr>
          <w:b/>
          <w:szCs w:val="24"/>
          <w:lang w:val="en-US"/>
        </w:rPr>
      </w:pPr>
    </w:p>
    <w:p w14:paraId="59315905" w14:textId="22A688ED" w:rsidR="00F35496" w:rsidRPr="0097755E" w:rsidRDefault="00F35496" w:rsidP="00CA0054">
      <w:pPr>
        <w:tabs>
          <w:tab w:val="left" w:pos="3744"/>
        </w:tabs>
        <w:jc w:val="center"/>
        <w:rPr>
          <w:b/>
          <w:szCs w:val="24"/>
          <w:lang w:val="en-US"/>
        </w:rPr>
      </w:pPr>
      <w:r w:rsidRPr="0097755E">
        <w:rPr>
          <w:b/>
          <w:szCs w:val="24"/>
          <w:lang w:val="en-US"/>
        </w:rPr>
        <w:t>(</w:t>
      </w:r>
      <w:r w:rsidR="007B79BA" w:rsidRPr="0097755E">
        <w:rPr>
          <w:b/>
          <w:szCs w:val="24"/>
          <w:lang w:val="en-US"/>
        </w:rPr>
        <w:t>Enclosed</w:t>
      </w:r>
      <w:r w:rsidR="00CA0054" w:rsidRPr="0097755E">
        <w:rPr>
          <w:b/>
          <w:szCs w:val="24"/>
          <w:lang w:val="en-US"/>
        </w:rPr>
        <w:t xml:space="preserve"> as a separate document</w:t>
      </w:r>
      <w:r w:rsidR="007B79BA">
        <w:rPr>
          <w:b/>
          <w:szCs w:val="24"/>
          <w:lang w:val="en-US"/>
        </w:rPr>
        <w:t>, in English</w:t>
      </w:r>
      <w:r w:rsidRPr="0097755E">
        <w:rPr>
          <w:b/>
          <w:szCs w:val="24"/>
          <w:lang w:val="en-US"/>
        </w:rPr>
        <w:t>)</w:t>
      </w:r>
    </w:p>
    <w:p w14:paraId="145A0060" w14:textId="77777777" w:rsidR="000744ED" w:rsidRPr="0097755E" w:rsidRDefault="000744ED" w:rsidP="000744ED">
      <w:pPr>
        <w:pStyle w:val="Pagrindinistekstas"/>
        <w:ind w:firstLine="0"/>
        <w:contextualSpacing/>
        <w:jc w:val="right"/>
        <w:rPr>
          <w:lang w:val="en-US"/>
        </w:rPr>
      </w:pPr>
    </w:p>
    <w:p w14:paraId="5BCD1740" w14:textId="77777777" w:rsidR="000744ED" w:rsidRPr="0097755E" w:rsidRDefault="000744ED" w:rsidP="000744ED">
      <w:pPr>
        <w:pStyle w:val="Pagrindinistekstas"/>
        <w:ind w:firstLine="0"/>
        <w:contextualSpacing/>
        <w:jc w:val="center"/>
        <w:rPr>
          <w:lang w:val="en-US"/>
        </w:rPr>
        <w:sectPr w:rsidR="000744ED" w:rsidRPr="0097755E" w:rsidSect="0048092C">
          <w:pgSz w:w="11906" w:h="16838" w:code="9"/>
          <w:pgMar w:top="1134" w:right="567" w:bottom="1134" w:left="1276" w:header="567" w:footer="567" w:gutter="0"/>
          <w:cols w:space="1296"/>
          <w:formProt w:val="0"/>
          <w:titlePg/>
        </w:sectPr>
      </w:pPr>
    </w:p>
    <w:p w14:paraId="28D3D415" w14:textId="1669DD1D" w:rsidR="00CA0054" w:rsidRPr="0097755E" w:rsidRDefault="00FA262C" w:rsidP="00CA0054">
      <w:pPr>
        <w:pStyle w:val="Pagrindinistekstas"/>
        <w:ind w:firstLine="0"/>
        <w:contextualSpacing/>
        <w:jc w:val="right"/>
        <w:rPr>
          <w:lang w:val="en-US"/>
        </w:rPr>
      </w:pPr>
      <w:r w:rsidRPr="0097755E">
        <w:rPr>
          <w:lang w:val="en-US"/>
        </w:rPr>
        <w:lastRenderedPageBreak/>
        <w:t xml:space="preserve">                                                                                                                    </w:t>
      </w:r>
      <w:r w:rsidR="00CA0054" w:rsidRPr="0097755E">
        <w:rPr>
          <w:lang w:val="en-US"/>
        </w:rPr>
        <w:t>Annex 2</w:t>
      </w:r>
    </w:p>
    <w:p w14:paraId="617BF7B4" w14:textId="77777777" w:rsidR="00CA0054" w:rsidRPr="0097755E" w:rsidRDefault="00CA0054" w:rsidP="00CA0054">
      <w:pPr>
        <w:pStyle w:val="Pagrindinistekstas"/>
        <w:tabs>
          <w:tab w:val="left" w:pos="7088"/>
        </w:tabs>
        <w:ind w:firstLine="0"/>
        <w:contextualSpacing/>
        <w:jc w:val="right"/>
        <w:rPr>
          <w:lang w:val="en-US"/>
        </w:rPr>
      </w:pPr>
      <w:r w:rsidRPr="0097755E">
        <w:rPr>
          <w:lang w:val="en-US"/>
        </w:rPr>
        <w:t>to Public Procurement Documents</w:t>
      </w:r>
    </w:p>
    <w:p w14:paraId="2666BDCB" w14:textId="6BDA9891" w:rsidR="000744ED" w:rsidRPr="0097755E" w:rsidRDefault="000744ED" w:rsidP="00CA0054">
      <w:pPr>
        <w:pStyle w:val="Pagrindinistekstas"/>
        <w:ind w:firstLine="0"/>
        <w:contextualSpacing/>
        <w:jc w:val="center"/>
        <w:rPr>
          <w:lang w:val="en-US"/>
        </w:rPr>
      </w:pPr>
    </w:p>
    <w:p w14:paraId="7F830C2E" w14:textId="77777777" w:rsidR="00CA0054" w:rsidRPr="0097755E" w:rsidRDefault="00CA0054" w:rsidP="00CA0054">
      <w:pPr>
        <w:pStyle w:val="Pagrindinistekstas"/>
        <w:ind w:firstLine="0"/>
        <w:contextualSpacing/>
        <w:jc w:val="center"/>
        <w:rPr>
          <w:b/>
          <w:color w:val="365F91" w:themeColor="accent1" w:themeShade="BF"/>
          <w:lang w:val="en-US"/>
        </w:rPr>
      </w:pPr>
      <w:r w:rsidRPr="0097755E">
        <w:rPr>
          <w:b/>
          <w:lang w:val="en-US"/>
        </w:rPr>
        <w:t xml:space="preserve">TENDER PROPOSAL </w:t>
      </w:r>
    </w:p>
    <w:p w14:paraId="61774269" w14:textId="77777777" w:rsidR="00CA0054" w:rsidRPr="0097755E" w:rsidRDefault="00CA0054" w:rsidP="00CA0054">
      <w:pPr>
        <w:rPr>
          <w:szCs w:val="24"/>
          <w:lang w:val="en-US"/>
        </w:rPr>
      </w:pPr>
    </w:p>
    <w:p w14:paraId="373BA02B" w14:textId="77777777" w:rsidR="00CA0054" w:rsidRPr="0097755E" w:rsidRDefault="00CA0054" w:rsidP="00CA0054">
      <w:pPr>
        <w:jc w:val="center"/>
        <w:rPr>
          <w:sz w:val="16"/>
          <w:szCs w:val="16"/>
          <w:lang w:val="en-US"/>
        </w:rPr>
      </w:pPr>
      <w:r w:rsidRPr="0097755E">
        <w:rPr>
          <w:sz w:val="16"/>
          <w:szCs w:val="16"/>
          <w:lang w:val="en-US"/>
        </w:rPr>
        <w:t xml:space="preserve"> Emblem/ Logo/ Trademark </w:t>
      </w:r>
    </w:p>
    <w:p w14:paraId="057C6C4A" w14:textId="77777777" w:rsidR="00CA0054" w:rsidRPr="0097755E" w:rsidRDefault="00CA0054" w:rsidP="00CA0054">
      <w:pPr>
        <w:jc w:val="center"/>
        <w:rPr>
          <w:sz w:val="16"/>
          <w:szCs w:val="16"/>
          <w:lang w:val="en-US"/>
        </w:rPr>
      </w:pPr>
    </w:p>
    <w:p w14:paraId="1152FE1F" w14:textId="77777777" w:rsidR="00CA0054" w:rsidRPr="0097755E" w:rsidRDefault="00CA0054" w:rsidP="00CA0054">
      <w:pPr>
        <w:jc w:val="center"/>
        <w:rPr>
          <w:sz w:val="16"/>
          <w:szCs w:val="16"/>
          <w:lang w:val="en-US"/>
        </w:rPr>
      </w:pPr>
      <w:r w:rsidRPr="0097755E">
        <w:rPr>
          <w:sz w:val="16"/>
          <w:szCs w:val="16"/>
          <w:lang w:val="en-US"/>
        </w:rPr>
        <w:t>_____________________________________________________________</w:t>
      </w:r>
    </w:p>
    <w:p w14:paraId="37EB9752" w14:textId="0E5D04F1" w:rsidR="00CA0054" w:rsidRPr="0097755E" w:rsidRDefault="00CA0054" w:rsidP="00CA0054">
      <w:pPr>
        <w:jc w:val="center"/>
        <w:rPr>
          <w:sz w:val="16"/>
          <w:szCs w:val="16"/>
          <w:lang w:val="en-US"/>
        </w:rPr>
      </w:pPr>
      <w:r w:rsidRPr="0097755E">
        <w:rPr>
          <w:sz w:val="16"/>
          <w:szCs w:val="16"/>
          <w:lang w:val="en-US"/>
        </w:rPr>
        <w:t>(Name of the Tender Participant (</w:t>
      </w:r>
      <w:r w:rsidR="00CA32C6">
        <w:rPr>
          <w:sz w:val="16"/>
          <w:szCs w:val="16"/>
          <w:lang w:val="en-US"/>
        </w:rPr>
        <w:t>Provider</w:t>
      </w:r>
      <w:r w:rsidRPr="0097755E">
        <w:rPr>
          <w:sz w:val="16"/>
          <w:szCs w:val="16"/>
          <w:lang w:val="en-US"/>
        </w:rPr>
        <w:t>)</w:t>
      </w:r>
    </w:p>
    <w:p w14:paraId="6418F722" w14:textId="77777777" w:rsidR="00CA0054" w:rsidRPr="0097755E" w:rsidRDefault="00CA0054" w:rsidP="00CA0054">
      <w:pPr>
        <w:jc w:val="center"/>
        <w:rPr>
          <w:szCs w:val="24"/>
          <w:lang w:val="en-US"/>
        </w:rPr>
      </w:pPr>
      <w:r w:rsidRPr="0097755E">
        <w:rPr>
          <w:szCs w:val="24"/>
          <w:lang w:val="en-US"/>
        </w:rPr>
        <w:t>______________________________________________________________________________</w:t>
      </w:r>
    </w:p>
    <w:p w14:paraId="2CCDC518" w14:textId="77777777" w:rsidR="00CA0054" w:rsidRPr="0097755E" w:rsidRDefault="00CA0054" w:rsidP="00CA0054">
      <w:pPr>
        <w:ind w:right="-178"/>
        <w:jc w:val="center"/>
        <w:rPr>
          <w:color w:val="000000"/>
          <w:sz w:val="18"/>
          <w:szCs w:val="18"/>
          <w:lang w:val="en-US"/>
        </w:rPr>
      </w:pPr>
      <w:r w:rsidRPr="0097755E">
        <w:rPr>
          <w:color w:val="000000"/>
          <w:sz w:val="18"/>
          <w:szCs w:val="18"/>
          <w:lang w:val="en-US"/>
        </w:rPr>
        <w:t>(Legal form, registered office address and contact details of the legal entity; name of the register in which the legal entity is registered, enterprise (company) number, VAT registration number if the legal entity is a registered VAT payer)</w:t>
      </w:r>
    </w:p>
    <w:p w14:paraId="6D0EF937" w14:textId="77777777" w:rsidR="00CA0054" w:rsidRPr="0097755E" w:rsidRDefault="00CA0054" w:rsidP="00CA0054">
      <w:pPr>
        <w:ind w:right="-178"/>
        <w:jc w:val="center"/>
        <w:rPr>
          <w:color w:val="000000"/>
          <w:sz w:val="18"/>
          <w:szCs w:val="18"/>
          <w:lang w:val="en-US"/>
        </w:rPr>
      </w:pPr>
    </w:p>
    <w:p w14:paraId="2A68F148" w14:textId="7D7E76F5" w:rsidR="003E168B" w:rsidRPr="000C6BF7" w:rsidRDefault="00A2001C" w:rsidP="00403C20">
      <w:pPr>
        <w:tabs>
          <w:tab w:val="center" w:pos="2520"/>
        </w:tabs>
        <w:rPr>
          <w:color w:val="000000"/>
          <w:szCs w:val="24"/>
          <w:lang w:val="it-IT"/>
        </w:rPr>
      </w:pPr>
      <w:r w:rsidRPr="000C6BF7">
        <w:rPr>
          <w:color w:val="000000"/>
          <w:szCs w:val="24"/>
          <w:lang w:val="it-IT"/>
        </w:rPr>
        <w:t xml:space="preserve">Attn: </w:t>
      </w:r>
      <w:r w:rsidR="008B6DDF" w:rsidRPr="000C6BF7">
        <w:rPr>
          <w:color w:val="000000"/>
          <w:szCs w:val="24"/>
          <w:lang w:val="it-IT"/>
        </w:rPr>
        <w:t xml:space="preserve">Kauno </w:t>
      </w:r>
      <w:r w:rsidR="00CA0054" w:rsidRPr="000C6BF7">
        <w:rPr>
          <w:color w:val="000000"/>
          <w:szCs w:val="24"/>
          <w:lang w:val="it-IT"/>
        </w:rPr>
        <w:t>A</w:t>
      </w:r>
      <w:r w:rsidR="008B6DDF" w:rsidRPr="000C6BF7">
        <w:rPr>
          <w:color w:val="000000"/>
          <w:szCs w:val="24"/>
          <w:lang w:val="it-IT"/>
        </w:rPr>
        <w:t>utobusai</w:t>
      </w:r>
      <w:r w:rsidR="00CA0054" w:rsidRPr="000C6BF7">
        <w:rPr>
          <w:color w:val="000000"/>
          <w:szCs w:val="24"/>
          <w:lang w:val="it-IT"/>
        </w:rPr>
        <w:t xml:space="preserve"> UAB</w:t>
      </w:r>
    </w:p>
    <w:p w14:paraId="0239CD51" w14:textId="77777777" w:rsidR="00A2001C" w:rsidRPr="000C6BF7" w:rsidRDefault="00A2001C" w:rsidP="00403C20">
      <w:pPr>
        <w:tabs>
          <w:tab w:val="center" w:pos="2520"/>
        </w:tabs>
        <w:rPr>
          <w:szCs w:val="24"/>
          <w:lang w:val="it-IT"/>
        </w:rPr>
      </w:pPr>
    </w:p>
    <w:p w14:paraId="007CBD23" w14:textId="77777777" w:rsidR="00A2001C" w:rsidRPr="000C6BF7" w:rsidRDefault="00A2001C" w:rsidP="003E168B">
      <w:pPr>
        <w:shd w:val="clear" w:color="auto" w:fill="FFFFFF"/>
        <w:ind w:right="99"/>
        <w:jc w:val="center"/>
        <w:rPr>
          <w:rFonts w:ascii="Times New Roman Bold" w:hAnsi="Times New Roman Bold"/>
          <w:b/>
          <w:caps/>
          <w:szCs w:val="24"/>
          <w:lang w:val="it-IT"/>
        </w:rPr>
      </w:pPr>
      <w:r w:rsidRPr="000C6BF7">
        <w:rPr>
          <w:rFonts w:ascii="Times New Roman Bold" w:hAnsi="Times New Roman Bold"/>
          <w:b/>
          <w:caps/>
          <w:szCs w:val="24"/>
          <w:lang w:val="it-IT"/>
        </w:rPr>
        <w:t xml:space="preserve">Proposal for Acquisition </w:t>
      </w:r>
    </w:p>
    <w:p w14:paraId="3A74F87A" w14:textId="11697A1A" w:rsidR="00A2001C" w:rsidRPr="004E0209" w:rsidRDefault="004E0209" w:rsidP="003E168B">
      <w:pPr>
        <w:shd w:val="clear" w:color="auto" w:fill="FFFFFF"/>
        <w:ind w:right="99"/>
        <w:jc w:val="center"/>
        <w:rPr>
          <w:rFonts w:ascii="Times New Roman Bold" w:hAnsi="Times New Roman Bold"/>
          <w:b/>
          <w:caps/>
          <w:szCs w:val="24"/>
          <w:lang w:val="en-US"/>
        </w:rPr>
      </w:pPr>
      <w:r w:rsidRPr="004E0209">
        <w:rPr>
          <w:b/>
          <w:bCs/>
          <w:szCs w:val="24"/>
          <w:lang w:val="en-US"/>
        </w:rPr>
        <w:t>“</w:t>
      </w:r>
      <w:proofErr w:type="spellStart"/>
      <w:r w:rsidRPr="004E0209">
        <w:rPr>
          <w:b/>
          <w:bCs/>
          <w:szCs w:val="24"/>
          <w:lang w:val="en-US"/>
        </w:rPr>
        <w:t>cEMV</w:t>
      </w:r>
      <w:proofErr w:type="spellEnd"/>
      <w:r w:rsidRPr="004E0209">
        <w:rPr>
          <w:b/>
          <w:bCs/>
          <w:szCs w:val="24"/>
          <w:lang w:val="en-US"/>
        </w:rPr>
        <w:t xml:space="preserve"> </w:t>
      </w:r>
      <w:r w:rsidRPr="004E0209">
        <w:rPr>
          <w:b/>
          <w:bCs/>
          <w:caps/>
          <w:szCs w:val="24"/>
          <w:lang w:val="en-US"/>
        </w:rPr>
        <w:t>Payments with Contactless Bank Cards in Kaunas City Public Transport” System Launch and Maintenance</w:t>
      </w:r>
    </w:p>
    <w:p w14:paraId="15272B04" w14:textId="15778A11" w:rsidR="003E168B" w:rsidRPr="0097755E" w:rsidRDefault="003E168B" w:rsidP="003E168B">
      <w:pPr>
        <w:shd w:val="clear" w:color="auto" w:fill="FFFFFF"/>
        <w:ind w:right="99"/>
        <w:jc w:val="center"/>
        <w:rPr>
          <w:b/>
          <w:bCs/>
          <w:szCs w:val="24"/>
          <w:lang w:val="en-US"/>
        </w:rPr>
      </w:pPr>
      <w:r w:rsidRPr="0097755E">
        <w:rPr>
          <w:szCs w:val="24"/>
          <w:lang w:val="en-US"/>
        </w:rPr>
        <w:t>_____________</w:t>
      </w:r>
      <w:r w:rsidRPr="0097755E">
        <w:rPr>
          <w:b/>
          <w:bCs/>
          <w:szCs w:val="24"/>
          <w:lang w:val="en-US"/>
        </w:rPr>
        <w:t xml:space="preserve"> </w:t>
      </w:r>
      <w:r w:rsidRPr="0097755E">
        <w:rPr>
          <w:szCs w:val="24"/>
          <w:lang w:val="en-US"/>
        </w:rPr>
        <w:t>N</w:t>
      </w:r>
      <w:r w:rsidR="00A2001C" w:rsidRPr="0097755E">
        <w:rPr>
          <w:szCs w:val="24"/>
          <w:lang w:val="en-US"/>
        </w:rPr>
        <w:t>o</w:t>
      </w:r>
      <w:r w:rsidRPr="0097755E">
        <w:rPr>
          <w:szCs w:val="24"/>
          <w:lang w:val="en-US"/>
        </w:rPr>
        <w:t>.______</w:t>
      </w:r>
    </w:p>
    <w:p w14:paraId="1AAA0050" w14:textId="2B56139D" w:rsidR="003E168B" w:rsidRPr="0097755E" w:rsidRDefault="003E168B" w:rsidP="003E168B">
      <w:pPr>
        <w:shd w:val="clear" w:color="auto" w:fill="FFFFFF"/>
        <w:ind w:left="2592" w:right="99" w:firstLine="1296"/>
        <w:rPr>
          <w:bCs/>
          <w:sz w:val="16"/>
          <w:szCs w:val="16"/>
          <w:lang w:val="en-US"/>
        </w:rPr>
      </w:pPr>
      <w:r w:rsidRPr="0097755E">
        <w:rPr>
          <w:bCs/>
          <w:sz w:val="16"/>
          <w:szCs w:val="16"/>
          <w:lang w:val="en-US"/>
        </w:rPr>
        <w:t xml:space="preserve">      (</w:t>
      </w:r>
      <w:r w:rsidR="006D6F75" w:rsidRPr="0097755E">
        <w:rPr>
          <w:bCs/>
          <w:sz w:val="16"/>
          <w:szCs w:val="16"/>
          <w:lang w:val="en-US"/>
        </w:rPr>
        <w:t>d</w:t>
      </w:r>
      <w:r w:rsidRPr="0097755E">
        <w:rPr>
          <w:bCs/>
          <w:sz w:val="16"/>
          <w:szCs w:val="16"/>
          <w:lang w:val="en-US"/>
        </w:rPr>
        <w:t>at</w:t>
      </w:r>
      <w:r w:rsidR="00A2001C" w:rsidRPr="0097755E">
        <w:rPr>
          <w:bCs/>
          <w:sz w:val="16"/>
          <w:szCs w:val="16"/>
          <w:lang w:val="en-US"/>
        </w:rPr>
        <w:t>e</w:t>
      </w:r>
      <w:r w:rsidRPr="0097755E">
        <w:rPr>
          <w:bCs/>
          <w:sz w:val="16"/>
          <w:szCs w:val="16"/>
          <w:lang w:val="en-US"/>
        </w:rPr>
        <w:t>)</w:t>
      </w:r>
    </w:p>
    <w:p w14:paraId="06DAB7F6" w14:textId="77777777" w:rsidR="003E168B" w:rsidRPr="0097755E" w:rsidRDefault="003E168B" w:rsidP="003E168B">
      <w:pPr>
        <w:shd w:val="clear" w:color="auto" w:fill="FFFFFF"/>
        <w:jc w:val="center"/>
        <w:rPr>
          <w:bCs/>
          <w:szCs w:val="24"/>
          <w:lang w:val="en-US"/>
        </w:rPr>
      </w:pPr>
      <w:r w:rsidRPr="0097755E">
        <w:rPr>
          <w:bCs/>
          <w:szCs w:val="24"/>
          <w:lang w:val="en-US"/>
        </w:rPr>
        <w:t>_____________</w:t>
      </w:r>
    </w:p>
    <w:p w14:paraId="644CD605" w14:textId="52176871" w:rsidR="00A2001C" w:rsidRPr="0097755E" w:rsidRDefault="003E168B" w:rsidP="006D6F75">
      <w:pPr>
        <w:shd w:val="clear" w:color="auto" w:fill="FFFFFF"/>
        <w:jc w:val="center"/>
        <w:rPr>
          <w:bCs/>
          <w:sz w:val="16"/>
          <w:szCs w:val="16"/>
          <w:lang w:val="en-US"/>
        </w:rPr>
      </w:pPr>
      <w:r w:rsidRPr="0097755E">
        <w:rPr>
          <w:bCs/>
          <w:sz w:val="16"/>
          <w:szCs w:val="16"/>
          <w:lang w:val="en-US"/>
        </w:rPr>
        <w:t>(</w:t>
      </w:r>
      <w:r w:rsidR="006D6F75" w:rsidRPr="0097755E">
        <w:rPr>
          <w:bCs/>
          <w:sz w:val="16"/>
          <w:szCs w:val="16"/>
          <w:lang w:val="en-US"/>
        </w:rPr>
        <w:t>p</w:t>
      </w:r>
      <w:r w:rsidR="00A2001C" w:rsidRPr="0097755E">
        <w:rPr>
          <w:bCs/>
          <w:sz w:val="16"/>
          <w:szCs w:val="16"/>
          <w:lang w:val="en-US"/>
        </w:rPr>
        <w:t>lace of</w:t>
      </w:r>
      <w:r w:rsidR="006D6F75" w:rsidRPr="0097755E">
        <w:rPr>
          <w:bCs/>
          <w:sz w:val="16"/>
          <w:szCs w:val="16"/>
          <w:lang w:val="en-US"/>
        </w:rPr>
        <w:t xml:space="preserve"> proposal preparation</w:t>
      </w:r>
      <w:r w:rsidRPr="0097755E">
        <w:rPr>
          <w:bCs/>
          <w:sz w:val="16"/>
          <w:szCs w:val="16"/>
          <w:lang w:val="en-US"/>
        </w:rPr>
        <w:t>)</w:t>
      </w:r>
    </w:p>
    <w:p w14:paraId="0FD00301" w14:textId="64259579" w:rsidR="003E168B" w:rsidRPr="0097755E" w:rsidRDefault="006D6F75" w:rsidP="006D6F75">
      <w:pPr>
        <w:shd w:val="clear" w:color="auto" w:fill="FFFFFF"/>
        <w:ind w:left="7776"/>
        <w:jc w:val="center"/>
        <w:rPr>
          <w:bCs/>
          <w:sz w:val="20"/>
          <w:lang w:val="en-US"/>
        </w:rPr>
      </w:pPr>
      <w:r w:rsidRPr="0097755E">
        <w:rPr>
          <w:bCs/>
          <w:sz w:val="20"/>
          <w:lang w:val="en-US"/>
        </w:rPr>
        <w:t>Table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98"/>
      </w:tblGrid>
      <w:tr w:rsidR="002A348E" w:rsidRPr="0097755E" w14:paraId="56CE9C80" w14:textId="77777777" w:rsidTr="008F7CA2">
        <w:tc>
          <w:tcPr>
            <w:tcW w:w="4957" w:type="dxa"/>
            <w:tcBorders>
              <w:top w:val="single" w:sz="4" w:space="0" w:color="auto"/>
              <w:left w:val="single" w:sz="4" w:space="0" w:color="auto"/>
              <w:bottom w:val="single" w:sz="4" w:space="0" w:color="auto"/>
              <w:right w:val="single" w:sz="4" w:space="0" w:color="auto"/>
            </w:tcBorders>
          </w:tcPr>
          <w:p w14:paraId="3A0FFE67" w14:textId="2C7250B2" w:rsidR="006D6F75" w:rsidRPr="0097755E" w:rsidRDefault="006D6F75" w:rsidP="006E1273">
            <w:pPr>
              <w:rPr>
                <w:i/>
                <w:lang w:val="en-US"/>
              </w:rPr>
            </w:pPr>
            <w:r w:rsidRPr="0097755E">
              <w:rPr>
                <w:b/>
                <w:lang w:val="en-US"/>
              </w:rPr>
              <w:t>Name of the Tender Participant (</w:t>
            </w:r>
            <w:r w:rsidR="00CA32C6">
              <w:rPr>
                <w:b/>
                <w:lang w:val="en-US"/>
              </w:rPr>
              <w:t>Provider</w:t>
            </w:r>
            <w:r w:rsidRPr="0097755E">
              <w:rPr>
                <w:b/>
                <w:lang w:val="en-US"/>
              </w:rPr>
              <w:t xml:space="preserve">) </w:t>
            </w:r>
            <w:r w:rsidRPr="0097755E">
              <w:rPr>
                <w:i/>
                <w:iCs/>
                <w:lang w:val="en-US"/>
              </w:rPr>
              <w:t>(if the tender is submitted by a group of business entities</w:t>
            </w:r>
            <w:r w:rsidR="00B96D91" w:rsidRPr="0097755E">
              <w:rPr>
                <w:i/>
                <w:iCs/>
                <w:lang w:val="en-US"/>
              </w:rPr>
              <w:t xml:space="preserve"> </w:t>
            </w:r>
            <w:r w:rsidRPr="0097755E">
              <w:rPr>
                <w:i/>
                <w:iCs/>
                <w:lang w:val="en-US"/>
              </w:rPr>
              <w:t xml:space="preserve">acting on the basis of joint-activity agreement, provide the name </w:t>
            </w:r>
            <w:r w:rsidR="00B96D91" w:rsidRPr="0097755E">
              <w:rPr>
                <w:i/>
                <w:iCs/>
                <w:lang w:val="en-US"/>
              </w:rPr>
              <w:t xml:space="preserve">and enterprise number of each </w:t>
            </w:r>
            <w:r w:rsidRPr="0097755E">
              <w:rPr>
                <w:i/>
                <w:iCs/>
                <w:lang w:val="en-US"/>
              </w:rPr>
              <w:t>partner</w:t>
            </w:r>
            <w:r w:rsidR="00B96D91" w:rsidRPr="0097755E">
              <w:rPr>
                <w:i/>
                <w:iCs/>
                <w:lang w:val="en-US"/>
              </w:rPr>
              <w:t>)</w:t>
            </w:r>
          </w:p>
        </w:tc>
        <w:tc>
          <w:tcPr>
            <w:tcW w:w="4898" w:type="dxa"/>
            <w:tcBorders>
              <w:top w:val="single" w:sz="4" w:space="0" w:color="auto"/>
              <w:left w:val="single" w:sz="4" w:space="0" w:color="auto"/>
              <w:bottom w:val="single" w:sz="4" w:space="0" w:color="auto"/>
              <w:right w:val="single" w:sz="4" w:space="0" w:color="auto"/>
            </w:tcBorders>
          </w:tcPr>
          <w:p w14:paraId="129F825F" w14:textId="77777777" w:rsidR="002A348E" w:rsidRPr="0097755E" w:rsidRDefault="002A348E" w:rsidP="006E1273">
            <w:pPr>
              <w:rPr>
                <w:lang w:val="en-US"/>
              </w:rPr>
            </w:pPr>
          </w:p>
          <w:p w14:paraId="0C593EE5" w14:textId="77777777" w:rsidR="002A348E" w:rsidRPr="0097755E" w:rsidRDefault="002A348E" w:rsidP="006E1273">
            <w:pPr>
              <w:rPr>
                <w:lang w:val="en-US"/>
              </w:rPr>
            </w:pPr>
          </w:p>
        </w:tc>
      </w:tr>
      <w:tr w:rsidR="002A348E" w:rsidRPr="0097755E" w14:paraId="446F1933" w14:textId="77777777" w:rsidTr="008F7CA2">
        <w:tc>
          <w:tcPr>
            <w:tcW w:w="4957" w:type="dxa"/>
            <w:tcBorders>
              <w:top w:val="single" w:sz="4" w:space="0" w:color="auto"/>
              <w:left w:val="single" w:sz="4" w:space="0" w:color="auto"/>
              <w:bottom w:val="single" w:sz="4" w:space="0" w:color="auto"/>
              <w:right w:val="single" w:sz="4" w:space="0" w:color="auto"/>
            </w:tcBorders>
          </w:tcPr>
          <w:p w14:paraId="4F56B503" w14:textId="70B8B68C" w:rsidR="00B96D91" w:rsidRPr="0097755E" w:rsidRDefault="00B96D91" w:rsidP="006E1273">
            <w:pPr>
              <w:rPr>
                <w:lang w:val="en-US"/>
              </w:rPr>
            </w:pPr>
            <w:r w:rsidRPr="0097755E">
              <w:rPr>
                <w:b/>
                <w:lang w:val="en-US"/>
              </w:rPr>
              <w:t>Responsible Partner</w:t>
            </w:r>
            <w:r w:rsidRPr="0097755E">
              <w:rPr>
                <w:lang w:val="en-US"/>
              </w:rPr>
              <w:t xml:space="preserve"> </w:t>
            </w:r>
            <w:r w:rsidRPr="0097755E">
              <w:rPr>
                <w:i/>
                <w:iCs/>
                <w:lang w:val="en-US"/>
              </w:rPr>
              <w:t>(provide the name of the responsible partner if the tender is submitted by a group of business entities</w:t>
            </w:r>
            <w:r w:rsidR="008F7CA2" w:rsidRPr="0097755E">
              <w:rPr>
                <w:i/>
                <w:iCs/>
                <w:lang w:val="en-US"/>
              </w:rPr>
              <w:t xml:space="preserve"> acting on the basis of joint-activity agreement</w:t>
            </w:r>
            <w:r w:rsidRPr="0097755E">
              <w:rPr>
                <w:i/>
                <w:iCs/>
                <w:lang w:val="en-US"/>
              </w:rPr>
              <w:t>)</w:t>
            </w:r>
          </w:p>
        </w:tc>
        <w:tc>
          <w:tcPr>
            <w:tcW w:w="4898" w:type="dxa"/>
            <w:tcBorders>
              <w:top w:val="single" w:sz="4" w:space="0" w:color="auto"/>
              <w:left w:val="single" w:sz="4" w:space="0" w:color="auto"/>
              <w:bottom w:val="single" w:sz="4" w:space="0" w:color="auto"/>
              <w:right w:val="single" w:sz="4" w:space="0" w:color="auto"/>
            </w:tcBorders>
          </w:tcPr>
          <w:p w14:paraId="4C6B1E1D" w14:textId="77777777" w:rsidR="002A348E" w:rsidRPr="0097755E" w:rsidRDefault="002A348E" w:rsidP="006E1273">
            <w:pPr>
              <w:rPr>
                <w:lang w:val="en-US"/>
              </w:rPr>
            </w:pPr>
          </w:p>
        </w:tc>
      </w:tr>
      <w:tr w:rsidR="008F7CA2" w:rsidRPr="0097755E" w14:paraId="32CB27B5" w14:textId="77777777" w:rsidTr="008F7CA2">
        <w:tc>
          <w:tcPr>
            <w:tcW w:w="4957" w:type="dxa"/>
            <w:tcBorders>
              <w:top w:val="single" w:sz="4" w:space="0" w:color="auto"/>
              <w:left w:val="single" w:sz="4" w:space="0" w:color="auto"/>
              <w:bottom w:val="single" w:sz="4" w:space="0" w:color="auto"/>
              <w:right w:val="single" w:sz="4" w:space="0" w:color="auto"/>
            </w:tcBorders>
          </w:tcPr>
          <w:p w14:paraId="75268B1F" w14:textId="4F19FC97" w:rsidR="008F7CA2" w:rsidRPr="0097755E" w:rsidRDefault="00CA32C6" w:rsidP="008F7CA2">
            <w:pPr>
              <w:rPr>
                <w:lang w:val="en-US"/>
              </w:rPr>
            </w:pPr>
            <w:r>
              <w:rPr>
                <w:b/>
                <w:lang w:val="en-US"/>
              </w:rPr>
              <w:t>Provider</w:t>
            </w:r>
            <w:r w:rsidR="008F7CA2" w:rsidRPr="0097755E">
              <w:rPr>
                <w:b/>
                <w:lang w:val="en-US"/>
              </w:rPr>
              <w:t>’s address</w:t>
            </w:r>
          </w:p>
        </w:tc>
        <w:tc>
          <w:tcPr>
            <w:tcW w:w="4898" w:type="dxa"/>
            <w:tcBorders>
              <w:top w:val="single" w:sz="4" w:space="0" w:color="auto"/>
              <w:left w:val="single" w:sz="4" w:space="0" w:color="auto"/>
              <w:bottom w:val="single" w:sz="4" w:space="0" w:color="auto"/>
              <w:right w:val="single" w:sz="4" w:space="0" w:color="auto"/>
            </w:tcBorders>
          </w:tcPr>
          <w:p w14:paraId="62B41D0B" w14:textId="77777777" w:rsidR="008F7CA2" w:rsidRPr="0097755E" w:rsidRDefault="008F7CA2" w:rsidP="008F7CA2">
            <w:pPr>
              <w:rPr>
                <w:lang w:val="en-US"/>
              </w:rPr>
            </w:pPr>
          </w:p>
        </w:tc>
      </w:tr>
      <w:tr w:rsidR="008F7CA2" w:rsidRPr="0097755E" w14:paraId="123EAB53" w14:textId="77777777" w:rsidTr="008F7CA2">
        <w:tc>
          <w:tcPr>
            <w:tcW w:w="4957" w:type="dxa"/>
            <w:tcBorders>
              <w:top w:val="single" w:sz="4" w:space="0" w:color="auto"/>
              <w:left w:val="single" w:sz="4" w:space="0" w:color="auto"/>
              <w:bottom w:val="single" w:sz="4" w:space="0" w:color="auto"/>
              <w:right w:val="single" w:sz="4" w:space="0" w:color="auto"/>
            </w:tcBorders>
          </w:tcPr>
          <w:p w14:paraId="36BF1622" w14:textId="7899B9E9" w:rsidR="008F7CA2" w:rsidRPr="0097755E" w:rsidRDefault="008F7CA2" w:rsidP="008F7CA2">
            <w:pPr>
              <w:rPr>
                <w:lang w:val="en-US"/>
              </w:rPr>
            </w:pPr>
            <w:r w:rsidRPr="0097755E">
              <w:rPr>
                <w:b/>
                <w:lang w:val="en-US"/>
              </w:rPr>
              <w:t xml:space="preserve">Enterprise (company) number  </w:t>
            </w:r>
          </w:p>
        </w:tc>
        <w:tc>
          <w:tcPr>
            <w:tcW w:w="4898" w:type="dxa"/>
            <w:tcBorders>
              <w:top w:val="single" w:sz="4" w:space="0" w:color="auto"/>
              <w:left w:val="single" w:sz="4" w:space="0" w:color="auto"/>
              <w:bottom w:val="single" w:sz="4" w:space="0" w:color="auto"/>
              <w:right w:val="single" w:sz="4" w:space="0" w:color="auto"/>
            </w:tcBorders>
          </w:tcPr>
          <w:p w14:paraId="5BC0E5D9" w14:textId="77777777" w:rsidR="008F7CA2" w:rsidRPr="0097755E" w:rsidRDefault="008F7CA2" w:rsidP="008F7CA2">
            <w:pPr>
              <w:rPr>
                <w:lang w:val="en-US"/>
              </w:rPr>
            </w:pPr>
          </w:p>
        </w:tc>
      </w:tr>
      <w:tr w:rsidR="008F7CA2" w:rsidRPr="0097755E" w14:paraId="4D6804C8" w14:textId="77777777" w:rsidTr="008F7CA2">
        <w:tc>
          <w:tcPr>
            <w:tcW w:w="4957" w:type="dxa"/>
            <w:tcBorders>
              <w:top w:val="single" w:sz="4" w:space="0" w:color="auto"/>
              <w:left w:val="single" w:sz="4" w:space="0" w:color="auto"/>
              <w:bottom w:val="single" w:sz="4" w:space="0" w:color="auto"/>
              <w:right w:val="single" w:sz="4" w:space="0" w:color="auto"/>
            </w:tcBorders>
          </w:tcPr>
          <w:p w14:paraId="093F3B70" w14:textId="4BFAAC34" w:rsidR="008F7CA2" w:rsidRPr="0097755E" w:rsidRDefault="008F7CA2" w:rsidP="008F7CA2">
            <w:pPr>
              <w:rPr>
                <w:lang w:val="en-US"/>
              </w:rPr>
            </w:pPr>
            <w:r w:rsidRPr="0097755E">
              <w:rPr>
                <w:b/>
                <w:lang w:val="en-US"/>
              </w:rPr>
              <w:t xml:space="preserve">VAT registration number </w:t>
            </w:r>
          </w:p>
        </w:tc>
        <w:tc>
          <w:tcPr>
            <w:tcW w:w="4898" w:type="dxa"/>
            <w:tcBorders>
              <w:top w:val="single" w:sz="4" w:space="0" w:color="auto"/>
              <w:left w:val="single" w:sz="4" w:space="0" w:color="auto"/>
              <w:bottom w:val="single" w:sz="4" w:space="0" w:color="auto"/>
              <w:right w:val="single" w:sz="4" w:space="0" w:color="auto"/>
            </w:tcBorders>
          </w:tcPr>
          <w:p w14:paraId="59D7F893" w14:textId="77777777" w:rsidR="008F7CA2" w:rsidRPr="0097755E" w:rsidRDefault="008F7CA2" w:rsidP="008F7CA2">
            <w:pPr>
              <w:rPr>
                <w:lang w:val="en-US"/>
              </w:rPr>
            </w:pPr>
          </w:p>
        </w:tc>
      </w:tr>
      <w:tr w:rsidR="008F7CA2" w:rsidRPr="0097755E" w14:paraId="65EFC909" w14:textId="77777777" w:rsidTr="008F7CA2">
        <w:tc>
          <w:tcPr>
            <w:tcW w:w="4957" w:type="dxa"/>
            <w:tcBorders>
              <w:top w:val="single" w:sz="4" w:space="0" w:color="auto"/>
              <w:left w:val="single" w:sz="4" w:space="0" w:color="auto"/>
              <w:bottom w:val="single" w:sz="4" w:space="0" w:color="auto"/>
              <w:right w:val="single" w:sz="4" w:space="0" w:color="auto"/>
            </w:tcBorders>
          </w:tcPr>
          <w:p w14:paraId="2A8C3D48" w14:textId="5C7E5FDC" w:rsidR="008F7CA2" w:rsidRPr="0097755E" w:rsidRDefault="008F7CA2" w:rsidP="008F7CA2">
            <w:pPr>
              <w:rPr>
                <w:lang w:val="en-US"/>
              </w:rPr>
            </w:pPr>
            <w:r w:rsidRPr="0097755E">
              <w:rPr>
                <w:b/>
                <w:lang w:val="en-US"/>
              </w:rPr>
              <w:t xml:space="preserve">Bank name, bank code, and bank account number </w:t>
            </w:r>
          </w:p>
        </w:tc>
        <w:tc>
          <w:tcPr>
            <w:tcW w:w="4898" w:type="dxa"/>
            <w:tcBorders>
              <w:top w:val="single" w:sz="4" w:space="0" w:color="auto"/>
              <w:left w:val="single" w:sz="4" w:space="0" w:color="auto"/>
              <w:bottom w:val="single" w:sz="4" w:space="0" w:color="auto"/>
              <w:right w:val="single" w:sz="4" w:space="0" w:color="auto"/>
            </w:tcBorders>
          </w:tcPr>
          <w:p w14:paraId="6117B7B7" w14:textId="77777777" w:rsidR="008F7CA2" w:rsidRPr="0097755E" w:rsidRDefault="008F7CA2" w:rsidP="008F7CA2">
            <w:pPr>
              <w:rPr>
                <w:lang w:val="en-US"/>
              </w:rPr>
            </w:pPr>
          </w:p>
        </w:tc>
      </w:tr>
      <w:tr w:rsidR="008F7CA2" w:rsidRPr="0097755E" w14:paraId="252E5717" w14:textId="77777777" w:rsidTr="008F7CA2">
        <w:tc>
          <w:tcPr>
            <w:tcW w:w="4957" w:type="dxa"/>
            <w:tcBorders>
              <w:top w:val="single" w:sz="4" w:space="0" w:color="auto"/>
              <w:left w:val="single" w:sz="4" w:space="0" w:color="auto"/>
              <w:bottom w:val="single" w:sz="4" w:space="0" w:color="auto"/>
              <w:right w:val="single" w:sz="4" w:space="0" w:color="auto"/>
            </w:tcBorders>
          </w:tcPr>
          <w:p w14:paraId="3B004B24" w14:textId="13F7111A" w:rsidR="008F7CA2" w:rsidRPr="0097755E" w:rsidRDefault="008F7CA2" w:rsidP="008F7CA2">
            <w:pPr>
              <w:rPr>
                <w:lang w:val="en-US"/>
              </w:rPr>
            </w:pPr>
            <w:r w:rsidRPr="0097755E">
              <w:rPr>
                <w:b/>
                <w:lang w:val="en-US"/>
              </w:rPr>
              <w:t xml:space="preserve">Contact person for tender-related questions </w:t>
            </w:r>
          </w:p>
        </w:tc>
        <w:tc>
          <w:tcPr>
            <w:tcW w:w="4898" w:type="dxa"/>
            <w:tcBorders>
              <w:top w:val="single" w:sz="4" w:space="0" w:color="auto"/>
              <w:left w:val="single" w:sz="4" w:space="0" w:color="auto"/>
              <w:bottom w:val="single" w:sz="4" w:space="0" w:color="auto"/>
              <w:right w:val="single" w:sz="4" w:space="0" w:color="auto"/>
            </w:tcBorders>
          </w:tcPr>
          <w:p w14:paraId="154F7AFF" w14:textId="77777777" w:rsidR="008F7CA2" w:rsidRPr="0097755E" w:rsidRDefault="008F7CA2" w:rsidP="008F7CA2">
            <w:pPr>
              <w:rPr>
                <w:lang w:val="en-US"/>
              </w:rPr>
            </w:pPr>
          </w:p>
        </w:tc>
      </w:tr>
      <w:tr w:rsidR="008F7CA2" w:rsidRPr="0097755E" w14:paraId="3A42D93D" w14:textId="77777777" w:rsidTr="008F7CA2">
        <w:tc>
          <w:tcPr>
            <w:tcW w:w="4957" w:type="dxa"/>
            <w:tcBorders>
              <w:top w:val="single" w:sz="4" w:space="0" w:color="auto"/>
              <w:left w:val="single" w:sz="4" w:space="0" w:color="auto"/>
              <w:bottom w:val="single" w:sz="4" w:space="0" w:color="auto"/>
              <w:right w:val="single" w:sz="4" w:space="0" w:color="auto"/>
            </w:tcBorders>
          </w:tcPr>
          <w:p w14:paraId="7DCFC7A5" w14:textId="2B1FB719" w:rsidR="008F7CA2" w:rsidRPr="0097755E" w:rsidRDefault="008F7CA2" w:rsidP="008F7CA2">
            <w:pPr>
              <w:rPr>
                <w:lang w:val="en-US"/>
              </w:rPr>
            </w:pPr>
            <w:r w:rsidRPr="0097755E">
              <w:rPr>
                <w:b/>
                <w:lang w:val="en-US"/>
              </w:rPr>
              <w:t xml:space="preserve">Phone number/ fax number </w:t>
            </w:r>
          </w:p>
        </w:tc>
        <w:tc>
          <w:tcPr>
            <w:tcW w:w="4898" w:type="dxa"/>
            <w:tcBorders>
              <w:top w:val="single" w:sz="4" w:space="0" w:color="auto"/>
              <w:left w:val="single" w:sz="4" w:space="0" w:color="auto"/>
              <w:bottom w:val="single" w:sz="4" w:space="0" w:color="auto"/>
              <w:right w:val="single" w:sz="4" w:space="0" w:color="auto"/>
            </w:tcBorders>
          </w:tcPr>
          <w:p w14:paraId="272B1149" w14:textId="77777777" w:rsidR="008F7CA2" w:rsidRPr="0097755E" w:rsidRDefault="008F7CA2" w:rsidP="008F7CA2">
            <w:pPr>
              <w:rPr>
                <w:lang w:val="en-US"/>
              </w:rPr>
            </w:pPr>
          </w:p>
        </w:tc>
      </w:tr>
      <w:tr w:rsidR="008F7CA2" w:rsidRPr="0097755E" w14:paraId="4DB9FEE2" w14:textId="77777777" w:rsidTr="008F7CA2">
        <w:tc>
          <w:tcPr>
            <w:tcW w:w="4957" w:type="dxa"/>
            <w:tcBorders>
              <w:top w:val="single" w:sz="4" w:space="0" w:color="auto"/>
              <w:left w:val="single" w:sz="4" w:space="0" w:color="auto"/>
              <w:bottom w:val="single" w:sz="4" w:space="0" w:color="auto"/>
              <w:right w:val="single" w:sz="4" w:space="0" w:color="auto"/>
            </w:tcBorders>
          </w:tcPr>
          <w:p w14:paraId="3194CA15" w14:textId="317F07CF" w:rsidR="008F7CA2" w:rsidRPr="0097755E" w:rsidRDefault="008F7CA2" w:rsidP="008F7CA2">
            <w:pPr>
              <w:rPr>
                <w:lang w:val="en-US"/>
              </w:rPr>
            </w:pPr>
            <w:r w:rsidRPr="0097755E">
              <w:rPr>
                <w:b/>
                <w:lang w:val="en-US"/>
              </w:rPr>
              <w:t>E-mail address</w:t>
            </w:r>
          </w:p>
        </w:tc>
        <w:tc>
          <w:tcPr>
            <w:tcW w:w="4898" w:type="dxa"/>
            <w:tcBorders>
              <w:top w:val="single" w:sz="4" w:space="0" w:color="auto"/>
              <w:left w:val="single" w:sz="4" w:space="0" w:color="auto"/>
              <w:bottom w:val="single" w:sz="4" w:space="0" w:color="auto"/>
              <w:right w:val="single" w:sz="4" w:space="0" w:color="auto"/>
            </w:tcBorders>
          </w:tcPr>
          <w:p w14:paraId="34196810" w14:textId="77777777" w:rsidR="008F7CA2" w:rsidRPr="0097755E" w:rsidRDefault="008F7CA2" w:rsidP="008F7CA2">
            <w:pPr>
              <w:rPr>
                <w:lang w:val="en-US"/>
              </w:rPr>
            </w:pPr>
          </w:p>
        </w:tc>
      </w:tr>
      <w:tr w:rsidR="002A348E" w:rsidRPr="0097755E" w14:paraId="518E3223" w14:textId="77777777" w:rsidTr="008F7CA2">
        <w:tc>
          <w:tcPr>
            <w:tcW w:w="4957" w:type="dxa"/>
            <w:tcBorders>
              <w:top w:val="single" w:sz="4" w:space="0" w:color="auto"/>
              <w:left w:val="single" w:sz="4" w:space="0" w:color="auto"/>
              <w:bottom w:val="single" w:sz="4" w:space="0" w:color="auto"/>
              <w:right w:val="single" w:sz="4" w:space="0" w:color="auto"/>
            </w:tcBorders>
          </w:tcPr>
          <w:p w14:paraId="73741278" w14:textId="249F417E" w:rsidR="002A348E" w:rsidRPr="0097755E" w:rsidRDefault="008F7CA2" w:rsidP="006E1273">
            <w:pPr>
              <w:rPr>
                <w:lang w:val="en-US"/>
              </w:rPr>
            </w:pPr>
            <w:r w:rsidRPr="0097755E">
              <w:rPr>
                <w:b/>
                <w:lang w:val="en-US"/>
              </w:rPr>
              <w:t>First name, family name and title/position of the company representative authorized to sign the agreement</w:t>
            </w:r>
          </w:p>
        </w:tc>
        <w:tc>
          <w:tcPr>
            <w:tcW w:w="4898" w:type="dxa"/>
            <w:tcBorders>
              <w:top w:val="single" w:sz="4" w:space="0" w:color="auto"/>
              <w:left w:val="single" w:sz="4" w:space="0" w:color="auto"/>
              <w:bottom w:val="single" w:sz="4" w:space="0" w:color="auto"/>
              <w:right w:val="single" w:sz="4" w:space="0" w:color="auto"/>
            </w:tcBorders>
          </w:tcPr>
          <w:p w14:paraId="46F574CA" w14:textId="77777777" w:rsidR="002A348E" w:rsidRPr="0097755E" w:rsidRDefault="002A348E" w:rsidP="006E1273">
            <w:pPr>
              <w:rPr>
                <w:lang w:val="en-US"/>
              </w:rPr>
            </w:pPr>
          </w:p>
        </w:tc>
      </w:tr>
    </w:tbl>
    <w:p w14:paraId="572650DD" w14:textId="0AA778FD" w:rsidR="002A348E" w:rsidRPr="0097755E" w:rsidRDefault="002A348E" w:rsidP="002A348E">
      <w:pPr>
        <w:rPr>
          <w:rFonts w:eastAsia="Calibri"/>
          <w:sz w:val="20"/>
          <w:u w:val="single"/>
          <w:lang w:val="en-US"/>
        </w:rPr>
      </w:pPr>
      <w:r w:rsidRPr="0097755E">
        <w:rPr>
          <w:spacing w:val="-4"/>
          <w:szCs w:val="24"/>
          <w:lang w:val="en-US"/>
        </w:rPr>
        <w:t xml:space="preserve">                                                                                                                                                            </w:t>
      </w:r>
      <w:r w:rsidR="006D6F75" w:rsidRPr="0097755E">
        <w:rPr>
          <w:spacing w:val="-4"/>
          <w:sz w:val="20"/>
          <w:lang w:val="en-US"/>
        </w:rPr>
        <w:t>Table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516C02" w:rsidRPr="0097755E" w14:paraId="66E54F1A" w14:textId="77777777" w:rsidTr="006E1273">
        <w:tc>
          <w:tcPr>
            <w:tcW w:w="4928" w:type="dxa"/>
            <w:tcBorders>
              <w:top w:val="single" w:sz="4" w:space="0" w:color="auto"/>
              <w:left w:val="single" w:sz="4" w:space="0" w:color="auto"/>
              <w:bottom w:val="single" w:sz="4" w:space="0" w:color="auto"/>
              <w:right w:val="single" w:sz="4" w:space="0" w:color="auto"/>
            </w:tcBorders>
            <w:hideMark/>
          </w:tcPr>
          <w:p w14:paraId="4FB88874" w14:textId="5E30C84B" w:rsidR="00516C02" w:rsidRPr="0097755E" w:rsidRDefault="00516C02" w:rsidP="00516C02">
            <w:pPr>
              <w:rPr>
                <w:spacing w:val="-4"/>
                <w:szCs w:val="24"/>
                <w:lang w:val="en-US"/>
              </w:rPr>
            </w:pPr>
            <w:r w:rsidRPr="0097755E">
              <w:rPr>
                <w:spacing w:val="-4"/>
                <w:szCs w:val="24"/>
                <w:lang w:val="en-US"/>
              </w:rPr>
              <w:t>Name(s) of subcontractor(s) or sub-</w:t>
            </w:r>
            <w:r w:rsidR="00CA32C6">
              <w:rPr>
                <w:spacing w:val="-4"/>
                <w:szCs w:val="24"/>
                <w:lang w:val="en-US"/>
              </w:rPr>
              <w:t>provider</w:t>
            </w:r>
            <w:r w:rsidRPr="0097755E">
              <w:rPr>
                <w:spacing w:val="-4"/>
                <w:szCs w:val="24"/>
                <w:lang w:val="en-US"/>
              </w:rPr>
              <w:t xml:space="preserve">(s) </w:t>
            </w:r>
          </w:p>
          <w:p w14:paraId="73F91A8E" w14:textId="7E4C49CF" w:rsidR="00516C02" w:rsidRPr="0097755E" w:rsidRDefault="00516C02" w:rsidP="00516C02">
            <w:pPr>
              <w:rPr>
                <w:i/>
                <w:szCs w:val="24"/>
                <w:lang w:val="en-US"/>
              </w:rPr>
            </w:pPr>
          </w:p>
        </w:tc>
        <w:tc>
          <w:tcPr>
            <w:tcW w:w="4961" w:type="dxa"/>
            <w:tcBorders>
              <w:top w:val="single" w:sz="4" w:space="0" w:color="auto"/>
              <w:left w:val="single" w:sz="4" w:space="0" w:color="auto"/>
              <w:bottom w:val="single" w:sz="4" w:space="0" w:color="auto"/>
              <w:right w:val="single" w:sz="4" w:space="0" w:color="auto"/>
            </w:tcBorders>
          </w:tcPr>
          <w:p w14:paraId="367CA57C" w14:textId="77777777" w:rsidR="00516C02" w:rsidRPr="0097755E" w:rsidRDefault="00516C02" w:rsidP="00516C02">
            <w:pPr>
              <w:rPr>
                <w:szCs w:val="24"/>
                <w:lang w:val="en-US"/>
              </w:rPr>
            </w:pPr>
          </w:p>
        </w:tc>
      </w:tr>
      <w:tr w:rsidR="00516C02" w:rsidRPr="0097755E" w14:paraId="54E4459D" w14:textId="77777777" w:rsidTr="006E1273">
        <w:tc>
          <w:tcPr>
            <w:tcW w:w="4928" w:type="dxa"/>
            <w:tcBorders>
              <w:top w:val="single" w:sz="4" w:space="0" w:color="auto"/>
              <w:left w:val="single" w:sz="4" w:space="0" w:color="auto"/>
              <w:bottom w:val="single" w:sz="4" w:space="0" w:color="auto"/>
              <w:right w:val="single" w:sz="4" w:space="0" w:color="auto"/>
            </w:tcBorders>
            <w:hideMark/>
          </w:tcPr>
          <w:p w14:paraId="3E9C6175" w14:textId="3723D5AC" w:rsidR="00516C02" w:rsidRPr="0097755E" w:rsidRDefault="00516C02" w:rsidP="00516C02">
            <w:pPr>
              <w:rPr>
                <w:spacing w:val="-4"/>
                <w:szCs w:val="24"/>
                <w:lang w:val="en-US"/>
              </w:rPr>
            </w:pPr>
            <w:r w:rsidRPr="0097755E">
              <w:rPr>
                <w:spacing w:val="-4"/>
                <w:szCs w:val="24"/>
                <w:lang w:val="en-US"/>
              </w:rPr>
              <w:t>Address(s) of subcontractor(s) or sub-</w:t>
            </w:r>
            <w:r w:rsidR="00CA32C6">
              <w:rPr>
                <w:spacing w:val="-4"/>
                <w:szCs w:val="24"/>
                <w:lang w:val="en-US"/>
              </w:rPr>
              <w:t>provider</w:t>
            </w:r>
            <w:r w:rsidRPr="0097755E">
              <w:rPr>
                <w:spacing w:val="-4"/>
                <w:szCs w:val="24"/>
                <w:lang w:val="en-US"/>
              </w:rPr>
              <w:t>(s)</w:t>
            </w:r>
          </w:p>
          <w:p w14:paraId="0618761C" w14:textId="7557A686" w:rsidR="00516C02" w:rsidRPr="0097755E" w:rsidRDefault="00516C02" w:rsidP="00516C02">
            <w:pPr>
              <w:rPr>
                <w:szCs w:val="24"/>
                <w:lang w:val="en-US"/>
              </w:rPr>
            </w:pPr>
          </w:p>
        </w:tc>
        <w:tc>
          <w:tcPr>
            <w:tcW w:w="4961" w:type="dxa"/>
            <w:tcBorders>
              <w:top w:val="single" w:sz="4" w:space="0" w:color="auto"/>
              <w:left w:val="single" w:sz="4" w:space="0" w:color="auto"/>
              <w:bottom w:val="single" w:sz="4" w:space="0" w:color="auto"/>
              <w:right w:val="single" w:sz="4" w:space="0" w:color="auto"/>
            </w:tcBorders>
          </w:tcPr>
          <w:p w14:paraId="7377C598" w14:textId="77777777" w:rsidR="00516C02" w:rsidRPr="0097755E" w:rsidRDefault="00516C02" w:rsidP="00516C02">
            <w:pPr>
              <w:rPr>
                <w:szCs w:val="24"/>
                <w:lang w:val="en-US"/>
              </w:rPr>
            </w:pPr>
          </w:p>
        </w:tc>
      </w:tr>
      <w:tr w:rsidR="002A348E" w:rsidRPr="0097755E" w14:paraId="18E8B2D1" w14:textId="77777777" w:rsidTr="006E1273">
        <w:tc>
          <w:tcPr>
            <w:tcW w:w="4928" w:type="dxa"/>
            <w:tcBorders>
              <w:top w:val="single" w:sz="4" w:space="0" w:color="auto"/>
              <w:left w:val="single" w:sz="4" w:space="0" w:color="auto"/>
              <w:bottom w:val="single" w:sz="4" w:space="0" w:color="auto"/>
              <w:right w:val="single" w:sz="4" w:space="0" w:color="auto"/>
            </w:tcBorders>
            <w:hideMark/>
          </w:tcPr>
          <w:p w14:paraId="544F795E" w14:textId="31CC1B4B" w:rsidR="002A348E" w:rsidRPr="0097755E" w:rsidRDefault="00516C02" w:rsidP="00CA32C6">
            <w:pPr>
              <w:rPr>
                <w:szCs w:val="24"/>
                <w:lang w:val="en-US"/>
              </w:rPr>
            </w:pPr>
            <w:r w:rsidRPr="0097755E">
              <w:rPr>
                <w:szCs w:val="24"/>
                <w:lang w:val="en-US"/>
              </w:rPr>
              <w:t xml:space="preserve">Part of obligations (in percent) that will be undertaken by </w:t>
            </w:r>
            <w:r w:rsidRPr="0097755E">
              <w:rPr>
                <w:spacing w:val="-4"/>
                <w:szCs w:val="24"/>
                <w:lang w:val="en-US"/>
              </w:rPr>
              <w:t>subcontractor(s) or sub-</w:t>
            </w:r>
            <w:r w:rsidR="00CA32C6">
              <w:rPr>
                <w:spacing w:val="-4"/>
                <w:szCs w:val="24"/>
                <w:lang w:val="en-US"/>
              </w:rPr>
              <w:t>provider</w:t>
            </w:r>
            <w:r w:rsidRPr="0097755E">
              <w:rPr>
                <w:spacing w:val="-4"/>
                <w:szCs w:val="24"/>
                <w:lang w:val="en-US"/>
              </w:rPr>
              <w:t>(s)</w:t>
            </w:r>
          </w:p>
        </w:tc>
        <w:tc>
          <w:tcPr>
            <w:tcW w:w="4961" w:type="dxa"/>
            <w:tcBorders>
              <w:top w:val="single" w:sz="4" w:space="0" w:color="auto"/>
              <w:left w:val="single" w:sz="4" w:space="0" w:color="auto"/>
              <w:bottom w:val="single" w:sz="4" w:space="0" w:color="auto"/>
              <w:right w:val="single" w:sz="4" w:space="0" w:color="auto"/>
            </w:tcBorders>
          </w:tcPr>
          <w:p w14:paraId="07EFE31E" w14:textId="77777777" w:rsidR="002A348E" w:rsidRPr="0097755E" w:rsidRDefault="002A348E" w:rsidP="006E1273">
            <w:pPr>
              <w:rPr>
                <w:szCs w:val="24"/>
                <w:lang w:val="en-US"/>
              </w:rPr>
            </w:pPr>
          </w:p>
        </w:tc>
      </w:tr>
    </w:tbl>
    <w:p w14:paraId="623F7787" w14:textId="1B1FAAB8" w:rsidR="00516C02" w:rsidRPr="0097755E" w:rsidRDefault="002A348E" w:rsidP="00516C02">
      <w:pPr>
        <w:tabs>
          <w:tab w:val="left" w:pos="180"/>
          <w:tab w:val="left" w:pos="360"/>
          <w:tab w:val="left" w:pos="1260"/>
        </w:tabs>
        <w:rPr>
          <w:i/>
          <w:szCs w:val="24"/>
          <w:lang w:val="en-US"/>
        </w:rPr>
      </w:pPr>
      <w:r w:rsidRPr="0097755E">
        <w:rPr>
          <w:i/>
          <w:spacing w:val="-4"/>
          <w:szCs w:val="24"/>
          <w:lang w:val="en-US"/>
        </w:rPr>
        <w:t xml:space="preserve">* </w:t>
      </w:r>
      <w:r w:rsidR="00516C02" w:rsidRPr="0097755E">
        <w:rPr>
          <w:i/>
          <w:szCs w:val="24"/>
          <w:lang w:val="en-US"/>
        </w:rPr>
        <w:t xml:space="preserve">Note. To be completed only if the </w:t>
      </w:r>
      <w:r w:rsidR="00CA32C6">
        <w:rPr>
          <w:i/>
          <w:szCs w:val="24"/>
          <w:lang w:val="en-US"/>
        </w:rPr>
        <w:t>Provider</w:t>
      </w:r>
      <w:r w:rsidR="00516C02" w:rsidRPr="0097755E">
        <w:rPr>
          <w:i/>
          <w:szCs w:val="24"/>
          <w:lang w:val="en-US"/>
        </w:rPr>
        <w:t xml:space="preserve"> intends to outsource any subcontractors or sub-</w:t>
      </w:r>
      <w:r w:rsidR="00CA32C6">
        <w:rPr>
          <w:i/>
          <w:szCs w:val="24"/>
          <w:lang w:val="en-US"/>
        </w:rPr>
        <w:t>provider</w:t>
      </w:r>
      <w:r w:rsidR="00516C02" w:rsidRPr="0097755E">
        <w:rPr>
          <w:i/>
          <w:szCs w:val="24"/>
          <w:lang w:val="en-US"/>
        </w:rPr>
        <w:t xml:space="preserve">s. </w:t>
      </w:r>
    </w:p>
    <w:p w14:paraId="3220C941" w14:textId="37D9562D" w:rsidR="002A348E" w:rsidRPr="0097755E" w:rsidRDefault="002A348E" w:rsidP="002A348E">
      <w:pPr>
        <w:ind w:firstLine="709"/>
        <w:rPr>
          <w:szCs w:val="24"/>
          <w:lang w:val="en-US"/>
        </w:rPr>
      </w:pPr>
    </w:p>
    <w:p w14:paraId="30395FD8" w14:textId="72FE6A84" w:rsidR="00516C02" w:rsidRPr="0097755E" w:rsidRDefault="003857F3" w:rsidP="003857F3">
      <w:pPr>
        <w:rPr>
          <w:rFonts w:eastAsia="Arial Unicode MS"/>
          <w:lang w:val="en-US"/>
        </w:rPr>
      </w:pPr>
      <w:r w:rsidRPr="0097755E">
        <w:rPr>
          <w:rFonts w:eastAsia="Arial Unicode MS"/>
          <w:lang w:val="en-US"/>
        </w:rPr>
        <w:t xml:space="preserve">1.1. </w:t>
      </w:r>
      <w:r w:rsidR="00516C02" w:rsidRPr="0097755E">
        <w:rPr>
          <w:color w:val="000000"/>
          <w:spacing w:val="-4"/>
          <w:szCs w:val="24"/>
          <w:lang w:val="en-US"/>
        </w:rPr>
        <w:t xml:space="preserve">By submitting the proposal, </w:t>
      </w:r>
      <w:r w:rsidR="006C3D9C" w:rsidRPr="0097755E">
        <w:rPr>
          <w:color w:val="000000"/>
          <w:spacing w:val="-4"/>
          <w:szCs w:val="24"/>
          <w:lang w:val="en-US"/>
        </w:rPr>
        <w:t>we</w:t>
      </w:r>
      <w:r w:rsidR="00516C02" w:rsidRPr="0097755E">
        <w:rPr>
          <w:color w:val="000000"/>
          <w:spacing w:val="-4"/>
          <w:szCs w:val="24"/>
          <w:lang w:val="en-US"/>
        </w:rPr>
        <w:t xml:space="preserve"> hereby confirm that</w:t>
      </w:r>
      <w:r w:rsidR="006C3D9C" w:rsidRPr="0097755E">
        <w:rPr>
          <w:color w:val="000000"/>
          <w:spacing w:val="-4"/>
          <w:szCs w:val="24"/>
          <w:lang w:val="en-US"/>
        </w:rPr>
        <w:t xml:space="preserve"> we</w:t>
      </w:r>
      <w:r w:rsidR="00516C02" w:rsidRPr="0097755E">
        <w:rPr>
          <w:color w:val="000000"/>
          <w:spacing w:val="-4"/>
          <w:szCs w:val="24"/>
          <w:lang w:val="en-US"/>
        </w:rPr>
        <w:t xml:space="preserve"> agree with all the terms and conditions set forth in the</w:t>
      </w:r>
    </w:p>
    <w:p w14:paraId="50BB0406" w14:textId="0C376C5E" w:rsidR="003857F3" w:rsidRPr="0097755E" w:rsidRDefault="00322CC3" w:rsidP="003857F3">
      <w:pPr>
        <w:tabs>
          <w:tab w:val="left" w:pos="567"/>
          <w:tab w:val="left" w:pos="720"/>
        </w:tabs>
        <w:ind w:firstLine="284"/>
        <w:rPr>
          <w:rFonts w:eastAsia="Arial Unicode MS"/>
          <w:lang w:val="en-US"/>
        </w:rPr>
      </w:pPr>
      <w:r w:rsidRPr="0097755E">
        <w:rPr>
          <w:rFonts w:eastAsia="Arial Unicode MS"/>
          <w:lang w:val="en-US"/>
        </w:rPr>
        <w:t>1</w:t>
      </w:r>
      <w:r w:rsidR="003857F3" w:rsidRPr="0097755E">
        <w:rPr>
          <w:rFonts w:eastAsia="Arial Unicode MS"/>
          <w:lang w:val="en-US"/>
        </w:rPr>
        <w:t xml:space="preserve">) </w:t>
      </w:r>
      <w:r w:rsidRPr="0097755E">
        <w:rPr>
          <w:rFonts w:eastAsia="Arial Unicode MS"/>
          <w:lang w:val="en-US"/>
        </w:rPr>
        <w:t>Public procurement documents</w:t>
      </w:r>
    </w:p>
    <w:p w14:paraId="31963691" w14:textId="53655957" w:rsidR="003857F3" w:rsidRPr="0097755E" w:rsidRDefault="00322CC3" w:rsidP="003857F3">
      <w:pPr>
        <w:tabs>
          <w:tab w:val="left" w:pos="567"/>
          <w:tab w:val="left" w:pos="720"/>
        </w:tabs>
        <w:ind w:firstLine="284"/>
        <w:rPr>
          <w:rFonts w:eastAsia="Arial Unicode MS"/>
          <w:lang w:val="en-US"/>
        </w:rPr>
      </w:pPr>
      <w:r w:rsidRPr="0097755E">
        <w:rPr>
          <w:rFonts w:eastAsia="Arial Unicode MS"/>
          <w:lang w:val="en-US"/>
        </w:rPr>
        <w:t>2</w:t>
      </w:r>
      <w:r w:rsidR="003857F3" w:rsidRPr="0097755E">
        <w:rPr>
          <w:rFonts w:eastAsia="Arial Unicode MS"/>
          <w:lang w:val="en-US"/>
        </w:rPr>
        <w:t xml:space="preserve">) </w:t>
      </w:r>
      <w:r w:rsidR="004027AF" w:rsidRPr="0097755E">
        <w:rPr>
          <w:rFonts w:eastAsia="Arial Unicode MS"/>
          <w:lang w:val="en-US"/>
        </w:rPr>
        <w:t>All o</w:t>
      </w:r>
      <w:r w:rsidRPr="0097755E">
        <w:rPr>
          <w:rFonts w:eastAsia="Arial Unicode MS"/>
          <w:lang w:val="en-US"/>
        </w:rPr>
        <w:t xml:space="preserve">ther </w:t>
      </w:r>
      <w:r w:rsidR="004027AF" w:rsidRPr="0097755E">
        <w:rPr>
          <w:rFonts w:eastAsia="Arial Unicode MS"/>
          <w:lang w:val="en-US"/>
        </w:rPr>
        <w:t xml:space="preserve">documents related to the procurement </w:t>
      </w:r>
      <w:r w:rsidR="003857F3" w:rsidRPr="0097755E">
        <w:rPr>
          <w:rFonts w:eastAsia="Arial Unicode MS"/>
          <w:lang w:val="en-US"/>
        </w:rPr>
        <w:t>(</w:t>
      </w:r>
      <w:r w:rsidR="004027AF" w:rsidRPr="0097755E">
        <w:rPr>
          <w:rFonts w:eastAsia="Arial Unicode MS"/>
          <w:lang w:val="en-US"/>
        </w:rPr>
        <w:t>their explanations, specifications, etc.)</w:t>
      </w:r>
    </w:p>
    <w:p w14:paraId="07FB0873" w14:textId="75483C17" w:rsidR="004027AF" w:rsidRPr="0097755E" w:rsidRDefault="003857F3" w:rsidP="003857F3">
      <w:pPr>
        <w:rPr>
          <w:lang w:val="en-US"/>
        </w:rPr>
      </w:pPr>
      <w:r w:rsidRPr="0097755E">
        <w:rPr>
          <w:lang w:val="en-US"/>
        </w:rPr>
        <w:t xml:space="preserve">1.2. </w:t>
      </w:r>
      <w:r w:rsidR="006C3D9C" w:rsidRPr="0097755E">
        <w:rPr>
          <w:color w:val="000000"/>
          <w:spacing w:val="-4"/>
          <w:szCs w:val="24"/>
          <w:lang w:val="en-US"/>
        </w:rPr>
        <w:t>We</w:t>
      </w:r>
      <w:r w:rsidR="004027AF" w:rsidRPr="0097755E">
        <w:rPr>
          <w:color w:val="000000"/>
          <w:spacing w:val="-4"/>
          <w:szCs w:val="24"/>
          <w:lang w:val="en-US"/>
        </w:rPr>
        <w:t xml:space="preserve"> hereby confirm that all the electronic copies of the documents submitted via the CPP IS system in order to participate in the tender are true and the data contained therein is accurate.</w:t>
      </w:r>
    </w:p>
    <w:p w14:paraId="7E836658" w14:textId="36948B4F" w:rsidR="004F114C" w:rsidRPr="0097755E" w:rsidRDefault="003857F3" w:rsidP="00533FAF">
      <w:pPr>
        <w:rPr>
          <w:lang w:val="en-US"/>
        </w:rPr>
      </w:pPr>
      <w:r w:rsidRPr="0097755E">
        <w:rPr>
          <w:lang w:val="en-US"/>
        </w:rPr>
        <w:t xml:space="preserve">1.3. </w:t>
      </w:r>
      <w:r w:rsidR="006C3D9C" w:rsidRPr="0097755E">
        <w:rPr>
          <w:lang w:val="en-US"/>
        </w:rPr>
        <w:t xml:space="preserve">We hereby confirm that we have </w:t>
      </w:r>
      <w:r w:rsidR="00C92317" w:rsidRPr="0097755E">
        <w:rPr>
          <w:lang w:val="en-US"/>
        </w:rPr>
        <w:t xml:space="preserve">attentively </w:t>
      </w:r>
      <w:r w:rsidR="006C3D9C" w:rsidRPr="0097755E">
        <w:rPr>
          <w:lang w:val="en-US"/>
        </w:rPr>
        <w:t xml:space="preserve">read </w:t>
      </w:r>
      <w:r w:rsidR="00C92317" w:rsidRPr="0097755E">
        <w:rPr>
          <w:lang w:val="en-US"/>
        </w:rPr>
        <w:t xml:space="preserve">all the requirements set forth in the </w:t>
      </w:r>
      <w:r w:rsidR="0011086D" w:rsidRPr="0097755E">
        <w:rPr>
          <w:lang w:val="en-US"/>
        </w:rPr>
        <w:t>p</w:t>
      </w:r>
      <w:r w:rsidR="00C92317" w:rsidRPr="0097755E">
        <w:rPr>
          <w:lang w:val="en-US"/>
        </w:rPr>
        <w:t xml:space="preserve">ublic </w:t>
      </w:r>
      <w:r w:rsidR="0011086D" w:rsidRPr="0097755E">
        <w:rPr>
          <w:lang w:val="en-US"/>
        </w:rPr>
        <w:t>p</w:t>
      </w:r>
      <w:r w:rsidR="00C92317" w:rsidRPr="0097755E">
        <w:rPr>
          <w:lang w:val="en-US"/>
        </w:rPr>
        <w:t xml:space="preserve">rocurement </w:t>
      </w:r>
      <w:r w:rsidR="0011086D" w:rsidRPr="0097755E">
        <w:rPr>
          <w:lang w:val="en-US"/>
        </w:rPr>
        <w:t xml:space="preserve">conditions, its technical specification, agreement draft and other documents related to the </w:t>
      </w:r>
      <w:r w:rsidR="0011086D" w:rsidRPr="0097755E">
        <w:rPr>
          <w:lang w:val="en-US"/>
        </w:rPr>
        <w:lastRenderedPageBreak/>
        <w:t xml:space="preserve">procurement in question. Our proposal fully complies with the </w:t>
      </w:r>
      <w:r w:rsidR="007D64E0" w:rsidRPr="0097755E">
        <w:rPr>
          <w:lang w:val="en-US"/>
        </w:rPr>
        <w:t xml:space="preserve">requirements for </w:t>
      </w:r>
      <w:r w:rsidR="00CA32C6">
        <w:rPr>
          <w:lang w:val="en-US"/>
        </w:rPr>
        <w:t>provider</w:t>
      </w:r>
      <w:r w:rsidR="007D64E0" w:rsidRPr="0097755E">
        <w:rPr>
          <w:lang w:val="en-US"/>
        </w:rPr>
        <w:t xml:space="preserve">s and we hereby undertake to obey to the said requirements as well as to the laws and legal acts of the Republic of Lithuania that apply to the procurement object and agreement. </w:t>
      </w:r>
    </w:p>
    <w:p w14:paraId="45F3E964" w14:textId="113BCA98" w:rsidR="004F114C" w:rsidRPr="0097755E" w:rsidRDefault="00533FAF" w:rsidP="00533FAF">
      <w:pPr>
        <w:rPr>
          <w:sz w:val="22"/>
          <w:szCs w:val="22"/>
          <w:lang w:val="en-US"/>
        </w:rPr>
      </w:pPr>
      <w:r w:rsidRPr="0097755E">
        <w:rPr>
          <w:color w:val="000000"/>
          <w:spacing w:val="-4"/>
          <w:sz w:val="22"/>
          <w:szCs w:val="22"/>
          <w:lang w:val="en-US"/>
        </w:rPr>
        <w:t xml:space="preserve">                                                                                                                                                              </w:t>
      </w:r>
      <w:r w:rsidR="00630487" w:rsidRPr="0097755E">
        <w:rPr>
          <w:color w:val="000000"/>
          <w:spacing w:val="-4"/>
          <w:sz w:val="22"/>
          <w:szCs w:val="22"/>
          <w:lang w:val="en-US"/>
        </w:rPr>
        <w:tab/>
      </w:r>
      <w:r w:rsidRPr="0097755E">
        <w:rPr>
          <w:color w:val="000000"/>
          <w:spacing w:val="-4"/>
          <w:sz w:val="22"/>
          <w:szCs w:val="22"/>
          <w:lang w:val="en-US"/>
        </w:rPr>
        <w:t xml:space="preserve"> </w:t>
      </w:r>
      <w:r w:rsidR="007D64E0" w:rsidRPr="0097755E">
        <w:rPr>
          <w:color w:val="000000"/>
          <w:spacing w:val="-4"/>
          <w:sz w:val="22"/>
          <w:szCs w:val="22"/>
          <w:lang w:val="en-US"/>
        </w:rPr>
        <w:t>Table 3</w:t>
      </w:r>
    </w:p>
    <w:tbl>
      <w:tblPr>
        <w:tblW w:w="10065" w:type="dxa"/>
        <w:tblInd w:w="-5" w:type="dxa"/>
        <w:tblLayout w:type="fixed"/>
        <w:tblLook w:val="04A0" w:firstRow="1" w:lastRow="0" w:firstColumn="1" w:lastColumn="0" w:noHBand="0" w:noVBand="1"/>
      </w:tblPr>
      <w:tblGrid>
        <w:gridCol w:w="609"/>
        <w:gridCol w:w="1518"/>
        <w:gridCol w:w="1559"/>
        <w:gridCol w:w="850"/>
        <w:gridCol w:w="1134"/>
        <w:gridCol w:w="1460"/>
        <w:gridCol w:w="1234"/>
        <w:gridCol w:w="1701"/>
      </w:tblGrid>
      <w:tr w:rsidR="00176C6C" w:rsidRPr="00392BB0" w14:paraId="7FCCD371" w14:textId="77777777" w:rsidTr="00A24967">
        <w:trPr>
          <w:trHeight w:val="97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BC40A" w14:textId="77777777" w:rsidR="00176C6C" w:rsidRPr="00392BB0" w:rsidRDefault="00176C6C" w:rsidP="00176C6C">
            <w:pPr>
              <w:jc w:val="center"/>
              <w:rPr>
                <w:b/>
                <w:bCs/>
                <w:szCs w:val="24"/>
                <w:lang w:val="en-US"/>
              </w:rPr>
            </w:pPr>
            <w:r w:rsidRPr="00392BB0">
              <w:rPr>
                <w:b/>
                <w:bCs/>
                <w:szCs w:val="24"/>
                <w:lang w:val="en-US"/>
              </w:rPr>
              <w:t>No.</w:t>
            </w:r>
          </w:p>
        </w:tc>
        <w:tc>
          <w:tcPr>
            <w:tcW w:w="3077" w:type="dxa"/>
            <w:gridSpan w:val="2"/>
            <w:tcBorders>
              <w:top w:val="single" w:sz="4" w:space="0" w:color="auto"/>
              <w:left w:val="nil"/>
              <w:bottom w:val="single" w:sz="4" w:space="0" w:color="auto"/>
              <w:right w:val="single" w:sz="4" w:space="0" w:color="auto"/>
            </w:tcBorders>
            <w:shd w:val="clear" w:color="auto" w:fill="auto"/>
            <w:vAlign w:val="center"/>
            <w:hideMark/>
          </w:tcPr>
          <w:p w14:paraId="67BCAC0A" w14:textId="77777777" w:rsidR="00176C6C" w:rsidRPr="00392BB0" w:rsidRDefault="00176C6C" w:rsidP="00176C6C">
            <w:pPr>
              <w:jc w:val="center"/>
              <w:rPr>
                <w:b/>
                <w:bCs/>
                <w:szCs w:val="24"/>
                <w:lang w:val="en-US"/>
              </w:rPr>
            </w:pPr>
            <w:r w:rsidRPr="00392BB0">
              <w:rPr>
                <w:b/>
                <w:szCs w:val="24"/>
                <w:lang w:val="en-US"/>
              </w:rPr>
              <w:t>Service name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20F7F0" w14:textId="77777777" w:rsidR="00176C6C" w:rsidRPr="00392BB0" w:rsidRDefault="00176C6C" w:rsidP="00176C6C">
            <w:pPr>
              <w:jc w:val="center"/>
              <w:rPr>
                <w:b/>
                <w:bCs/>
                <w:szCs w:val="24"/>
                <w:lang w:val="en-US"/>
              </w:rPr>
            </w:pPr>
            <w:r w:rsidRPr="00392BB0">
              <w:rPr>
                <w:b/>
                <w:bCs/>
                <w:szCs w:val="24"/>
                <w:lang w:val="en-US"/>
              </w:rPr>
              <w:t>Measures pcs.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D49924" w14:textId="77777777" w:rsidR="00176C6C" w:rsidRPr="00392BB0" w:rsidRDefault="00176C6C" w:rsidP="00176C6C">
            <w:pPr>
              <w:jc w:val="center"/>
              <w:rPr>
                <w:b/>
                <w:bCs/>
                <w:szCs w:val="24"/>
                <w:lang w:val="en-US"/>
              </w:rPr>
            </w:pPr>
            <w:r w:rsidRPr="00392BB0">
              <w:rPr>
                <w:b/>
                <w:bCs/>
                <w:szCs w:val="24"/>
                <w:lang w:val="en-US"/>
              </w:rPr>
              <w:t>Period</w:t>
            </w:r>
          </w:p>
          <w:p w14:paraId="2203C396" w14:textId="77777777" w:rsidR="00176C6C" w:rsidRPr="00392BB0" w:rsidRDefault="00176C6C" w:rsidP="00176C6C">
            <w:pPr>
              <w:jc w:val="center"/>
              <w:rPr>
                <w:b/>
                <w:bCs/>
                <w:szCs w:val="24"/>
                <w:lang w:val="en-US"/>
              </w:rPr>
            </w:pPr>
          </w:p>
        </w:tc>
        <w:tc>
          <w:tcPr>
            <w:tcW w:w="1460" w:type="dxa"/>
            <w:tcBorders>
              <w:top w:val="single" w:sz="4" w:space="0" w:color="auto"/>
              <w:left w:val="nil"/>
              <w:bottom w:val="single" w:sz="4" w:space="0" w:color="auto"/>
              <w:right w:val="single" w:sz="4" w:space="0" w:color="auto"/>
            </w:tcBorders>
            <w:vAlign w:val="center"/>
          </w:tcPr>
          <w:p w14:paraId="05730C3D" w14:textId="77777777" w:rsidR="00176C6C" w:rsidRPr="00392BB0" w:rsidRDefault="00176C6C" w:rsidP="00176C6C">
            <w:pPr>
              <w:jc w:val="center"/>
              <w:rPr>
                <w:b/>
                <w:bCs/>
                <w:szCs w:val="24"/>
                <w:lang w:val="en-US"/>
              </w:rPr>
            </w:pPr>
            <w:r w:rsidRPr="00392BB0">
              <w:rPr>
                <w:b/>
                <w:bCs/>
                <w:szCs w:val="24"/>
                <w:lang w:val="en-US"/>
              </w:rPr>
              <w:t xml:space="preserve">Preliminary quantity within </w:t>
            </w:r>
          </w:p>
          <w:p w14:paraId="29A94339" w14:textId="77777777" w:rsidR="00176C6C" w:rsidRPr="00392BB0" w:rsidRDefault="00176C6C" w:rsidP="00176C6C">
            <w:pPr>
              <w:jc w:val="center"/>
              <w:rPr>
                <w:b/>
                <w:bCs/>
                <w:szCs w:val="24"/>
                <w:lang w:val="en-US"/>
              </w:rPr>
            </w:pPr>
            <w:r w:rsidRPr="00392BB0">
              <w:rPr>
                <w:b/>
                <w:bCs/>
                <w:szCs w:val="24"/>
                <w:lang w:val="en-US"/>
              </w:rPr>
              <w:t>1 month.</w:t>
            </w:r>
          </w:p>
          <w:p w14:paraId="5D84AAFC" w14:textId="77777777" w:rsidR="00176C6C" w:rsidRPr="00392BB0" w:rsidRDefault="00176C6C" w:rsidP="00176C6C">
            <w:pPr>
              <w:jc w:val="center"/>
              <w:rPr>
                <w:b/>
                <w:bCs/>
                <w:szCs w:val="24"/>
                <w:lang w:val="en-US"/>
              </w:rPr>
            </w:pPr>
          </w:p>
        </w:tc>
        <w:tc>
          <w:tcPr>
            <w:tcW w:w="1234" w:type="dxa"/>
            <w:tcBorders>
              <w:top w:val="single" w:sz="4" w:space="0" w:color="auto"/>
              <w:left w:val="nil"/>
              <w:bottom w:val="single" w:sz="4" w:space="0" w:color="auto"/>
              <w:right w:val="single" w:sz="4" w:space="0" w:color="auto"/>
            </w:tcBorders>
            <w:vAlign w:val="center"/>
          </w:tcPr>
          <w:p w14:paraId="45A0781D" w14:textId="77777777" w:rsidR="00176C6C" w:rsidRPr="00392BB0" w:rsidRDefault="00176C6C" w:rsidP="00176C6C">
            <w:pPr>
              <w:jc w:val="center"/>
              <w:rPr>
                <w:b/>
                <w:bCs/>
                <w:szCs w:val="24"/>
                <w:lang w:val="en-US"/>
              </w:rPr>
            </w:pPr>
            <w:r w:rsidRPr="00392BB0">
              <w:rPr>
                <w:b/>
                <w:bCs/>
                <w:szCs w:val="24"/>
                <w:lang w:val="en-US"/>
              </w:rPr>
              <w:t>Unit price</w:t>
            </w:r>
          </w:p>
          <w:p w14:paraId="382CBFF6" w14:textId="77777777" w:rsidR="00176C6C" w:rsidRPr="00392BB0" w:rsidRDefault="00176C6C" w:rsidP="00176C6C">
            <w:pPr>
              <w:jc w:val="center"/>
              <w:rPr>
                <w:b/>
                <w:bCs/>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7CD0886" w14:textId="77777777" w:rsidR="00176C6C" w:rsidRPr="00392BB0" w:rsidRDefault="00176C6C" w:rsidP="00176C6C">
            <w:pPr>
              <w:jc w:val="center"/>
              <w:rPr>
                <w:b/>
                <w:bCs/>
                <w:szCs w:val="24"/>
                <w:lang w:val="en-US"/>
              </w:rPr>
            </w:pPr>
            <w:r w:rsidRPr="00392BB0">
              <w:rPr>
                <w:b/>
                <w:bCs/>
                <w:szCs w:val="24"/>
                <w:lang w:val="en-US"/>
              </w:rPr>
              <w:t>Total amount in EUR excluding VAT</w:t>
            </w:r>
          </w:p>
        </w:tc>
      </w:tr>
      <w:tr w:rsidR="00176C6C" w:rsidRPr="00392BB0" w14:paraId="2EB51B6C" w14:textId="77777777" w:rsidTr="00A24967">
        <w:trPr>
          <w:trHeight w:val="166"/>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6FD8A34A" w14:textId="77777777" w:rsidR="00176C6C" w:rsidRPr="00392BB0" w:rsidRDefault="00176C6C" w:rsidP="00176C6C">
            <w:pPr>
              <w:jc w:val="center"/>
              <w:rPr>
                <w:b/>
                <w:bCs/>
                <w:i/>
                <w:sz w:val="20"/>
                <w:lang w:val="en-US"/>
              </w:rPr>
            </w:pPr>
            <w:r w:rsidRPr="00392BB0">
              <w:rPr>
                <w:b/>
                <w:bCs/>
                <w:i/>
                <w:sz w:val="20"/>
                <w:lang w:val="en-US"/>
              </w:rPr>
              <w:t>1</w:t>
            </w:r>
          </w:p>
        </w:tc>
        <w:tc>
          <w:tcPr>
            <w:tcW w:w="3077" w:type="dxa"/>
            <w:gridSpan w:val="2"/>
            <w:tcBorders>
              <w:top w:val="single" w:sz="4" w:space="0" w:color="auto"/>
              <w:left w:val="nil"/>
              <w:bottom w:val="single" w:sz="4" w:space="0" w:color="auto"/>
              <w:right w:val="single" w:sz="4" w:space="0" w:color="auto"/>
            </w:tcBorders>
            <w:shd w:val="clear" w:color="auto" w:fill="auto"/>
            <w:vAlign w:val="center"/>
          </w:tcPr>
          <w:p w14:paraId="64FD36DB" w14:textId="77777777" w:rsidR="00176C6C" w:rsidRPr="00392BB0" w:rsidRDefault="00176C6C" w:rsidP="00176C6C">
            <w:pPr>
              <w:jc w:val="center"/>
              <w:rPr>
                <w:b/>
                <w:i/>
                <w:sz w:val="20"/>
                <w:lang w:val="en-US"/>
              </w:rPr>
            </w:pPr>
            <w:r w:rsidRPr="00392BB0">
              <w:rPr>
                <w:b/>
                <w:i/>
                <w:sz w:val="20"/>
                <w:lang w:val="en-US"/>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612E5BD4" w14:textId="77777777" w:rsidR="00176C6C" w:rsidRPr="00392BB0" w:rsidRDefault="00176C6C" w:rsidP="00176C6C">
            <w:pPr>
              <w:jc w:val="center"/>
              <w:rPr>
                <w:b/>
                <w:bCs/>
                <w:i/>
                <w:sz w:val="20"/>
                <w:lang w:val="en-US"/>
              </w:rPr>
            </w:pPr>
            <w:r w:rsidRPr="00392BB0">
              <w:rPr>
                <w:b/>
                <w:bCs/>
                <w:i/>
                <w:sz w:val="20"/>
                <w:lang w:val="en-US"/>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85BFE9" w14:textId="77777777" w:rsidR="00176C6C" w:rsidRPr="00392BB0" w:rsidRDefault="00176C6C" w:rsidP="00176C6C">
            <w:pPr>
              <w:jc w:val="center"/>
              <w:rPr>
                <w:b/>
                <w:bCs/>
                <w:i/>
                <w:sz w:val="20"/>
                <w:lang w:val="en-US"/>
              </w:rPr>
            </w:pPr>
            <w:r w:rsidRPr="00392BB0">
              <w:rPr>
                <w:b/>
                <w:bCs/>
                <w:i/>
                <w:sz w:val="20"/>
                <w:lang w:val="en-US"/>
              </w:rPr>
              <w:t>4</w:t>
            </w:r>
          </w:p>
        </w:tc>
        <w:tc>
          <w:tcPr>
            <w:tcW w:w="1460" w:type="dxa"/>
            <w:tcBorders>
              <w:top w:val="single" w:sz="4" w:space="0" w:color="auto"/>
              <w:left w:val="nil"/>
              <w:bottom w:val="single" w:sz="4" w:space="0" w:color="auto"/>
              <w:right w:val="single" w:sz="4" w:space="0" w:color="auto"/>
            </w:tcBorders>
            <w:vAlign w:val="center"/>
          </w:tcPr>
          <w:p w14:paraId="08203D11" w14:textId="77777777" w:rsidR="00176C6C" w:rsidRPr="00392BB0" w:rsidRDefault="00176C6C" w:rsidP="00176C6C">
            <w:pPr>
              <w:jc w:val="center"/>
              <w:rPr>
                <w:b/>
                <w:bCs/>
                <w:i/>
                <w:sz w:val="20"/>
                <w:lang w:val="en-US"/>
              </w:rPr>
            </w:pPr>
            <w:r w:rsidRPr="00392BB0">
              <w:rPr>
                <w:b/>
                <w:bCs/>
                <w:i/>
                <w:sz w:val="20"/>
                <w:lang w:val="en-US"/>
              </w:rPr>
              <w:t>5</w:t>
            </w:r>
          </w:p>
        </w:tc>
        <w:tc>
          <w:tcPr>
            <w:tcW w:w="1234" w:type="dxa"/>
            <w:tcBorders>
              <w:top w:val="single" w:sz="4" w:space="0" w:color="auto"/>
              <w:left w:val="nil"/>
              <w:bottom w:val="single" w:sz="4" w:space="0" w:color="auto"/>
              <w:right w:val="single" w:sz="4" w:space="0" w:color="auto"/>
            </w:tcBorders>
            <w:vAlign w:val="center"/>
          </w:tcPr>
          <w:p w14:paraId="57D36C79" w14:textId="77777777" w:rsidR="00176C6C" w:rsidRPr="00392BB0" w:rsidRDefault="00176C6C" w:rsidP="00176C6C">
            <w:pPr>
              <w:jc w:val="center"/>
              <w:rPr>
                <w:b/>
                <w:bCs/>
                <w:i/>
                <w:sz w:val="20"/>
                <w:lang w:val="en-US"/>
              </w:rPr>
            </w:pPr>
            <w:r w:rsidRPr="00392BB0">
              <w:rPr>
                <w:b/>
                <w:bCs/>
                <w:i/>
                <w:sz w:val="20"/>
                <w:lang w:val="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64F539BE" w14:textId="77777777" w:rsidR="00176C6C" w:rsidRPr="00392BB0" w:rsidRDefault="00176C6C" w:rsidP="00176C6C">
            <w:pPr>
              <w:jc w:val="center"/>
              <w:rPr>
                <w:b/>
                <w:bCs/>
                <w:i/>
                <w:sz w:val="20"/>
                <w:lang w:val="en-US"/>
              </w:rPr>
            </w:pPr>
            <w:r w:rsidRPr="00392BB0">
              <w:rPr>
                <w:b/>
                <w:bCs/>
                <w:i/>
                <w:sz w:val="20"/>
                <w:lang w:val="en-US"/>
              </w:rPr>
              <w:t>7</w:t>
            </w:r>
          </w:p>
        </w:tc>
      </w:tr>
      <w:tr w:rsidR="00176C6C" w:rsidRPr="00392BB0" w14:paraId="3A859547" w14:textId="77777777" w:rsidTr="00A24967">
        <w:trPr>
          <w:trHeight w:val="1269"/>
        </w:trPr>
        <w:tc>
          <w:tcPr>
            <w:tcW w:w="609" w:type="dxa"/>
            <w:tcBorders>
              <w:top w:val="single" w:sz="4" w:space="0" w:color="auto"/>
              <w:left w:val="single" w:sz="4" w:space="0" w:color="auto"/>
              <w:bottom w:val="single" w:sz="4" w:space="0" w:color="auto"/>
              <w:right w:val="single" w:sz="4" w:space="0" w:color="auto"/>
            </w:tcBorders>
            <w:shd w:val="clear" w:color="auto" w:fill="auto"/>
            <w:noWrap/>
            <w:hideMark/>
          </w:tcPr>
          <w:p w14:paraId="74E9B933" w14:textId="77777777" w:rsidR="00176C6C" w:rsidRPr="00392BB0" w:rsidRDefault="00176C6C" w:rsidP="00176C6C">
            <w:pPr>
              <w:jc w:val="center"/>
              <w:rPr>
                <w:szCs w:val="24"/>
                <w:lang w:val="en-US"/>
              </w:rPr>
            </w:pPr>
            <w:r w:rsidRPr="00392BB0">
              <w:rPr>
                <w:szCs w:val="24"/>
                <w:lang w:val="en-US"/>
              </w:rPr>
              <w:t>1.</w:t>
            </w:r>
          </w:p>
        </w:tc>
        <w:tc>
          <w:tcPr>
            <w:tcW w:w="30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72D7DB" w14:textId="77777777" w:rsidR="00176C6C" w:rsidRPr="00392BB0" w:rsidRDefault="00176C6C" w:rsidP="00176C6C">
            <w:pPr>
              <w:jc w:val="left"/>
              <w:rPr>
                <w:szCs w:val="24"/>
                <w:lang w:val="en-US"/>
              </w:rPr>
            </w:pPr>
            <w:r w:rsidRPr="00392BB0">
              <w:rPr>
                <w:color w:val="000000"/>
                <w:szCs w:val="24"/>
                <w:lang w:val="en-US"/>
              </w:rPr>
              <w:t xml:space="preserve">Launch of the system for payments with </w:t>
            </w:r>
            <w:proofErr w:type="spellStart"/>
            <w:r w:rsidRPr="00392BB0">
              <w:rPr>
                <w:color w:val="000000"/>
                <w:szCs w:val="24"/>
                <w:lang w:val="en-US"/>
              </w:rPr>
              <w:t>cEMV</w:t>
            </w:r>
            <w:proofErr w:type="spellEnd"/>
            <w:r w:rsidRPr="00392BB0">
              <w:rPr>
                <w:color w:val="000000"/>
                <w:szCs w:val="24"/>
                <w:lang w:val="en-US"/>
              </w:rPr>
              <w:t xml:space="preserve"> contactless bank cards in Kaunas city public transport.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CFCFFD" w14:textId="77777777" w:rsidR="00176C6C" w:rsidRPr="00392BB0" w:rsidRDefault="00176C6C" w:rsidP="00176C6C">
            <w:pPr>
              <w:jc w:val="center"/>
              <w:rPr>
                <w:szCs w:val="24"/>
                <w:lang w:val="en-US"/>
              </w:rPr>
            </w:pPr>
            <w:r w:rsidRPr="00392BB0">
              <w:rPr>
                <w:szCs w:val="24"/>
                <w:lang w:val="en-US"/>
              </w:rPr>
              <w:t>units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6AF82B" w14:textId="77777777" w:rsidR="00176C6C" w:rsidRPr="00392BB0" w:rsidRDefault="00176C6C" w:rsidP="00176C6C">
            <w:pPr>
              <w:jc w:val="center"/>
              <w:rPr>
                <w:szCs w:val="24"/>
                <w:lang w:val="en-US"/>
              </w:rPr>
            </w:pPr>
            <w:r w:rsidRPr="00392BB0">
              <w:rPr>
                <w:szCs w:val="24"/>
                <w:lang w:val="en-US"/>
              </w:rPr>
              <w:t>one-time</w:t>
            </w:r>
          </w:p>
        </w:tc>
        <w:tc>
          <w:tcPr>
            <w:tcW w:w="1460" w:type="dxa"/>
            <w:tcBorders>
              <w:top w:val="single" w:sz="4" w:space="0" w:color="auto"/>
              <w:left w:val="nil"/>
              <w:bottom w:val="single" w:sz="4" w:space="0" w:color="auto"/>
              <w:right w:val="single" w:sz="4" w:space="0" w:color="auto"/>
            </w:tcBorders>
            <w:vAlign w:val="center"/>
          </w:tcPr>
          <w:p w14:paraId="2EBF92F7" w14:textId="77777777" w:rsidR="00176C6C" w:rsidRPr="00392BB0" w:rsidRDefault="00176C6C" w:rsidP="00176C6C">
            <w:pPr>
              <w:jc w:val="center"/>
              <w:rPr>
                <w:szCs w:val="24"/>
                <w:lang w:val="en-US"/>
              </w:rPr>
            </w:pPr>
            <w:r w:rsidRPr="00392BB0">
              <w:rPr>
                <w:szCs w:val="24"/>
                <w:lang w:val="en-US"/>
              </w:rPr>
              <w:t>1</w:t>
            </w:r>
          </w:p>
        </w:tc>
        <w:tc>
          <w:tcPr>
            <w:tcW w:w="1234" w:type="dxa"/>
            <w:tcBorders>
              <w:top w:val="single" w:sz="4" w:space="0" w:color="auto"/>
              <w:left w:val="nil"/>
              <w:bottom w:val="single" w:sz="4" w:space="0" w:color="auto"/>
              <w:right w:val="single" w:sz="4" w:space="0" w:color="auto"/>
            </w:tcBorders>
            <w:vAlign w:val="center"/>
          </w:tcPr>
          <w:p w14:paraId="0675E5A0" w14:textId="77777777" w:rsidR="00176C6C" w:rsidRPr="00392BB0" w:rsidRDefault="00176C6C" w:rsidP="00176C6C">
            <w:pPr>
              <w:jc w:val="center"/>
              <w:rPr>
                <w:szCs w:val="24"/>
                <w:lang w:val="en-US"/>
              </w:rPr>
            </w:pPr>
            <w:r w:rsidRPr="00392BB0">
              <w:rPr>
                <w:szCs w:val="24"/>
                <w:lang w:val="en-US"/>
              </w:rPr>
              <w:t>______ EUR</w:t>
            </w:r>
          </w:p>
          <w:p w14:paraId="73F6E112" w14:textId="77777777" w:rsidR="00176C6C" w:rsidRPr="00392BB0" w:rsidRDefault="00176C6C" w:rsidP="00176C6C">
            <w:pPr>
              <w:jc w:val="center"/>
              <w:rPr>
                <w:szCs w:val="24"/>
                <w:lang w:val="en-US"/>
              </w:rPr>
            </w:pPr>
            <w:r w:rsidRPr="00392BB0">
              <w:rPr>
                <w:szCs w:val="24"/>
                <w:lang w:val="en-US"/>
              </w:rPr>
              <w:t>excl. VAT</w:t>
            </w:r>
          </w:p>
        </w:tc>
        <w:tc>
          <w:tcPr>
            <w:tcW w:w="1701" w:type="dxa"/>
            <w:tcBorders>
              <w:top w:val="single" w:sz="4" w:space="0" w:color="auto"/>
              <w:left w:val="single" w:sz="4" w:space="0" w:color="auto"/>
              <w:bottom w:val="single" w:sz="4" w:space="0" w:color="auto"/>
              <w:right w:val="single" w:sz="4" w:space="0" w:color="auto"/>
            </w:tcBorders>
            <w:vAlign w:val="center"/>
          </w:tcPr>
          <w:p w14:paraId="61256759" w14:textId="77777777" w:rsidR="00176C6C" w:rsidRPr="00392BB0" w:rsidRDefault="00176C6C" w:rsidP="00176C6C">
            <w:pPr>
              <w:jc w:val="center"/>
              <w:rPr>
                <w:b/>
                <w:i/>
                <w:color w:val="FF0000"/>
                <w:sz w:val="16"/>
                <w:szCs w:val="16"/>
                <w:lang w:val="en-US"/>
              </w:rPr>
            </w:pPr>
            <w:r w:rsidRPr="00392BB0">
              <w:rPr>
                <w:b/>
                <w:i/>
                <w:color w:val="FF0000"/>
                <w:sz w:val="16"/>
                <w:szCs w:val="16"/>
                <w:lang w:val="en-US"/>
              </w:rPr>
              <w:t>5 column x 6 column</w:t>
            </w:r>
          </w:p>
          <w:p w14:paraId="72FAAC40" w14:textId="77777777" w:rsidR="00176C6C" w:rsidRPr="00392BB0" w:rsidRDefault="00176C6C" w:rsidP="00176C6C">
            <w:pPr>
              <w:jc w:val="center"/>
              <w:rPr>
                <w:b/>
                <w:i/>
                <w:color w:val="FF0000"/>
                <w:sz w:val="16"/>
                <w:szCs w:val="16"/>
                <w:lang w:val="en-US"/>
              </w:rPr>
            </w:pPr>
          </w:p>
          <w:p w14:paraId="79B22DA3" w14:textId="77777777" w:rsidR="00176C6C" w:rsidRPr="00392BB0" w:rsidRDefault="00176C6C" w:rsidP="00176C6C">
            <w:pPr>
              <w:jc w:val="center"/>
              <w:rPr>
                <w:b/>
                <w:i/>
                <w:color w:val="FF0000"/>
                <w:sz w:val="16"/>
                <w:szCs w:val="16"/>
                <w:lang w:val="en-US"/>
              </w:rPr>
            </w:pPr>
            <w:r w:rsidRPr="00392BB0">
              <w:rPr>
                <w:szCs w:val="24"/>
                <w:lang w:val="en-US"/>
              </w:rPr>
              <w:t>________</w:t>
            </w:r>
          </w:p>
          <w:p w14:paraId="7EEBE38D" w14:textId="77777777" w:rsidR="00176C6C" w:rsidRPr="00392BB0" w:rsidRDefault="00176C6C" w:rsidP="00176C6C">
            <w:pPr>
              <w:jc w:val="center"/>
              <w:rPr>
                <w:szCs w:val="24"/>
                <w:lang w:val="en-US"/>
              </w:rPr>
            </w:pPr>
          </w:p>
        </w:tc>
      </w:tr>
      <w:tr w:rsidR="00176C6C" w:rsidRPr="00392BB0" w14:paraId="26E308BF" w14:textId="77777777" w:rsidTr="00A24967">
        <w:trPr>
          <w:trHeight w:val="315"/>
        </w:trPr>
        <w:tc>
          <w:tcPr>
            <w:tcW w:w="609" w:type="dxa"/>
            <w:tcBorders>
              <w:top w:val="single" w:sz="4" w:space="0" w:color="auto"/>
              <w:left w:val="single" w:sz="4" w:space="0" w:color="auto"/>
              <w:bottom w:val="single" w:sz="4" w:space="0" w:color="auto"/>
              <w:right w:val="single" w:sz="4" w:space="0" w:color="auto"/>
            </w:tcBorders>
            <w:shd w:val="clear" w:color="auto" w:fill="auto"/>
            <w:noWrap/>
          </w:tcPr>
          <w:p w14:paraId="31BCA4C7" w14:textId="77777777" w:rsidR="00176C6C" w:rsidRPr="00392BB0" w:rsidRDefault="00176C6C" w:rsidP="00176C6C">
            <w:pPr>
              <w:jc w:val="center"/>
              <w:rPr>
                <w:szCs w:val="24"/>
                <w:lang w:val="en-US"/>
              </w:rPr>
            </w:pPr>
            <w:r w:rsidRPr="00392BB0">
              <w:rPr>
                <w:szCs w:val="24"/>
                <w:lang w:val="en-US"/>
              </w:rPr>
              <w:t>2.</w:t>
            </w:r>
          </w:p>
        </w:tc>
        <w:tc>
          <w:tcPr>
            <w:tcW w:w="3077" w:type="dxa"/>
            <w:gridSpan w:val="2"/>
            <w:tcBorders>
              <w:top w:val="single" w:sz="4" w:space="0" w:color="auto"/>
              <w:left w:val="nil"/>
              <w:bottom w:val="single" w:sz="4" w:space="0" w:color="auto"/>
              <w:right w:val="single" w:sz="4" w:space="0" w:color="auto"/>
            </w:tcBorders>
            <w:shd w:val="clear" w:color="auto" w:fill="auto"/>
            <w:noWrap/>
            <w:vAlign w:val="bottom"/>
          </w:tcPr>
          <w:p w14:paraId="2D0A33EC" w14:textId="77777777" w:rsidR="00176C6C" w:rsidRPr="00392BB0" w:rsidRDefault="00176C6C" w:rsidP="00176C6C">
            <w:pPr>
              <w:jc w:val="left"/>
              <w:rPr>
                <w:szCs w:val="24"/>
                <w:lang w:val="en-US"/>
              </w:rPr>
            </w:pPr>
            <w:r w:rsidRPr="00392BB0">
              <w:rPr>
                <w:color w:val="000000"/>
                <w:szCs w:val="24"/>
                <w:lang w:val="en-US"/>
              </w:rPr>
              <w:t xml:space="preserve">System support for </w:t>
            </w:r>
            <w:proofErr w:type="spellStart"/>
            <w:r w:rsidRPr="00392BB0">
              <w:rPr>
                <w:color w:val="000000"/>
                <w:szCs w:val="24"/>
                <w:lang w:val="en-US"/>
              </w:rPr>
              <w:t>cEMV</w:t>
            </w:r>
            <w:proofErr w:type="spellEnd"/>
            <w:r w:rsidRPr="00392BB0">
              <w:rPr>
                <w:color w:val="000000"/>
                <w:szCs w:val="24"/>
                <w:lang w:val="en-US"/>
              </w:rPr>
              <w:t xml:space="preserve"> payments with contactless bank cards in Kaunas city public transport. </w:t>
            </w:r>
            <w:r w:rsidRPr="00392BB0">
              <w:rPr>
                <w:b/>
                <w:color w:val="000000"/>
                <w:szCs w:val="24"/>
                <w:lang w:val="en-US"/>
              </w:rPr>
              <w:t xml:space="preserve">Preliminary number of devices where </w:t>
            </w:r>
            <w:proofErr w:type="spellStart"/>
            <w:r w:rsidRPr="00392BB0">
              <w:rPr>
                <w:b/>
                <w:color w:val="000000"/>
                <w:szCs w:val="24"/>
                <w:lang w:val="en-US"/>
              </w:rPr>
              <w:t>cEMV</w:t>
            </w:r>
            <w:proofErr w:type="spellEnd"/>
            <w:r w:rsidRPr="00392BB0">
              <w:rPr>
                <w:b/>
                <w:color w:val="000000"/>
                <w:szCs w:val="24"/>
                <w:lang w:val="en-US"/>
              </w:rPr>
              <w:t xml:space="preserve"> payments will be possible, per month.</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769F1A" w14:textId="77777777" w:rsidR="00176C6C" w:rsidRPr="00392BB0" w:rsidRDefault="00176C6C" w:rsidP="00176C6C">
            <w:pPr>
              <w:jc w:val="center"/>
              <w:rPr>
                <w:szCs w:val="24"/>
                <w:lang w:val="en-US"/>
              </w:rPr>
            </w:pPr>
            <w:r w:rsidRPr="00392BB0">
              <w:rPr>
                <w:szCs w:val="24"/>
                <w:lang w:val="en-US"/>
              </w:rPr>
              <w:t xml:space="preserve">units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C29565" w14:textId="77777777" w:rsidR="00176C6C" w:rsidRPr="00392BB0" w:rsidRDefault="00176C6C" w:rsidP="00176C6C">
            <w:pPr>
              <w:jc w:val="center"/>
              <w:rPr>
                <w:szCs w:val="24"/>
                <w:lang w:val="en-US"/>
              </w:rPr>
            </w:pPr>
            <w:r w:rsidRPr="00392BB0">
              <w:rPr>
                <w:szCs w:val="24"/>
                <w:lang w:val="en-US"/>
              </w:rPr>
              <w:t xml:space="preserve">12 </w:t>
            </w:r>
            <w:proofErr w:type="gramStart"/>
            <w:r w:rsidRPr="00392BB0">
              <w:rPr>
                <w:szCs w:val="24"/>
                <w:lang w:val="en-US"/>
              </w:rPr>
              <w:t>month</w:t>
            </w:r>
            <w:proofErr w:type="gramEnd"/>
          </w:p>
        </w:tc>
        <w:tc>
          <w:tcPr>
            <w:tcW w:w="1460" w:type="dxa"/>
            <w:tcBorders>
              <w:top w:val="single" w:sz="4" w:space="0" w:color="auto"/>
              <w:left w:val="nil"/>
              <w:bottom w:val="single" w:sz="4" w:space="0" w:color="auto"/>
              <w:right w:val="single" w:sz="4" w:space="0" w:color="auto"/>
            </w:tcBorders>
            <w:vAlign w:val="center"/>
          </w:tcPr>
          <w:p w14:paraId="13E9FB5E" w14:textId="77777777" w:rsidR="00176C6C" w:rsidRPr="00392BB0" w:rsidRDefault="00176C6C" w:rsidP="00176C6C">
            <w:pPr>
              <w:jc w:val="center"/>
              <w:rPr>
                <w:szCs w:val="24"/>
                <w:lang w:val="en-US"/>
              </w:rPr>
            </w:pPr>
            <w:r w:rsidRPr="00392BB0">
              <w:rPr>
                <w:szCs w:val="24"/>
                <w:lang w:val="en-US"/>
              </w:rPr>
              <w:t>800</w:t>
            </w:r>
          </w:p>
        </w:tc>
        <w:tc>
          <w:tcPr>
            <w:tcW w:w="1234" w:type="dxa"/>
            <w:tcBorders>
              <w:top w:val="single" w:sz="4" w:space="0" w:color="auto"/>
              <w:left w:val="nil"/>
              <w:bottom w:val="single" w:sz="4" w:space="0" w:color="auto"/>
              <w:right w:val="single" w:sz="4" w:space="0" w:color="auto"/>
            </w:tcBorders>
            <w:vAlign w:val="center"/>
          </w:tcPr>
          <w:p w14:paraId="125CF70E" w14:textId="77777777" w:rsidR="00176C6C" w:rsidRPr="00392BB0" w:rsidRDefault="00176C6C" w:rsidP="00176C6C">
            <w:pPr>
              <w:jc w:val="center"/>
              <w:rPr>
                <w:szCs w:val="24"/>
                <w:lang w:val="en-US"/>
              </w:rPr>
            </w:pPr>
            <w:r w:rsidRPr="00392BB0">
              <w:rPr>
                <w:szCs w:val="24"/>
                <w:lang w:val="en-US"/>
              </w:rPr>
              <w:t>______ EUR</w:t>
            </w:r>
          </w:p>
          <w:p w14:paraId="137E8684" w14:textId="77777777" w:rsidR="00176C6C" w:rsidRPr="00392BB0" w:rsidRDefault="00176C6C" w:rsidP="00176C6C">
            <w:pPr>
              <w:jc w:val="center"/>
              <w:rPr>
                <w:szCs w:val="24"/>
                <w:lang w:val="en-US"/>
              </w:rPr>
            </w:pPr>
            <w:r w:rsidRPr="00392BB0">
              <w:rPr>
                <w:szCs w:val="24"/>
                <w:lang w:val="en-US"/>
              </w:rPr>
              <w:t>excl. VAT</w:t>
            </w:r>
          </w:p>
        </w:tc>
        <w:tc>
          <w:tcPr>
            <w:tcW w:w="1701" w:type="dxa"/>
            <w:tcBorders>
              <w:top w:val="single" w:sz="4" w:space="0" w:color="auto"/>
              <w:left w:val="single" w:sz="4" w:space="0" w:color="auto"/>
              <w:bottom w:val="single" w:sz="4" w:space="0" w:color="auto"/>
              <w:right w:val="single" w:sz="4" w:space="0" w:color="auto"/>
            </w:tcBorders>
            <w:vAlign w:val="center"/>
          </w:tcPr>
          <w:p w14:paraId="77FB32CB" w14:textId="6CF05AAD" w:rsidR="00176C6C" w:rsidRPr="00392BB0" w:rsidRDefault="00176C6C" w:rsidP="00176C6C">
            <w:pPr>
              <w:jc w:val="center"/>
              <w:rPr>
                <w:b/>
                <w:i/>
                <w:color w:val="FF0000"/>
                <w:sz w:val="16"/>
                <w:szCs w:val="16"/>
                <w:lang w:val="en-US"/>
              </w:rPr>
            </w:pPr>
            <w:r w:rsidRPr="00392BB0">
              <w:rPr>
                <w:b/>
                <w:i/>
                <w:color w:val="FF0000"/>
                <w:sz w:val="16"/>
                <w:szCs w:val="16"/>
                <w:lang w:val="en-US"/>
              </w:rPr>
              <w:t>4</w:t>
            </w:r>
            <w:r w:rsidR="00261637">
              <w:rPr>
                <w:b/>
                <w:i/>
                <w:color w:val="FF0000"/>
                <w:sz w:val="16"/>
                <w:szCs w:val="16"/>
                <w:lang w:val="en-US"/>
              </w:rPr>
              <w:t>c</w:t>
            </w:r>
            <w:r w:rsidRPr="00392BB0">
              <w:rPr>
                <w:b/>
                <w:i/>
                <w:color w:val="FF0000"/>
                <w:sz w:val="16"/>
                <w:szCs w:val="16"/>
                <w:lang w:val="en-US"/>
              </w:rPr>
              <w:t xml:space="preserve">olumn x 5column x </w:t>
            </w:r>
          </w:p>
          <w:p w14:paraId="7AD88277" w14:textId="77777777" w:rsidR="00176C6C" w:rsidRPr="00392BB0" w:rsidRDefault="00176C6C" w:rsidP="00176C6C">
            <w:pPr>
              <w:jc w:val="center"/>
              <w:rPr>
                <w:b/>
                <w:i/>
                <w:color w:val="FF0000"/>
                <w:sz w:val="16"/>
                <w:szCs w:val="16"/>
                <w:lang w:val="en-US"/>
              </w:rPr>
            </w:pPr>
            <w:r w:rsidRPr="00392BB0">
              <w:rPr>
                <w:b/>
                <w:i/>
                <w:color w:val="FF0000"/>
                <w:sz w:val="16"/>
                <w:szCs w:val="16"/>
                <w:lang w:val="en-US"/>
              </w:rPr>
              <w:t xml:space="preserve">6 </w:t>
            </w:r>
            <w:proofErr w:type="gramStart"/>
            <w:r w:rsidRPr="00392BB0">
              <w:rPr>
                <w:b/>
                <w:i/>
                <w:color w:val="FF0000"/>
                <w:sz w:val="16"/>
                <w:szCs w:val="16"/>
                <w:lang w:val="en-US"/>
              </w:rPr>
              <w:t>column</w:t>
            </w:r>
            <w:proofErr w:type="gramEnd"/>
          </w:p>
          <w:p w14:paraId="5F11FEA6" w14:textId="77777777" w:rsidR="00176C6C" w:rsidRPr="00392BB0" w:rsidRDefault="00176C6C" w:rsidP="00176C6C">
            <w:pPr>
              <w:jc w:val="center"/>
              <w:rPr>
                <w:b/>
                <w:i/>
                <w:color w:val="FF0000"/>
                <w:sz w:val="16"/>
                <w:szCs w:val="16"/>
                <w:lang w:val="en-US"/>
              </w:rPr>
            </w:pPr>
          </w:p>
          <w:p w14:paraId="46386EDE" w14:textId="77777777" w:rsidR="00176C6C" w:rsidRPr="00392BB0" w:rsidRDefault="00176C6C" w:rsidP="00176C6C">
            <w:pPr>
              <w:jc w:val="center"/>
              <w:rPr>
                <w:b/>
                <w:i/>
                <w:color w:val="FF0000"/>
                <w:sz w:val="16"/>
                <w:szCs w:val="16"/>
                <w:lang w:val="en-US"/>
              </w:rPr>
            </w:pPr>
          </w:p>
          <w:p w14:paraId="7E021A8E" w14:textId="77777777" w:rsidR="00176C6C" w:rsidRPr="00392BB0" w:rsidRDefault="00176C6C" w:rsidP="00176C6C">
            <w:pPr>
              <w:jc w:val="center"/>
              <w:rPr>
                <w:b/>
                <w:szCs w:val="24"/>
                <w:lang w:val="en-US"/>
              </w:rPr>
            </w:pPr>
            <w:r w:rsidRPr="00392BB0">
              <w:rPr>
                <w:b/>
                <w:szCs w:val="24"/>
                <w:lang w:val="en-US"/>
              </w:rPr>
              <w:t>______</w:t>
            </w:r>
          </w:p>
          <w:p w14:paraId="31C1A69C" w14:textId="77777777" w:rsidR="00176C6C" w:rsidRPr="00392BB0" w:rsidRDefault="00176C6C" w:rsidP="00176C6C">
            <w:pPr>
              <w:jc w:val="center"/>
              <w:rPr>
                <w:b/>
                <w:i/>
                <w:color w:val="FF0000"/>
                <w:sz w:val="16"/>
                <w:szCs w:val="16"/>
                <w:lang w:val="en-US"/>
              </w:rPr>
            </w:pPr>
          </w:p>
          <w:p w14:paraId="6D216D3C" w14:textId="77777777" w:rsidR="00176C6C" w:rsidRPr="00392BB0" w:rsidRDefault="00176C6C" w:rsidP="00176C6C">
            <w:pPr>
              <w:jc w:val="center"/>
              <w:rPr>
                <w:b/>
                <w:i/>
                <w:color w:val="FF0000"/>
                <w:sz w:val="16"/>
                <w:szCs w:val="16"/>
                <w:lang w:val="en-US"/>
              </w:rPr>
            </w:pPr>
          </w:p>
          <w:p w14:paraId="36688A56" w14:textId="77777777" w:rsidR="00176C6C" w:rsidRPr="00392BB0" w:rsidRDefault="00176C6C" w:rsidP="00176C6C">
            <w:pPr>
              <w:jc w:val="center"/>
              <w:rPr>
                <w:b/>
                <w:i/>
                <w:color w:val="FF0000"/>
                <w:sz w:val="16"/>
                <w:szCs w:val="16"/>
                <w:lang w:val="en-US"/>
              </w:rPr>
            </w:pPr>
          </w:p>
          <w:p w14:paraId="638FE2AD" w14:textId="77777777" w:rsidR="00176C6C" w:rsidRPr="00392BB0" w:rsidRDefault="00176C6C" w:rsidP="00176C6C">
            <w:pPr>
              <w:jc w:val="center"/>
              <w:rPr>
                <w:b/>
                <w:i/>
                <w:color w:val="FF0000"/>
                <w:sz w:val="16"/>
                <w:szCs w:val="16"/>
                <w:lang w:val="en-US"/>
              </w:rPr>
            </w:pPr>
          </w:p>
          <w:p w14:paraId="21F7F418" w14:textId="77777777" w:rsidR="00176C6C" w:rsidRPr="00392BB0" w:rsidRDefault="00176C6C" w:rsidP="00176C6C">
            <w:pPr>
              <w:jc w:val="center"/>
              <w:rPr>
                <w:b/>
                <w:i/>
                <w:color w:val="FF0000"/>
                <w:sz w:val="16"/>
                <w:szCs w:val="16"/>
                <w:lang w:val="en-US"/>
              </w:rPr>
            </w:pPr>
          </w:p>
          <w:p w14:paraId="405C101D" w14:textId="77777777" w:rsidR="00176C6C" w:rsidRPr="00392BB0" w:rsidRDefault="00176C6C" w:rsidP="00176C6C">
            <w:pPr>
              <w:jc w:val="center"/>
              <w:rPr>
                <w:szCs w:val="24"/>
                <w:lang w:val="en-US"/>
              </w:rPr>
            </w:pPr>
          </w:p>
        </w:tc>
      </w:tr>
      <w:tr w:rsidR="00176C6C" w:rsidRPr="00392BB0" w14:paraId="4217AAE2" w14:textId="77777777" w:rsidTr="00A24967">
        <w:trPr>
          <w:trHeight w:val="315"/>
        </w:trPr>
        <w:tc>
          <w:tcPr>
            <w:tcW w:w="609" w:type="dxa"/>
            <w:tcBorders>
              <w:top w:val="single" w:sz="4" w:space="0" w:color="auto"/>
              <w:left w:val="single" w:sz="4" w:space="0" w:color="auto"/>
              <w:bottom w:val="single" w:sz="4" w:space="0" w:color="auto"/>
              <w:right w:val="single" w:sz="4" w:space="0" w:color="auto"/>
            </w:tcBorders>
            <w:shd w:val="clear" w:color="auto" w:fill="auto"/>
            <w:noWrap/>
          </w:tcPr>
          <w:p w14:paraId="6ED3438D" w14:textId="77777777" w:rsidR="00176C6C" w:rsidRPr="00392BB0" w:rsidRDefault="00176C6C" w:rsidP="00176C6C">
            <w:pPr>
              <w:jc w:val="center"/>
              <w:rPr>
                <w:szCs w:val="24"/>
                <w:lang w:val="en-US"/>
              </w:rPr>
            </w:pPr>
            <w:r w:rsidRPr="00392BB0">
              <w:rPr>
                <w:szCs w:val="24"/>
                <w:lang w:val="en-US"/>
              </w:rPr>
              <w:t>3.</w:t>
            </w:r>
          </w:p>
        </w:tc>
        <w:tc>
          <w:tcPr>
            <w:tcW w:w="3077" w:type="dxa"/>
            <w:gridSpan w:val="2"/>
            <w:tcBorders>
              <w:top w:val="single" w:sz="4" w:space="0" w:color="auto"/>
              <w:left w:val="nil"/>
              <w:bottom w:val="single" w:sz="4" w:space="0" w:color="auto"/>
              <w:right w:val="single" w:sz="4" w:space="0" w:color="auto"/>
            </w:tcBorders>
            <w:shd w:val="clear" w:color="auto" w:fill="auto"/>
            <w:noWrap/>
            <w:vAlign w:val="bottom"/>
          </w:tcPr>
          <w:p w14:paraId="39D372F5" w14:textId="77777777" w:rsidR="00176C6C" w:rsidRPr="00392BB0" w:rsidRDefault="00176C6C" w:rsidP="00176C6C">
            <w:pPr>
              <w:jc w:val="left"/>
              <w:rPr>
                <w:color w:val="000000"/>
                <w:szCs w:val="24"/>
                <w:lang w:val="en-US"/>
              </w:rPr>
            </w:pPr>
            <w:r w:rsidRPr="00392BB0">
              <w:rPr>
                <w:color w:val="000000"/>
                <w:szCs w:val="24"/>
                <w:lang w:val="en-US"/>
              </w:rPr>
              <w:t xml:space="preserve">System support for </w:t>
            </w:r>
            <w:proofErr w:type="spellStart"/>
            <w:r w:rsidRPr="00392BB0">
              <w:rPr>
                <w:color w:val="000000"/>
                <w:szCs w:val="24"/>
                <w:lang w:val="en-US"/>
              </w:rPr>
              <w:t>cEMV</w:t>
            </w:r>
            <w:proofErr w:type="spellEnd"/>
            <w:r w:rsidRPr="00392BB0">
              <w:rPr>
                <w:color w:val="000000"/>
                <w:szCs w:val="24"/>
                <w:lang w:val="en-US"/>
              </w:rPr>
              <w:t xml:space="preserve"> payments with contactless bank cards in Kaunas city public transport. </w:t>
            </w:r>
            <w:r w:rsidRPr="00392BB0">
              <w:rPr>
                <w:b/>
                <w:color w:val="000000"/>
                <w:szCs w:val="24"/>
                <w:lang w:val="en-US"/>
              </w:rPr>
              <w:t>Preliminary amount of funds for payments with contactless bank cards per month.</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EDE8DB" w14:textId="77777777" w:rsidR="00176C6C" w:rsidRPr="00392BB0" w:rsidRDefault="00176C6C" w:rsidP="00176C6C">
            <w:pPr>
              <w:jc w:val="center"/>
              <w:rPr>
                <w:szCs w:val="24"/>
                <w:lang w:val="en-US"/>
              </w:rPr>
            </w:pPr>
            <w:proofErr w:type="spellStart"/>
            <w:r w:rsidRPr="00392BB0">
              <w:rPr>
                <w:szCs w:val="24"/>
                <w:lang w:val="en-US"/>
              </w:rPr>
              <w:t>Eur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0B212D" w14:textId="77777777" w:rsidR="00176C6C" w:rsidRPr="00392BB0" w:rsidRDefault="00176C6C" w:rsidP="00176C6C">
            <w:pPr>
              <w:jc w:val="center"/>
              <w:rPr>
                <w:szCs w:val="24"/>
                <w:lang w:val="en-US"/>
              </w:rPr>
            </w:pPr>
            <w:r w:rsidRPr="00392BB0">
              <w:rPr>
                <w:szCs w:val="24"/>
                <w:lang w:val="en-US"/>
              </w:rPr>
              <w:t xml:space="preserve">12 </w:t>
            </w:r>
            <w:proofErr w:type="gramStart"/>
            <w:r w:rsidRPr="00392BB0">
              <w:rPr>
                <w:szCs w:val="24"/>
                <w:lang w:val="en-US"/>
              </w:rPr>
              <w:t>month</w:t>
            </w:r>
            <w:proofErr w:type="gramEnd"/>
          </w:p>
        </w:tc>
        <w:tc>
          <w:tcPr>
            <w:tcW w:w="1460" w:type="dxa"/>
            <w:tcBorders>
              <w:top w:val="single" w:sz="4" w:space="0" w:color="auto"/>
              <w:left w:val="nil"/>
              <w:bottom w:val="single" w:sz="4" w:space="0" w:color="auto"/>
              <w:right w:val="single" w:sz="4" w:space="0" w:color="auto"/>
            </w:tcBorders>
            <w:vAlign w:val="center"/>
          </w:tcPr>
          <w:p w14:paraId="7704B2DB" w14:textId="77777777" w:rsidR="00176C6C" w:rsidRPr="00392BB0" w:rsidRDefault="00176C6C" w:rsidP="00176C6C">
            <w:pPr>
              <w:jc w:val="center"/>
              <w:rPr>
                <w:szCs w:val="24"/>
                <w:lang w:val="en-US"/>
              </w:rPr>
            </w:pPr>
            <w:r w:rsidRPr="00392BB0">
              <w:rPr>
                <w:szCs w:val="24"/>
                <w:lang w:val="en-US"/>
              </w:rPr>
              <w:t>70 000</w:t>
            </w:r>
          </w:p>
        </w:tc>
        <w:tc>
          <w:tcPr>
            <w:tcW w:w="1234" w:type="dxa"/>
            <w:tcBorders>
              <w:top w:val="single" w:sz="4" w:space="0" w:color="auto"/>
              <w:left w:val="nil"/>
              <w:bottom w:val="single" w:sz="4" w:space="0" w:color="auto"/>
              <w:right w:val="single" w:sz="4" w:space="0" w:color="auto"/>
            </w:tcBorders>
            <w:vAlign w:val="center"/>
          </w:tcPr>
          <w:p w14:paraId="0A4E70E6" w14:textId="77777777" w:rsidR="00176C6C" w:rsidRPr="00392BB0" w:rsidRDefault="00176C6C" w:rsidP="00176C6C">
            <w:pPr>
              <w:jc w:val="center"/>
              <w:rPr>
                <w:szCs w:val="24"/>
                <w:lang w:val="en-US"/>
              </w:rPr>
            </w:pPr>
            <w:r w:rsidRPr="00392BB0">
              <w:rPr>
                <w:szCs w:val="24"/>
                <w:lang w:val="en-US"/>
              </w:rPr>
              <w:t>______ %</w:t>
            </w:r>
          </w:p>
        </w:tc>
        <w:tc>
          <w:tcPr>
            <w:tcW w:w="1701" w:type="dxa"/>
            <w:tcBorders>
              <w:top w:val="single" w:sz="4" w:space="0" w:color="auto"/>
              <w:left w:val="single" w:sz="4" w:space="0" w:color="auto"/>
              <w:bottom w:val="single" w:sz="4" w:space="0" w:color="auto"/>
              <w:right w:val="single" w:sz="4" w:space="0" w:color="auto"/>
            </w:tcBorders>
            <w:vAlign w:val="center"/>
          </w:tcPr>
          <w:p w14:paraId="7E4DEC69" w14:textId="5BD3886C" w:rsidR="00176C6C" w:rsidRPr="00392BB0" w:rsidRDefault="00176C6C" w:rsidP="00176C6C">
            <w:pPr>
              <w:jc w:val="center"/>
              <w:rPr>
                <w:b/>
                <w:i/>
                <w:color w:val="FF0000"/>
                <w:sz w:val="16"/>
                <w:szCs w:val="16"/>
                <w:lang w:val="en-US"/>
              </w:rPr>
            </w:pPr>
            <w:r w:rsidRPr="00392BB0">
              <w:rPr>
                <w:b/>
                <w:i/>
                <w:color w:val="FF0000"/>
                <w:sz w:val="16"/>
                <w:szCs w:val="16"/>
                <w:lang w:val="en-US"/>
              </w:rPr>
              <w:t xml:space="preserve">4column x 5column x </w:t>
            </w:r>
          </w:p>
          <w:p w14:paraId="0E737594" w14:textId="77777777" w:rsidR="00176C6C" w:rsidRPr="00392BB0" w:rsidRDefault="00176C6C" w:rsidP="00176C6C">
            <w:pPr>
              <w:jc w:val="center"/>
              <w:rPr>
                <w:b/>
                <w:i/>
                <w:color w:val="FF0000"/>
                <w:sz w:val="16"/>
                <w:szCs w:val="16"/>
                <w:lang w:val="en-US"/>
              </w:rPr>
            </w:pPr>
            <w:r w:rsidRPr="00392BB0">
              <w:rPr>
                <w:b/>
                <w:i/>
                <w:color w:val="FF0000"/>
                <w:sz w:val="16"/>
                <w:szCs w:val="16"/>
                <w:lang w:val="en-US"/>
              </w:rPr>
              <w:t xml:space="preserve">6 </w:t>
            </w:r>
            <w:proofErr w:type="gramStart"/>
            <w:r w:rsidRPr="00392BB0">
              <w:rPr>
                <w:b/>
                <w:i/>
                <w:color w:val="FF0000"/>
                <w:sz w:val="16"/>
                <w:szCs w:val="16"/>
                <w:lang w:val="en-US"/>
              </w:rPr>
              <w:t>column</w:t>
            </w:r>
            <w:proofErr w:type="gramEnd"/>
            <w:r w:rsidRPr="00392BB0">
              <w:rPr>
                <w:b/>
                <w:i/>
                <w:color w:val="FF0000"/>
                <w:sz w:val="16"/>
                <w:szCs w:val="16"/>
                <w:lang w:val="en-US"/>
              </w:rPr>
              <w:t xml:space="preserve"> %</w:t>
            </w:r>
          </w:p>
          <w:p w14:paraId="0597318B" w14:textId="77777777" w:rsidR="00176C6C" w:rsidRPr="00392BB0" w:rsidRDefault="00176C6C" w:rsidP="00176C6C">
            <w:pPr>
              <w:jc w:val="center"/>
              <w:rPr>
                <w:szCs w:val="24"/>
                <w:lang w:val="en-US"/>
              </w:rPr>
            </w:pPr>
          </w:p>
          <w:p w14:paraId="145459C5" w14:textId="77777777" w:rsidR="00176C6C" w:rsidRPr="00392BB0" w:rsidRDefault="00176C6C" w:rsidP="00176C6C">
            <w:pPr>
              <w:jc w:val="center"/>
              <w:rPr>
                <w:szCs w:val="24"/>
                <w:lang w:val="en-US"/>
              </w:rPr>
            </w:pPr>
          </w:p>
          <w:p w14:paraId="03049DDB" w14:textId="77777777" w:rsidR="00176C6C" w:rsidRPr="00392BB0" w:rsidRDefault="00176C6C" w:rsidP="00176C6C">
            <w:pPr>
              <w:jc w:val="center"/>
              <w:rPr>
                <w:b/>
                <w:szCs w:val="24"/>
                <w:lang w:val="en-US"/>
              </w:rPr>
            </w:pPr>
            <w:r w:rsidRPr="00392BB0">
              <w:rPr>
                <w:b/>
                <w:szCs w:val="24"/>
                <w:lang w:val="en-US"/>
              </w:rPr>
              <w:t>______</w:t>
            </w:r>
          </w:p>
          <w:p w14:paraId="63289261" w14:textId="77777777" w:rsidR="00176C6C" w:rsidRPr="00392BB0" w:rsidRDefault="00176C6C" w:rsidP="00176C6C">
            <w:pPr>
              <w:jc w:val="center"/>
              <w:rPr>
                <w:szCs w:val="24"/>
                <w:lang w:val="en-US"/>
              </w:rPr>
            </w:pPr>
          </w:p>
          <w:p w14:paraId="26847972" w14:textId="77777777" w:rsidR="00176C6C" w:rsidRPr="00392BB0" w:rsidRDefault="00176C6C" w:rsidP="00176C6C">
            <w:pPr>
              <w:jc w:val="center"/>
              <w:rPr>
                <w:szCs w:val="24"/>
                <w:lang w:val="en-US"/>
              </w:rPr>
            </w:pPr>
          </w:p>
          <w:p w14:paraId="4333CB9A" w14:textId="77777777" w:rsidR="00176C6C" w:rsidRPr="00392BB0" w:rsidRDefault="00176C6C" w:rsidP="00176C6C">
            <w:pPr>
              <w:jc w:val="center"/>
              <w:rPr>
                <w:szCs w:val="24"/>
                <w:lang w:val="en-US"/>
              </w:rPr>
            </w:pPr>
          </w:p>
          <w:p w14:paraId="3516ADD6" w14:textId="77777777" w:rsidR="00176C6C" w:rsidRPr="00392BB0" w:rsidRDefault="00176C6C" w:rsidP="00176C6C">
            <w:pPr>
              <w:jc w:val="center"/>
              <w:rPr>
                <w:szCs w:val="24"/>
                <w:lang w:val="en-US"/>
              </w:rPr>
            </w:pPr>
          </w:p>
        </w:tc>
      </w:tr>
      <w:tr w:rsidR="00176C6C" w:rsidRPr="00392BB0" w14:paraId="19732FC8" w14:textId="77777777" w:rsidTr="00176C6C">
        <w:trPr>
          <w:trHeight w:val="31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36629" w14:textId="77777777" w:rsidR="00176C6C" w:rsidRPr="00392BB0" w:rsidRDefault="00176C6C" w:rsidP="00176C6C">
            <w:pPr>
              <w:jc w:val="center"/>
              <w:rPr>
                <w:szCs w:val="24"/>
                <w:lang w:val="en-US"/>
              </w:rPr>
            </w:pPr>
            <w:r w:rsidRPr="00392BB0">
              <w:rPr>
                <w:i/>
                <w:szCs w:val="24"/>
                <w:lang w:val="en-US"/>
              </w:rPr>
              <w:t xml:space="preserve">(a) </w:t>
            </w:r>
            <w:r w:rsidRPr="0051696F">
              <w:rPr>
                <w:i/>
                <w:szCs w:val="24"/>
                <w:lang w:val="en-US"/>
              </w:rPr>
              <w:t>=</w:t>
            </w:r>
            <w:r w:rsidRPr="0051696F">
              <w:rPr>
                <w:i/>
                <w:sz w:val="16"/>
                <w:szCs w:val="16"/>
                <w:lang w:val="en-US"/>
              </w:rPr>
              <w:t>1.row +2.row +3.row</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tcPr>
          <w:p w14:paraId="1A73065E" w14:textId="77777777" w:rsidR="00176C6C" w:rsidRPr="00392BB0" w:rsidRDefault="00176C6C" w:rsidP="00176C6C">
            <w:pPr>
              <w:rPr>
                <w:szCs w:val="24"/>
                <w:lang w:val="en-US"/>
              </w:rPr>
            </w:pPr>
            <w:r w:rsidRPr="00392BB0">
              <w:rPr>
                <w:color w:val="000000"/>
                <w:szCs w:val="24"/>
                <w:lang w:val="en-US"/>
              </w:rPr>
              <w:t xml:space="preserve">Total amount of System Launch and System Maintenance (12 months) services for </w:t>
            </w:r>
            <w:proofErr w:type="spellStart"/>
            <w:r w:rsidRPr="00392BB0">
              <w:rPr>
                <w:color w:val="000000"/>
                <w:szCs w:val="24"/>
                <w:lang w:val="en-US"/>
              </w:rPr>
              <w:t>cEMV</w:t>
            </w:r>
            <w:proofErr w:type="spellEnd"/>
            <w:r w:rsidRPr="00392BB0">
              <w:rPr>
                <w:color w:val="000000"/>
                <w:szCs w:val="24"/>
                <w:lang w:val="en-US"/>
              </w:rPr>
              <w:t xml:space="preserve"> payments with contactless bank cards in Kaunas city public transport </w:t>
            </w:r>
            <w:r w:rsidRPr="00392BB0">
              <w:rPr>
                <w:szCs w:val="24"/>
                <w:lang w:val="en-US"/>
              </w:rPr>
              <w:t xml:space="preserve">EUR </w:t>
            </w:r>
            <w:r>
              <w:rPr>
                <w:szCs w:val="24"/>
                <w:lang w:val="en-US"/>
              </w:rPr>
              <w:t>excl.</w:t>
            </w:r>
            <w:r w:rsidRPr="00392BB0">
              <w:rPr>
                <w:szCs w:val="24"/>
                <w:lang w:val="en-US"/>
              </w:rPr>
              <w:t xml:space="preserve"> </w:t>
            </w:r>
            <w:r>
              <w:rPr>
                <w:szCs w:val="24"/>
                <w:lang w:val="en-US"/>
              </w:rPr>
              <w:t>VAT</w:t>
            </w:r>
          </w:p>
        </w:tc>
        <w:tc>
          <w:tcPr>
            <w:tcW w:w="1701" w:type="dxa"/>
            <w:tcBorders>
              <w:top w:val="single" w:sz="4" w:space="0" w:color="auto"/>
              <w:left w:val="single" w:sz="4" w:space="0" w:color="auto"/>
              <w:bottom w:val="single" w:sz="4" w:space="0" w:color="auto"/>
              <w:right w:val="single" w:sz="4" w:space="0" w:color="auto"/>
            </w:tcBorders>
            <w:vAlign w:val="center"/>
          </w:tcPr>
          <w:p w14:paraId="49C804F6" w14:textId="77777777" w:rsidR="00176C6C" w:rsidRPr="00392BB0" w:rsidRDefault="00176C6C" w:rsidP="00176C6C">
            <w:pPr>
              <w:jc w:val="center"/>
              <w:rPr>
                <w:szCs w:val="24"/>
                <w:lang w:val="en-US"/>
              </w:rPr>
            </w:pPr>
          </w:p>
        </w:tc>
      </w:tr>
      <w:tr w:rsidR="00176C6C" w:rsidRPr="00392BB0" w14:paraId="4B35F938" w14:textId="77777777" w:rsidTr="00176C6C">
        <w:trPr>
          <w:trHeight w:val="31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FCBA09" w14:textId="77777777" w:rsidR="00176C6C" w:rsidRPr="00392BB0" w:rsidRDefault="00176C6C" w:rsidP="00176C6C">
            <w:pPr>
              <w:jc w:val="center"/>
              <w:rPr>
                <w:bCs/>
                <w:szCs w:val="24"/>
                <w:lang w:val="en-US"/>
              </w:rPr>
            </w:pPr>
            <w:r w:rsidRPr="00392BB0">
              <w:rPr>
                <w:i/>
                <w:szCs w:val="24"/>
                <w:lang w:val="en-US"/>
              </w:rPr>
              <w:t>(b) = (a) × 0,21</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79D5D1" w14:textId="77777777" w:rsidR="00176C6C" w:rsidRPr="00392BB0" w:rsidRDefault="00176C6C" w:rsidP="00176C6C">
            <w:pPr>
              <w:jc w:val="right"/>
              <w:rPr>
                <w:szCs w:val="24"/>
                <w:lang w:val="en-US"/>
              </w:rPr>
            </w:pPr>
            <w:r w:rsidRPr="00392BB0">
              <w:rPr>
                <w:szCs w:val="24"/>
                <w:lang w:val="en-US"/>
              </w:rPr>
              <w:t>21 p</w:t>
            </w:r>
            <w:r>
              <w:rPr>
                <w:szCs w:val="24"/>
                <w:lang w:val="en-US"/>
              </w:rPr>
              <w:t>ercent</w:t>
            </w:r>
            <w:r w:rsidRPr="00392BB0">
              <w:rPr>
                <w:szCs w:val="24"/>
                <w:lang w:val="en-US"/>
              </w:rPr>
              <w:t xml:space="preserve"> </w:t>
            </w:r>
            <w:r>
              <w:rPr>
                <w:szCs w:val="24"/>
                <w:lang w:val="en-US"/>
              </w:rPr>
              <w:t>VAT</w:t>
            </w:r>
          </w:p>
        </w:tc>
        <w:tc>
          <w:tcPr>
            <w:tcW w:w="1701" w:type="dxa"/>
            <w:tcBorders>
              <w:top w:val="single" w:sz="4" w:space="0" w:color="auto"/>
              <w:left w:val="single" w:sz="4" w:space="0" w:color="auto"/>
              <w:bottom w:val="single" w:sz="4" w:space="0" w:color="auto"/>
              <w:right w:val="single" w:sz="4" w:space="0" w:color="auto"/>
            </w:tcBorders>
            <w:vAlign w:val="center"/>
          </w:tcPr>
          <w:p w14:paraId="310C9828" w14:textId="77777777" w:rsidR="00176C6C" w:rsidRPr="00392BB0" w:rsidRDefault="00176C6C" w:rsidP="00176C6C">
            <w:pPr>
              <w:jc w:val="center"/>
              <w:rPr>
                <w:szCs w:val="24"/>
                <w:lang w:val="en-US"/>
              </w:rPr>
            </w:pPr>
          </w:p>
        </w:tc>
      </w:tr>
      <w:tr w:rsidR="00176C6C" w:rsidRPr="00392BB0" w14:paraId="6B49F03C" w14:textId="77777777" w:rsidTr="00176C6C">
        <w:trPr>
          <w:trHeight w:val="31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A6A625" w14:textId="77777777" w:rsidR="00176C6C" w:rsidRPr="00392BB0" w:rsidRDefault="00176C6C" w:rsidP="00176C6C">
            <w:pPr>
              <w:jc w:val="center"/>
              <w:rPr>
                <w:bCs/>
                <w:szCs w:val="24"/>
                <w:lang w:val="en-US"/>
              </w:rPr>
            </w:pPr>
            <w:r w:rsidRPr="00392BB0">
              <w:rPr>
                <w:i/>
                <w:szCs w:val="24"/>
                <w:lang w:val="en-US"/>
              </w:rPr>
              <w:t>(c) = (a) + (b)</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tcPr>
          <w:p w14:paraId="4440BA40" w14:textId="77777777" w:rsidR="00176C6C" w:rsidRPr="00392BB0" w:rsidRDefault="00176C6C" w:rsidP="00176C6C">
            <w:pPr>
              <w:rPr>
                <w:szCs w:val="24"/>
                <w:lang w:val="en-US"/>
              </w:rPr>
            </w:pPr>
            <w:r w:rsidRPr="00392BB0">
              <w:rPr>
                <w:color w:val="000000"/>
                <w:szCs w:val="24"/>
                <w:lang w:val="en-US"/>
              </w:rPr>
              <w:t xml:space="preserve">Total amount of System Launch and System Maintenance (12 months) services for </w:t>
            </w:r>
            <w:proofErr w:type="spellStart"/>
            <w:r w:rsidRPr="00392BB0">
              <w:rPr>
                <w:color w:val="000000"/>
                <w:szCs w:val="24"/>
                <w:lang w:val="en-US"/>
              </w:rPr>
              <w:t>cEMV</w:t>
            </w:r>
            <w:proofErr w:type="spellEnd"/>
            <w:r w:rsidRPr="00392BB0">
              <w:rPr>
                <w:color w:val="000000"/>
                <w:szCs w:val="24"/>
                <w:lang w:val="en-US"/>
              </w:rPr>
              <w:t xml:space="preserve"> payments with contactless bank cards in Kaunas city public transport </w:t>
            </w:r>
            <w:r w:rsidRPr="00392BB0">
              <w:rPr>
                <w:szCs w:val="24"/>
                <w:lang w:val="en-US"/>
              </w:rPr>
              <w:t>EUR</w:t>
            </w:r>
            <w:r>
              <w:rPr>
                <w:szCs w:val="24"/>
                <w:lang w:val="en-US"/>
              </w:rPr>
              <w:t xml:space="preserve"> with</w:t>
            </w:r>
            <w:r w:rsidRPr="00392BB0">
              <w:rPr>
                <w:szCs w:val="24"/>
                <w:lang w:val="en-US"/>
              </w:rPr>
              <w:t xml:space="preserve"> </w:t>
            </w:r>
            <w:r>
              <w:rPr>
                <w:szCs w:val="24"/>
                <w:lang w:val="en-US"/>
              </w:rPr>
              <w:t>VAT</w:t>
            </w:r>
          </w:p>
        </w:tc>
        <w:tc>
          <w:tcPr>
            <w:tcW w:w="1701" w:type="dxa"/>
            <w:tcBorders>
              <w:top w:val="single" w:sz="4" w:space="0" w:color="auto"/>
              <w:left w:val="single" w:sz="4" w:space="0" w:color="auto"/>
              <w:bottom w:val="single" w:sz="4" w:space="0" w:color="auto"/>
              <w:right w:val="single" w:sz="4" w:space="0" w:color="auto"/>
            </w:tcBorders>
            <w:vAlign w:val="center"/>
          </w:tcPr>
          <w:p w14:paraId="0235F6CE" w14:textId="77777777" w:rsidR="00176C6C" w:rsidRPr="00392BB0" w:rsidRDefault="00176C6C" w:rsidP="00176C6C">
            <w:pPr>
              <w:jc w:val="center"/>
              <w:rPr>
                <w:szCs w:val="24"/>
                <w:lang w:val="en-US"/>
              </w:rPr>
            </w:pPr>
          </w:p>
        </w:tc>
      </w:tr>
    </w:tbl>
    <w:p w14:paraId="6E947A1B" w14:textId="77777777" w:rsidR="004F114C" w:rsidRDefault="004F114C" w:rsidP="00FF1B53">
      <w:pPr>
        <w:ind w:firstLine="567"/>
        <w:rPr>
          <w:szCs w:val="24"/>
          <w:lang w:val="en-US"/>
        </w:rPr>
      </w:pPr>
    </w:p>
    <w:p w14:paraId="57C1C306" w14:textId="4657A32B" w:rsidR="00CD1CAE" w:rsidRPr="0097755E" w:rsidRDefault="00CD1CAE" w:rsidP="00CD1CAE">
      <w:pPr>
        <w:ind w:firstLine="567"/>
        <w:rPr>
          <w:szCs w:val="24"/>
          <w:lang w:val="en-US"/>
        </w:rPr>
      </w:pPr>
      <w:r w:rsidRPr="0097755E">
        <w:rPr>
          <w:szCs w:val="24"/>
          <w:lang w:val="en-US"/>
        </w:rPr>
        <w:t xml:space="preserve">Total offered price without VAT will be used only for evaluation and comparison of the proposals.  </w:t>
      </w:r>
    </w:p>
    <w:p w14:paraId="3F63954C" w14:textId="2DD0D332" w:rsidR="00CD1CAE" w:rsidRPr="0097755E" w:rsidRDefault="00CD1CAE" w:rsidP="00CD1CAE">
      <w:pPr>
        <w:pStyle w:val="Pagrindinistekstas"/>
        <w:widowControl w:val="0"/>
        <w:rPr>
          <w:b/>
          <w:szCs w:val="24"/>
          <w:lang w:val="en-US"/>
        </w:rPr>
      </w:pPr>
      <w:r w:rsidRPr="0097755E">
        <w:rPr>
          <w:szCs w:val="24"/>
          <w:lang w:val="en-US"/>
        </w:rPr>
        <w:t xml:space="preserve">All prices in the proposal must be quoted in </w:t>
      </w:r>
      <w:r w:rsidRPr="0097755E">
        <w:rPr>
          <w:i/>
          <w:iCs/>
          <w:szCs w:val="24"/>
          <w:lang w:val="en-US"/>
        </w:rPr>
        <w:t>euros.</w:t>
      </w:r>
      <w:r w:rsidRPr="0097755E">
        <w:rPr>
          <w:szCs w:val="24"/>
          <w:lang w:val="en-US"/>
        </w:rPr>
        <w:t xml:space="preserve"> </w:t>
      </w:r>
    </w:p>
    <w:p w14:paraId="58865368" w14:textId="77777777" w:rsidR="00CD1CAE" w:rsidRPr="0097755E" w:rsidRDefault="00CD1CAE" w:rsidP="00FF1B53">
      <w:pPr>
        <w:ind w:firstLine="567"/>
        <w:rPr>
          <w:szCs w:val="24"/>
          <w:lang w:val="en-US"/>
        </w:rPr>
      </w:pPr>
    </w:p>
    <w:p w14:paraId="03EDCCB3" w14:textId="65FEF348" w:rsidR="00CD1CAE" w:rsidRPr="0097755E" w:rsidRDefault="00CD1CAE" w:rsidP="00CD1CAE">
      <w:pPr>
        <w:widowControl w:val="0"/>
        <w:rPr>
          <w:i/>
          <w:szCs w:val="24"/>
          <w:lang w:val="en-US"/>
        </w:rPr>
      </w:pPr>
      <w:r w:rsidRPr="0097755E">
        <w:rPr>
          <w:i/>
          <w:szCs w:val="24"/>
          <w:lang w:val="en-US"/>
        </w:rPr>
        <w:t xml:space="preserve">*Note: If the prices offered by the </w:t>
      </w:r>
      <w:r w:rsidR="00CA32C6">
        <w:rPr>
          <w:i/>
          <w:szCs w:val="24"/>
          <w:lang w:val="en-US"/>
        </w:rPr>
        <w:t>provider</w:t>
      </w:r>
      <w:r w:rsidRPr="0097755E">
        <w:rPr>
          <w:i/>
          <w:szCs w:val="24"/>
          <w:lang w:val="en-US"/>
        </w:rPr>
        <w:t xml:space="preserve"> are not subject to VAT or the VAT is rated at 0 percent, the </w:t>
      </w:r>
      <w:r w:rsidR="00CA32C6">
        <w:rPr>
          <w:i/>
          <w:szCs w:val="24"/>
          <w:lang w:val="en-US"/>
        </w:rPr>
        <w:t>provider</w:t>
      </w:r>
      <w:r w:rsidRPr="0097755E">
        <w:rPr>
          <w:i/>
          <w:szCs w:val="24"/>
          <w:lang w:val="en-US"/>
        </w:rPr>
        <w:t xml:space="preserve"> shall indicate the total price without VAT and provide the legal basis for excluding the VAT from the proposal.  </w:t>
      </w:r>
    </w:p>
    <w:p w14:paraId="32382CDA" w14:textId="246128BC" w:rsidR="00CD1CAE" w:rsidRPr="0097755E" w:rsidRDefault="00CD1CAE" w:rsidP="00CD1CAE">
      <w:pPr>
        <w:widowControl w:val="0"/>
        <w:rPr>
          <w:szCs w:val="24"/>
          <w:lang w:val="en-US"/>
        </w:rPr>
      </w:pPr>
      <w:r w:rsidRPr="0097755E">
        <w:rPr>
          <w:szCs w:val="24"/>
          <w:lang w:val="en-US"/>
        </w:rPr>
        <w:t xml:space="preserve">The </w:t>
      </w:r>
      <w:r w:rsidR="005679A0" w:rsidRPr="0097755E">
        <w:rPr>
          <w:szCs w:val="24"/>
          <w:lang w:val="en-US"/>
        </w:rPr>
        <w:t xml:space="preserve">unit price and the total </w:t>
      </w:r>
      <w:r w:rsidRPr="0097755E">
        <w:rPr>
          <w:szCs w:val="24"/>
          <w:lang w:val="en-US"/>
        </w:rPr>
        <w:t xml:space="preserve">offered price </w:t>
      </w:r>
      <w:r w:rsidR="005679A0" w:rsidRPr="0097755E">
        <w:rPr>
          <w:szCs w:val="24"/>
          <w:lang w:val="en-US"/>
        </w:rPr>
        <w:t>have</w:t>
      </w:r>
      <w:r w:rsidRPr="0097755E">
        <w:rPr>
          <w:szCs w:val="24"/>
          <w:lang w:val="en-US"/>
        </w:rPr>
        <w:t xml:space="preserve"> been calculated taking into consideration the</w:t>
      </w:r>
      <w:r w:rsidR="005679A0" w:rsidRPr="0097755E">
        <w:rPr>
          <w:szCs w:val="24"/>
          <w:lang w:val="en-US"/>
        </w:rPr>
        <w:t xml:space="preserve"> scope of the procurement, </w:t>
      </w:r>
      <w:r w:rsidRPr="0097755E">
        <w:rPr>
          <w:szCs w:val="24"/>
          <w:lang w:val="en-US"/>
        </w:rPr>
        <w:t xml:space="preserve">the constituent parts of the prices, </w:t>
      </w:r>
      <w:r w:rsidR="005679A0" w:rsidRPr="0097755E">
        <w:rPr>
          <w:szCs w:val="24"/>
          <w:lang w:val="en-US"/>
        </w:rPr>
        <w:t xml:space="preserve">the technical </w:t>
      </w:r>
      <w:r w:rsidRPr="0097755E">
        <w:rPr>
          <w:szCs w:val="24"/>
          <w:lang w:val="en-US"/>
        </w:rPr>
        <w:t xml:space="preserve">requirements set forth in the </w:t>
      </w:r>
      <w:r w:rsidR="005679A0" w:rsidRPr="0097755E">
        <w:rPr>
          <w:szCs w:val="24"/>
          <w:lang w:val="en-US"/>
        </w:rPr>
        <w:t>t</w:t>
      </w:r>
      <w:r w:rsidRPr="0097755E">
        <w:rPr>
          <w:szCs w:val="24"/>
          <w:lang w:val="en-US"/>
        </w:rPr>
        <w:t xml:space="preserve">echnical </w:t>
      </w:r>
      <w:r w:rsidR="005679A0" w:rsidRPr="0097755E">
        <w:rPr>
          <w:szCs w:val="24"/>
          <w:lang w:val="en-US"/>
        </w:rPr>
        <w:t>s</w:t>
      </w:r>
      <w:r w:rsidRPr="0097755E">
        <w:rPr>
          <w:szCs w:val="24"/>
          <w:lang w:val="en-US"/>
        </w:rPr>
        <w:t>pecification</w:t>
      </w:r>
      <w:r w:rsidR="005679A0" w:rsidRPr="0097755E">
        <w:rPr>
          <w:szCs w:val="24"/>
          <w:lang w:val="en-US"/>
        </w:rPr>
        <w:t xml:space="preserve"> hereof</w:t>
      </w:r>
      <w:r w:rsidRPr="0097755E">
        <w:rPr>
          <w:szCs w:val="24"/>
          <w:lang w:val="en-US"/>
        </w:rPr>
        <w:t xml:space="preserve">, </w:t>
      </w:r>
      <w:r w:rsidR="005679A0" w:rsidRPr="0097755E">
        <w:rPr>
          <w:szCs w:val="24"/>
          <w:lang w:val="en-US"/>
        </w:rPr>
        <w:t xml:space="preserve">the </w:t>
      </w:r>
      <w:r w:rsidRPr="0097755E">
        <w:rPr>
          <w:szCs w:val="24"/>
          <w:lang w:val="en-US"/>
        </w:rPr>
        <w:t xml:space="preserve">payment </w:t>
      </w:r>
      <w:r w:rsidR="0097755E" w:rsidRPr="0097755E">
        <w:rPr>
          <w:szCs w:val="24"/>
          <w:lang w:val="en-US"/>
        </w:rPr>
        <w:t>terms</w:t>
      </w:r>
      <w:r w:rsidRPr="0097755E">
        <w:rPr>
          <w:szCs w:val="24"/>
          <w:lang w:val="en-US"/>
        </w:rPr>
        <w:t xml:space="preserve"> and conditions set forth in the </w:t>
      </w:r>
      <w:r w:rsidR="005679A0" w:rsidRPr="0097755E">
        <w:rPr>
          <w:szCs w:val="24"/>
          <w:lang w:val="en-US"/>
        </w:rPr>
        <w:t>agreement draft</w:t>
      </w:r>
      <w:r w:rsidRPr="0097755E">
        <w:rPr>
          <w:szCs w:val="24"/>
          <w:lang w:val="en-US"/>
        </w:rPr>
        <w:t xml:space="preserve">, and all other requirements </w:t>
      </w:r>
      <w:r w:rsidR="00D8079D" w:rsidRPr="0097755E">
        <w:rPr>
          <w:szCs w:val="24"/>
          <w:lang w:val="en-US"/>
        </w:rPr>
        <w:t>set forth in the public procurement documents.</w:t>
      </w:r>
    </w:p>
    <w:p w14:paraId="5231308A" w14:textId="49851A2A" w:rsidR="00D8079D" w:rsidRPr="0097755E" w:rsidRDefault="00D8079D" w:rsidP="00D8079D">
      <w:pPr>
        <w:widowControl w:val="0"/>
        <w:rPr>
          <w:szCs w:val="24"/>
          <w:lang w:val="en-US"/>
        </w:rPr>
      </w:pPr>
      <w:r w:rsidRPr="0097755E">
        <w:rPr>
          <w:szCs w:val="24"/>
          <w:lang w:val="en-US"/>
        </w:rPr>
        <w:t xml:space="preserve">The total offered price includes all </w:t>
      </w:r>
      <w:r w:rsidR="0097755E" w:rsidRPr="0097755E">
        <w:rPr>
          <w:szCs w:val="24"/>
          <w:lang w:val="en-US"/>
        </w:rPr>
        <w:t>possible</w:t>
      </w:r>
      <w:r w:rsidRPr="0097755E">
        <w:rPr>
          <w:szCs w:val="24"/>
          <w:lang w:val="en-US"/>
        </w:rPr>
        <w:t xml:space="preserve"> </w:t>
      </w:r>
      <w:r w:rsidR="00CA32C6">
        <w:rPr>
          <w:szCs w:val="24"/>
          <w:lang w:val="en-US"/>
        </w:rPr>
        <w:t>provider</w:t>
      </w:r>
      <w:r w:rsidRPr="0097755E">
        <w:rPr>
          <w:szCs w:val="24"/>
          <w:lang w:val="en-US"/>
        </w:rPr>
        <w:t xml:space="preserve">’s expenses, including </w:t>
      </w:r>
      <w:r w:rsidR="00176C6C">
        <w:rPr>
          <w:szCs w:val="24"/>
          <w:lang w:val="en-US"/>
        </w:rPr>
        <w:t>installing System</w:t>
      </w:r>
      <w:r w:rsidRPr="0097755E">
        <w:rPr>
          <w:szCs w:val="24"/>
          <w:lang w:val="en-US"/>
        </w:rPr>
        <w:t xml:space="preserve">, customs duty, insurance E-Invoice System </w:t>
      </w:r>
      <w:r w:rsidR="00176C6C">
        <w:rPr>
          <w:szCs w:val="24"/>
          <w:lang w:val="en-US"/>
        </w:rPr>
        <w:t xml:space="preserve">(SABIS) </w:t>
      </w:r>
      <w:r w:rsidRPr="0097755E">
        <w:rPr>
          <w:szCs w:val="24"/>
          <w:lang w:val="en-US"/>
        </w:rPr>
        <w:t xml:space="preserve">charges for electronic invoicing and any other expenses specified in the agreement, including the risk related to price fluctuations in the market, and all and any other possible expenses related to this </w:t>
      </w:r>
      <w:r w:rsidR="006105CE" w:rsidRPr="0097755E">
        <w:rPr>
          <w:szCs w:val="24"/>
          <w:lang w:val="en-US"/>
        </w:rPr>
        <w:t>p</w:t>
      </w:r>
      <w:r w:rsidRPr="0097755E">
        <w:rPr>
          <w:szCs w:val="24"/>
          <w:lang w:val="en-US"/>
        </w:rPr>
        <w:t xml:space="preserve">ublic </w:t>
      </w:r>
      <w:r w:rsidR="006105CE" w:rsidRPr="0097755E">
        <w:rPr>
          <w:szCs w:val="24"/>
          <w:lang w:val="en-US"/>
        </w:rPr>
        <w:t>p</w:t>
      </w:r>
      <w:r w:rsidRPr="0097755E">
        <w:rPr>
          <w:szCs w:val="24"/>
          <w:lang w:val="en-US"/>
        </w:rPr>
        <w:t xml:space="preserve">rocurement, excluding </w:t>
      </w:r>
      <w:r w:rsidR="006105CE" w:rsidRPr="0097755E">
        <w:rPr>
          <w:szCs w:val="24"/>
          <w:lang w:val="en-US"/>
        </w:rPr>
        <w:t xml:space="preserve">all possible taxes, except for </w:t>
      </w:r>
      <w:r w:rsidRPr="0097755E">
        <w:rPr>
          <w:szCs w:val="24"/>
          <w:lang w:val="en-US"/>
        </w:rPr>
        <w:t>VAT.</w:t>
      </w:r>
    </w:p>
    <w:p w14:paraId="19065592" w14:textId="77777777" w:rsidR="001B6BBB" w:rsidRDefault="001B6BBB" w:rsidP="006105CE">
      <w:pPr>
        <w:widowControl w:val="0"/>
        <w:rPr>
          <w:szCs w:val="24"/>
          <w:lang w:val="en-US"/>
        </w:rPr>
      </w:pPr>
    </w:p>
    <w:p w14:paraId="1ACE6E0F" w14:textId="77777777" w:rsidR="006105CE" w:rsidRPr="0097755E" w:rsidRDefault="006105CE" w:rsidP="006105CE">
      <w:pPr>
        <w:widowControl w:val="0"/>
        <w:rPr>
          <w:szCs w:val="24"/>
          <w:lang w:val="en-US"/>
        </w:rPr>
      </w:pPr>
      <w:r w:rsidRPr="0097755E">
        <w:rPr>
          <w:szCs w:val="24"/>
          <w:lang w:val="en-US"/>
        </w:rPr>
        <w:t xml:space="preserve">We hereby confirm that we agree with all the conditions set forth in the agreement draft enclosed as </w:t>
      </w:r>
      <w:r w:rsidRPr="0097755E">
        <w:rPr>
          <w:szCs w:val="24"/>
          <w:lang w:val="en-US"/>
        </w:rPr>
        <w:lastRenderedPageBreak/>
        <w:t xml:space="preserve">Annex 3 hereto. </w:t>
      </w:r>
    </w:p>
    <w:p w14:paraId="04A95938" w14:textId="0D854A99" w:rsidR="006105CE" w:rsidRPr="0097755E" w:rsidRDefault="00630487" w:rsidP="006105CE">
      <w:pPr>
        <w:widowControl w:val="0"/>
        <w:rPr>
          <w:szCs w:val="24"/>
          <w:lang w:val="en-US"/>
        </w:rPr>
      </w:pPr>
      <w:r w:rsidRPr="0097755E">
        <w:rPr>
          <w:szCs w:val="24"/>
          <w:lang w:val="en-US"/>
        </w:rPr>
        <w:t xml:space="preserve">We hereby confirm that </w:t>
      </w:r>
      <w:r w:rsidR="006105CE" w:rsidRPr="0097755E">
        <w:rPr>
          <w:szCs w:val="24"/>
          <w:lang w:val="en-US"/>
        </w:rPr>
        <w:t xml:space="preserve">the </w:t>
      </w:r>
      <w:r w:rsidR="00176C6C">
        <w:rPr>
          <w:szCs w:val="24"/>
          <w:lang w:val="en-US"/>
        </w:rPr>
        <w:t>Services</w:t>
      </w:r>
      <w:r w:rsidR="006105CE" w:rsidRPr="0097755E">
        <w:rPr>
          <w:szCs w:val="24"/>
          <w:lang w:val="en-US"/>
        </w:rPr>
        <w:t xml:space="preserve"> we are offering fully comply with the requirements</w:t>
      </w:r>
      <w:r w:rsidRPr="0097755E">
        <w:rPr>
          <w:szCs w:val="24"/>
          <w:lang w:val="en-US"/>
        </w:rPr>
        <w:t xml:space="preserve"> set forth in the public procurement documents. </w:t>
      </w:r>
      <w:r w:rsidR="006105CE" w:rsidRPr="0097755E">
        <w:rPr>
          <w:szCs w:val="24"/>
          <w:lang w:val="en-US"/>
        </w:rPr>
        <w:t xml:space="preserve"> </w:t>
      </w:r>
    </w:p>
    <w:p w14:paraId="6D1DF075" w14:textId="77777777" w:rsidR="00630487" w:rsidRPr="0097755E" w:rsidRDefault="00630487" w:rsidP="004A67C2">
      <w:pPr>
        <w:widowControl w:val="0"/>
        <w:ind w:firstLine="567"/>
        <w:rPr>
          <w:color w:val="000000"/>
          <w:szCs w:val="24"/>
          <w:lang w:val="en-US"/>
        </w:rPr>
      </w:pPr>
    </w:p>
    <w:p w14:paraId="303C4571" w14:textId="659D57B6" w:rsidR="00630487" w:rsidRPr="0097755E" w:rsidRDefault="00630487" w:rsidP="00630487">
      <w:pPr>
        <w:widowControl w:val="0"/>
        <w:rPr>
          <w:szCs w:val="24"/>
          <w:lang w:val="en-US"/>
        </w:rPr>
      </w:pPr>
      <w:r w:rsidRPr="0097755E">
        <w:rPr>
          <w:color w:val="000000"/>
          <w:szCs w:val="24"/>
          <w:lang w:val="en-US"/>
        </w:rPr>
        <w:t>We enclose the following documents with our proposal:</w:t>
      </w:r>
    </w:p>
    <w:p w14:paraId="3486DFCE" w14:textId="0A69A06A" w:rsidR="004A67C2" w:rsidRPr="0097755E" w:rsidRDefault="004A67C2" w:rsidP="004A67C2">
      <w:pPr>
        <w:ind w:right="-142"/>
        <w:rPr>
          <w:iCs/>
          <w:color w:val="000000"/>
          <w:sz w:val="22"/>
          <w:szCs w:val="22"/>
          <w:lang w:val="en-US"/>
        </w:rPr>
      </w:pPr>
      <w:r w:rsidRPr="0097755E">
        <w:rPr>
          <w:bCs/>
          <w:color w:val="000000"/>
          <w:sz w:val="22"/>
          <w:szCs w:val="22"/>
          <w:lang w:val="en-US"/>
        </w:rPr>
        <w:t xml:space="preserve">                                                                                                                                                        </w:t>
      </w:r>
      <w:r w:rsidR="00630487" w:rsidRPr="0097755E">
        <w:rPr>
          <w:bCs/>
          <w:iCs/>
          <w:color w:val="000000"/>
          <w:sz w:val="22"/>
          <w:szCs w:val="22"/>
          <w:lang w:val="en-US"/>
        </w:rPr>
        <w:t>Table 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79"/>
        <w:gridCol w:w="2385"/>
      </w:tblGrid>
      <w:tr w:rsidR="004A67C2" w:rsidRPr="0097755E" w14:paraId="15AC9F93" w14:textId="77777777" w:rsidTr="00414E5F">
        <w:trPr>
          <w:trHeight w:val="507"/>
        </w:trPr>
        <w:tc>
          <w:tcPr>
            <w:tcW w:w="1101" w:type="dxa"/>
            <w:tcBorders>
              <w:top w:val="single" w:sz="4" w:space="0" w:color="auto"/>
              <w:left w:val="single" w:sz="4" w:space="0" w:color="auto"/>
              <w:bottom w:val="single" w:sz="4" w:space="0" w:color="auto"/>
              <w:right w:val="single" w:sz="4" w:space="0" w:color="auto"/>
            </w:tcBorders>
          </w:tcPr>
          <w:p w14:paraId="27EC5884" w14:textId="404FBB08" w:rsidR="004A67C2" w:rsidRPr="0097755E" w:rsidRDefault="00630487" w:rsidP="00414E5F">
            <w:pPr>
              <w:ind w:right="-1"/>
              <w:jc w:val="center"/>
              <w:rPr>
                <w:color w:val="000000"/>
                <w:sz w:val="22"/>
                <w:szCs w:val="22"/>
                <w:lang w:val="en-US"/>
              </w:rPr>
            </w:pPr>
            <w:r w:rsidRPr="0097755E">
              <w:rPr>
                <w:color w:val="000000"/>
                <w:sz w:val="22"/>
                <w:szCs w:val="22"/>
                <w:lang w:val="en-US"/>
              </w:rPr>
              <w:t>No.</w:t>
            </w:r>
          </w:p>
        </w:tc>
        <w:tc>
          <w:tcPr>
            <w:tcW w:w="6579" w:type="dxa"/>
            <w:tcBorders>
              <w:top w:val="single" w:sz="4" w:space="0" w:color="auto"/>
              <w:left w:val="single" w:sz="4" w:space="0" w:color="auto"/>
              <w:bottom w:val="single" w:sz="4" w:space="0" w:color="auto"/>
              <w:right w:val="single" w:sz="4" w:space="0" w:color="auto"/>
            </w:tcBorders>
          </w:tcPr>
          <w:p w14:paraId="310C7800" w14:textId="1630B262" w:rsidR="004A67C2" w:rsidRPr="0097755E" w:rsidRDefault="00630487" w:rsidP="00414E5F">
            <w:pPr>
              <w:ind w:right="-1"/>
              <w:jc w:val="center"/>
              <w:rPr>
                <w:color w:val="000000"/>
                <w:sz w:val="22"/>
                <w:szCs w:val="22"/>
                <w:lang w:val="en-US"/>
              </w:rPr>
            </w:pPr>
            <w:r w:rsidRPr="0097755E">
              <w:rPr>
                <w:color w:val="000000"/>
                <w:sz w:val="22"/>
                <w:szCs w:val="22"/>
                <w:lang w:val="en-US"/>
              </w:rPr>
              <w:t xml:space="preserve">Name of the document </w:t>
            </w:r>
          </w:p>
        </w:tc>
        <w:tc>
          <w:tcPr>
            <w:tcW w:w="2385" w:type="dxa"/>
            <w:tcBorders>
              <w:top w:val="single" w:sz="4" w:space="0" w:color="auto"/>
              <w:left w:val="single" w:sz="4" w:space="0" w:color="auto"/>
              <w:bottom w:val="single" w:sz="4" w:space="0" w:color="auto"/>
              <w:right w:val="single" w:sz="4" w:space="0" w:color="auto"/>
            </w:tcBorders>
          </w:tcPr>
          <w:p w14:paraId="46646CBE" w14:textId="2FF18CDA" w:rsidR="004A67C2" w:rsidRPr="0097755E" w:rsidRDefault="00630487" w:rsidP="00414E5F">
            <w:pPr>
              <w:ind w:right="-1"/>
              <w:jc w:val="center"/>
              <w:rPr>
                <w:color w:val="000000"/>
                <w:sz w:val="22"/>
                <w:szCs w:val="22"/>
                <w:lang w:val="en-US"/>
              </w:rPr>
            </w:pPr>
            <w:r w:rsidRPr="0097755E">
              <w:rPr>
                <w:color w:val="000000"/>
                <w:sz w:val="22"/>
                <w:szCs w:val="22"/>
                <w:lang w:val="en-US"/>
              </w:rPr>
              <w:t>Total pages in the document</w:t>
            </w:r>
          </w:p>
        </w:tc>
      </w:tr>
      <w:tr w:rsidR="004A67C2" w:rsidRPr="0097755E" w14:paraId="07EB776A" w14:textId="77777777" w:rsidTr="00414E5F">
        <w:trPr>
          <w:trHeight w:val="276"/>
        </w:trPr>
        <w:tc>
          <w:tcPr>
            <w:tcW w:w="1101" w:type="dxa"/>
            <w:tcBorders>
              <w:top w:val="single" w:sz="4" w:space="0" w:color="auto"/>
              <w:left w:val="single" w:sz="4" w:space="0" w:color="auto"/>
              <w:bottom w:val="single" w:sz="4" w:space="0" w:color="auto"/>
              <w:right w:val="single" w:sz="4" w:space="0" w:color="auto"/>
            </w:tcBorders>
          </w:tcPr>
          <w:p w14:paraId="1A72891F" w14:textId="77777777" w:rsidR="004A67C2" w:rsidRPr="0097755E" w:rsidRDefault="004A67C2" w:rsidP="00414E5F">
            <w:pPr>
              <w:ind w:right="-1"/>
              <w:rPr>
                <w:color w:val="000000"/>
                <w:sz w:val="22"/>
                <w:szCs w:val="22"/>
                <w:lang w:val="en-US"/>
              </w:rPr>
            </w:pPr>
          </w:p>
        </w:tc>
        <w:tc>
          <w:tcPr>
            <w:tcW w:w="6579" w:type="dxa"/>
            <w:tcBorders>
              <w:top w:val="single" w:sz="4" w:space="0" w:color="auto"/>
              <w:left w:val="single" w:sz="4" w:space="0" w:color="auto"/>
              <w:bottom w:val="single" w:sz="4" w:space="0" w:color="auto"/>
              <w:right w:val="single" w:sz="4" w:space="0" w:color="auto"/>
            </w:tcBorders>
          </w:tcPr>
          <w:p w14:paraId="37031F03" w14:textId="77777777" w:rsidR="004A67C2" w:rsidRPr="0097755E" w:rsidRDefault="004A67C2" w:rsidP="00414E5F">
            <w:pPr>
              <w:ind w:right="-1"/>
              <w:rPr>
                <w:color w:val="000000"/>
                <w:sz w:val="22"/>
                <w:szCs w:val="22"/>
                <w:lang w:val="en-US"/>
              </w:rPr>
            </w:pPr>
          </w:p>
        </w:tc>
        <w:tc>
          <w:tcPr>
            <w:tcW w:w="2385" w:type="dxa"/>
            <w:tcBorders>
              <w:top w:val="single" w:sz="4" w:space="0" w:color="auto"/>
              <w:left w:val="single" w:sz="4" w:space="0" w:color="auto"/>
              <w:bottom w:val="single" w:sz="4" w:space="0" w:color="auto"/>
              <w:right w:val="single" w:sz="4" w:space="0" w:color="auto"/>
            </w:tcBorders>
          </w:tcPr>
          <w:p w14:paraId="0DC98B23" w14:textId="77777777" w:rsidR="004A67C2" w:rsidRPr="0097755E" w:rsidRDefault="004A67C2" w:rsidP="00414E5F">
            <w:pPr>
              <w:ind w:right="-1"/>
              <w:rPr>
                <w:color w:val="000000"/>
                <w:sz w:val="22"/>
                <w:szCs w:val="22"/>
                <w:lang w:val="en-US"/>
              </w:rPr>
            </w:pPr>
          </w:p>
        </w:tc>
      </w:tr>
      <w:tr w:rsidR="004A67C2" w:rsidRPr="0097755E" w14:paraId="4EDC4254" w14:textId="77777777" w:rsidTr="00414E5F">
        <w:trPr>
          <w:trHeight w:val="265"/>
        </w:trPr>
        <w:tc>
          <w:tcPr>
            <w:tcW w:w="1101" w:type="dxa"/>
            <w:tcBorders>
              <w:top w:val="single" w:sz="4" w:space="0" w:color="auto"/>
              <w:left w:val="single" w:sz="4" w:space="0" w:color="auto"/>
              <w:bottom w:val="single" w:sz="4" w:space="0" w:color="auto"/>
              <w:right w:val="single" w:sz="4" w:space="0" w:color="auto"/>
            </w:tcBorders>
          </w:tcPr>
          <w:p w14:paraId="6F50CBBC" w14:textId="77777777" w:rsidR="004A67C2" w:rsidRPr="0097755E" w:rsidRDefault="004A67C2" w:rsidP="00414E5F">
            <w:pPr>
              <w:ind w:right="-1"/>
              <w:rPr>
                <w:color w:val="000000"/>
                <w:sz w:val="22"/>
                <w:szCs w:val="22"/>
                <w:lang w:val="en-US"/>
              </w:rPr>
            </w:pPr>
          </w:p>
        </w:tc>
        <w:tc>
          <w:tcPr>
            <w:tcW w:w="6579" w:type="dxa"/>
            <w:tcBorders>
              <w:top w:val="single" w:sz="4" w:space="0" w:color="auto"/>
              <w:left w:val="single" w:sz="4" w:space="0" w:color="auto"/>
              <w:bottom w:val="single" w:sz="4" w:space="0" w:color="auto"/>
              <w:right w:val="single" w:sz="4" w:space="0" w:color="auto"/>
            </w:tcBorders>
          </w:tcPr>
          <w:p w14:paraId="09A4EE46" w14:textId="77777777" w:rsidR="004A67C2" w:rsidRPr="0097755E" w:rsidRDefault="004A67C2" w:rsidP="00414E5F">
            <w:pPr>
              <w:tabs>
                <w:tab w:val="left" w:pos="1296"/>
                <w:tab w:val="center" w:pos="4153"/>
                <w:tab w:val="right" w:pos="8306"/>
              </w:tabs>
              <w:ind w:right="-1"/>
              <w:rPr>
                <w:color w:val="000000"/>
                <w:sz w:val="22"/>
                <w:szCs w:val="22"/>
                <w:lang w:val="en-US"/>
              </w:rPr>
            </w:pPr>
          </w:p>
        </w:tc>
        <w:tc>
          <w:tcPr>
            <w:tcW w:w="2385" w:type="dxa"/>
            <w:tcBorders>
              <w:top w:val="single" w:sz="4" w:space="0" w:color="auto"/>
              <w:left w:val="single" w:sz="4" w:space="0" w:color="auto"/>
              <w:bottom w:val="single" w:sz="4" w:space="0" w:color="auto"/>
              <w:right w:val="single" w:sz="4" w:space="0" w:color="auto"/>
            </w:tcBorders>
          </w:tcPr>
          <w:p w14:paraId="1755BA64" w14:textId="77777777" w:rsidR="004A67C2" w:rsidRPr="0097755E" w:rsidRDefault="004A67C2" w:rsidP="00414E5F">
            <w:pPr>
              <w:ind w:right="-1"/>
              <w:rPr>
                <w:color w:val="000000"/>
                <w:sz w:val="22"/>
                <w:szCs w:val="22"/>
                <w:lang w:val="en-US"/>
              </w:rPr>
            </w:pPr>
          </w:p>
        </w:tc>
      </w:tr>
      <w:tr w:rsidR="004A67C2" w:rsidRPr="0097755E" w14:paraId="538A59F2" w14:textId="77777777" w:rsidTr="00414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65" w:type="dxa"/>
            <w:gridSpan w:val="3"/>
          </w:tcPr>
          <w:p w14:paraId="72E96C9A" w14:textId="47249221" w:rsidR="004A67C2" w:rsidRPr="0097755E" w:rsidRDefault="001B6BBB" w:rsidP="00414E5F">
            <w:pPr>
              <w:ind w:right="-1"/>
              <w:rPr>
                <w:color w:val="000000"/>
                <w:sz w:val="22"/>
                <w:szCs w:val="22"/>
                <w:lang w:val="en-US"/>
              </w:rPr>
            </w:pPr>
            <w:r>
              <w:rPr>
                <w:color w:val="000000"/>
                <w:sz w:val="22"/>
                <w:szCs w:val="22"/>
                <w:lang w:val="en-US"/>
              </w:rPr>
              <w:t xml:space="preserve"> </w:t>
            </w:r>
          </w:p>
          <w:p w14:paraId="6FC3A60A" w14:textId="18D5A792" w:rsidR="004A67C2" w:rsidRPr="0097755E" w:rsidRDefault="00F27A6D" w:rsidP="00F27A6D">
            <w:pPr>
              <w:tabs>
                <w:tab w:val="left" w:pos="8259"/>
              </w:tabs>
              <w:jc w:val="left"/>
              <w:rPr>
                <w:i/>
                <w:color w:val="000000"/>
                <w:sz w:val="22"/>
                <w:szCs w:val="22"/>
                <w:lang w:val="en-US"/>
              </w:rPr>
            </w:pPr>
            <w:r w:rsidRPr="0097755E">
              <w:rPr>
                <w:szCs w:val="24"/>
                <w:lang w:val="en-US"/>
              </w:rPr>
              <w:t xml:space="preserve">The following information contained in our proposal is confidential </w:t>
            </w:r>
            <w:r w:rsidRPr="0097755E">
              <w:rPr>
                <w:i/>
                <w:iCs/>
                <w:szCs w:val="24"/>
                <w:lang w:val="en-US"/>
              </w:rPr>
              <w:t>/the Contracting Entity shall not disclose this information to any third parties/:</w:t>
            </w:r>
            <w:r w:rsidRPr="0097755E">
              <w:rPr>
                <w:szCs w:val="24"/>
                <w:lang w:val="en-US"/>
              </w:rPr>
              <w:t xml:space="preserve">  </w:t>
            </w:r>
            <w:r w:rsidR="004A67C2" w:rsidRPr="0097755E">
              <w:rPr>
                <w:bCs/>
                <w:color w:val="000000"/>
                <w:sz w:val="22"/>
                <w:szCs w:val="22"/>
                <w:lang w:val="en-US"/>
              </w:rPr>
              <w:t xml:space="preserve">                                                                                                                      </w:t>
            </w:r>
            <w:r w:rsidRPr="0097755E">
              <w:rPr>
                <w:bCs/>
                <w:color w:val="000000"/>
                <w:sz w:val="22"/>
                <w:szCs w:val="22"/>
                <w:lang w:val="en-US"/>
              </w:rPr>
              <w:tab/>
            </w:r>
            <w:r w:rsidRPr="0097755E">
              <w:rPr>
                <w:bCs/>
                <w:iCs/>
                <w:color w:val="000000"/>
                <w:sz w:val="22"/>
                <w:szCs w:val="22"/>
                <w:lang w:val="en-US"/>
              </w:rPr>
              <w:t>Table 5</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5503"/>
              <w:gridCol w:w="3428"/>
            </w:tblGrid>
            <w:tr w:rsidR="004A67C2" w:rsidRPr="0097755E" w14:paraId="652B6735" w14:textId="77777777" w:rsidTr="00414E5F">
              <w:trPr>
                <w:trHeight w:val="690"/>
              </w:trPr>
              <w:tc>
                <w:tcPr>
                  <w:tcW w:w="1016" w:type="dxa"/>
                </w:tcPr>
                <w:p w14:paraId="226ADD02" w14:textId="2A2904E7" w:rsidR="004A67C2" w:rsidRPr="0097755E" w:rsidRDefault="00F27A6D" w:rsidP="00414E5F">
                  <w:pPr>
                    <w:ind w:right="-1"/>
                    <w:jc w:val="center"/>
                    <w:rPr>
                      <w:color w:val="000000"/>
                      <w:sz w:val="22"/>
                      <w:szCs w:val="22"/>
                      <w:lang w:val="en-US"/>
                    </w:rPr>
                  </w:pPr>
                  <w:r w:rsidRPr="0097755E">
                    <w:rPr>
                      <w:color w:val="000000"/>
                      <w:sz w:val="22"/>
                      <w:szCs w:val="22"/>
                      <w:lang w:val="en-US"/>
                    </w:rPr>
                    <w:t>No.</w:t>
                  </w:r>
                </w:p>
              </w:tc>
              <w:tc>
                <w:tcPr>
                  <w:tcW w:w="5503" w:type="dxa"/>
                </w:tcPr>
                <w:p w14:paraId="78AD6034" w14:textId="3F996998" w:rsidR="004A67C2" w:rsidRPr="0097755E" w:rsidRDefault="00F27A6D" w:rsidP="00414E5F">
                  <w:pPr>
                    <w:jc w:val="center"/>
                    <w:rPr>
                      <w:sz w:val="22"/>
                      <w:szCs w:val="22"/>
                      <w:lang w:val="en-US"/>
                    </w:rPr>
                  </w:pPr>
                  <w:r w:rsidRPr="0097755E">
                    <w:rPr>
                      <w:sz w:val="22"/>
                      <w:szCs w:val="22"/>
                      <w:lang w:val="en-US"/>
                    </w:rPr>
                    <w:t xml:space="preserve">Name of the submitted document (we recommend that the document name contains the word “Confidential”) or the part of the proposal that is confidential  </w:t>
                  </w:r>
                </w:p>
              </w:tc>
              <w:tc>
                <w:tcPr>
                  <w:tcW w:w="3428" w:type="dxa"/>
                </w:tcPr>
                <w:p w14:paraId="2E5099DC" w14:textId="236CC1C5" w:rsidR="004A67C2" w:rsidRPr="0097755E" w:rsidRDefault="00F27A6D" w:rsidP="00414E5F">
                  <w:pPr>
                    <w:jc w:val="center"/>
                    <w:rPr>
                      <w:sz w:val="22"/>
                      <w:szCs w:val="22"/>
                      <w:lang w:val="en-US"/>
                    </w:rPr>
                  </w:pPr>
                  <w:r w:rsidRPr="0097755E">
                    <w:rPr>
                      <w:sz w:val="22"/>
                      <w:szCs w:val="22"/>
                      <w:lang w:val="en-US"/>
                    </w:rPr>
                    <w:t>The line of the CPP IS window via which the document is uploaded (“Attached documents”)</w:t>
                  </w:r>
                </w:p>
              </w:tc>
            </w:tr>
            <w:tr w:rsidR="004A67C2" w:rsidRPr="0097755E" w14:paraId="58C0B51C" w14:textId="77777777" w:rsidTr="00414E5F">
              <w:trPr>
                <w:trHeight w:val="302"/>
              </w:trPr>
              <w:tc>
                <w:tcPr>
                  <w:tcW w:w="1016" w:type="dxa"/>
                </w:tcPr>
                <w:p w14:paraId="4D2357BC" w14:textId="77777777" w:rsidR="004A67C2" w:rsidRPr="0097755E" w:rsidRDefault="004A67C2" w:rsidP="00414E5F">
                  <w:pPr>
                    <w:ind w:right="141"/>
                    <w:jc w:val="center"/>
                    <w:rPr>
                      <w:sz w:val="22"/>
                      <w:szCs w:val="22"/>
                      <w:lang w:val="en-US"/>
                    </w:rPr>
                  </w:pPr>
                  <w:r w:rsidRPr="0097755E">
                    <w:rPr>
                      <w:sz w:val="22"/>
                      <w:szCs w:val="22"/>
                      <w:lang w:val="en-US"/>
                    </w:rPr>
                    <w:t>1</w:t>
                  </w:r>
                </w:p>
              </w:tc>
              <w:tc>
                <w:tcPr>
                  <w:tcW w:w="5503" w:type="dxa"/>
                </w:tcPr>
                <w:p w14:paraId="5FE9AE52" w14:textId="77777777" w:rsidR="004A67C2" w:rsidRPr="0097755E" w:rsidRDefault="004A67C2" w:rsidP="00414E5F">
                  <w:pPr>
                    <w:ind w:right="-1"/>
                    <w:rPr>
                      <w:color w:val="000000"/>
                      <w:sz w:val="22"/>
                      <w:szCs w:val="22"/>
                      <w:lang w:val="en-US"/>
                    </w:rPr>
                  </w:pPr>
                </w:p>
              </w:tc>
              <w:tc>
                <w:tcPr>
                  <w:tcW w:w="3428" w:type="dxa"/>
                </w:tcPr>
                <w:p w14:paraId="22D176A1" w14:textId="77777777" w:rsidR="004A67C2" w:rsidRPr="0097755E" w:rsidRDefault="004A67C2" w:rsidP="00414E5F">
                  <w:pPr>
                    <w:ind w:right="-1"/>
                    <w:rPr>
                      <w:color w:val="000000"/>
                      <w:sz w:val="22"/>
                      <w:szCs w:val="22"/>
                      <w:lang w:val="en-US"/>
                    </w:rPr>
                  </w:pPr>
                </w:p>
              </w:tc>
            </w:tr>
            <w:tr w:rsidR="004A67C2" w:rsidRPr="0097755E" w14:paraId="16062FCC" w14:textId="77777777" w:rsidTr="00414E5F">
              <w:trPr>
                <w:trHeight w:val="302"/>
              </w:trPr>
              <w:tc>
                <w:tcPr>
                  <w:tcW w:w="1016" w:type="dxa"/>
                </w:tcPr>
                <w:p w14:paraId="73F0DCF8" w14:textId="77777777" w:rsidR="004A67C2" w:rsidRPr="0097755E" w:rsidRDefault="004A67C2" w:rsidP="00414E5F">
                  <w:pPr>
                    <w:ind w:right="141"/>
                    <w:jc w:val="center"/>
                    <w:rPr>
                      <w:sz w:val="22"/>
                      <w:szCs w:val="22"/>
                      <w:lang w:val="en-US"/>
                    </w:rPr>
                  </w:pPr>
                  <w:r w:rsidRPr="0097755E">
                    <w:rPr>
                      <w:sz w:val="22"/>
                      <w:szCs w:val="22"/>
                      <w:lang w:val="en-US"/>
                    </w:rPr>
                    <w:t>(...)</w:t>
                  </w:r>
                </w:p>
              </w:tc>
              <w:tc>
                <w:tcPr>
                  <w:tcW w:w="5503" w:type="dxa"/>
                </w:tcPr>
                <w:p w14:paraId="7A5A0236" w14:textId="77777777" w:rsidR="004A67C2" w:rsidRPr="0097755E" w:rsidRDefault="004A67C2" w:rsidP="00414E5F">
                  <w:pPr>
                    <w:ind w:right="-1"/>
                    <w:rPr>
                      <w:color w:val="000000"/>
                      <w:sz w:val="22"/>
                      <w:szCs w:val="22"/>
                      <w:lang w:val="en-US"/>
                    </w:rPr>
                  </w:pPr>
                </w:p>
              </w:tc>
              <w:tc>
                <w:tcPr>
                  <w:tcW w:w="3428" w:type="dxa"/>
                </w:tcPr>
                <w:p w14:paraId="6A13D603" w14:textId="77777777" w:rsidR="004A67C2" w:rsidRPr="0097755E" w:rsidRDefault="004A67C2" w:rsidP="00414E5F">
                  <w:pPr>
                    <w:ind w:right="-1"/>
                    <w:rPr>
                      <w:color w:val="000000"/>
                      <w:sz w:val="22"/>
                      <w:szCs w:val="22"/>
                      <w:lang w:val="en-US"/>
                    </w:rPr>
                  </w:pPr>
                </w:p>
              </w:tc>
            </w:tr>
          </w:tbl>
          <w:p w14:paraId="06645E82" w14:textId="77777777" w:rsidR="004A67C2" w:rsidRPr="0097755E" w:rsidRDefault="004A67C2" w:rsidP="00414E5F">
            <w:pPr>
              <w:ind w:right="-1"/>
              <w:rPr>
                <w:color w:val="000000"/>
                <w:sz w:val="22"/>
                <w:szCs w:val="22"/>
                <w:lang w:val="en-US"/>
              </w:rPr>
            </w:pPr>
          </w:p>
        </w:tc>
      </w:tr>
      <w:tr w:rsidR="004A67C2" w:rsidRPr="0097755E" w14:paraId="6B86E68C" w14:textId="77777777" w:rsidTr="00414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65" w:type="dxa"/>
            <w:gridSpan w:val="3"/>
          </w:tcPr>
          <w:p w14:paraId="7DA98602" w14:textId="77777777" w:rsidR="004A67C2" w:rsidRPr="0097755E" w:rsidRDefault="004A67C2" w:rsidP="00414E5F">
            <w:pPr>
              <w:ind w:right="-1"/>
              <w:rPr>
                <w:color w:val="000000"/>
                <w:sz w:val="22"/>
                <w:szCs w:val="22"/>
                <w:lang w:val="en-US"/>
              </w:rPr>
            </w:pPr>
          </w:p>
        </w:tc>
      </w:tr>
    </w:tbl>
    <w:p w14:paraId="7EBADB5A" w14:textId="3A478F9E" w:rsidR="00121C9D" w:rsidRPr="0097755E" w:rsidRDefault="00121C9D" w:rsidP="00121C9D">
      <w:pPr>
        <w:rPr>
          <w:i/>
          <w:szCs w:val="24"/>
          <w:lang w:val="en-US"/>
        </w:rPr>
      </w:pPr>
      <w:r w:rsidRPr="0097755E">
        <w:rPr>
          <w:i/>
          <w:szCs w:val="24"/>
          <w:lang w:val="en-US"/>
        </w:rPr>
        <w:t xml:space="preserve">*Note. If no information is indicated as confidential by the </w:t>
      </w:r>
      <w:r w:rsidR="00CA32C6">
        <w:rPr>
          <w:i/>
          <w:szCs w:val="24"/>
          <w:lang w:val="en-US"/>
        </w:rPr>
        <w:t>Provider</w:t>
      </w:r>
      <w:r w:rsidRPr="0097755E">
        <w:rPr>
          <w:i/>
          <w:szCs w:val="24"/>
          <w:lang w:val="en-US"/>
        </w:rPr>
        <w:t xml:space="preserve">, it shall be deemed that the proposal contains no confidential information. The </w:t>
      </w:r>
      <w:r w:rsidR="00CA32C6">
        <w:rPr>
          <w:i/>
          <w:szCs w:val="24"/>
          <w:lang w:val="en-US"/>
        </w:rPr>
        <w:t>Provider</w:t>
      </w:r>
      <w:r w:rsidRPr="0097755E">
        <w:rPr>
          <w:i/>
          <w:szCs w:val="24"/>
          <w:lang w:val="en-US"/>
        </w:rPr>
        <w:t xml:space="preserve"> may not require to consider the price of the proposal or the entire proposal as such to be confidential information. </w:t>
      </w:r>
    </w:p>
    <w:p w14:paraId="19D6FE21" w14:textId="229B790B" w:rsidR="00121C9D" w:rsidRPr="0097755E" w:rsidRDefault="00121C9D" w:rsidP="00121C9D">
      <w:pPr>
        <w:rPr>
          <w:b/>
          <w:bCs/>
          <w:i/>
          <w:iCs/>
          <w:lang w:val="en-US"/>
        </w:rPr>
      </w:pPr>
      <w:r w:rsidRPr="0097755E">
        <w:rPr>
          <w:b/>
          <w:bCs/>
          <w:i/>
          <w:iCs/>
          <w:lang w:val="en-US"/>
        </w:rPr>
        <w:t xml:space="preserve">Please note that pursuant to Article 94(9) of the Procurement Law, the Contracting Entity shall announce the information about the Winning Bidder’s offer and the signed Sale and Purchase Agreement as well as any changes made to its provisions, via the CPP IS system within 15 days from signing of the Agreement or making any changes to its provisions. This does not apply to the information the disclosure of which would breach the law or the </w:t>
      </w:r>
      <w:r w:rsidR="00CA32C6">
        <w:rPr>
          <w:b/>
          <w:bCs/>
          <w:i/>
          <w:iCs/>
          <w:lang w:val="en-US"/>
        </w:rPr>
        <w:t>Provider</w:t>
      </w:r>
      <w:r w:rsidRPr="0097755E">
        <w:rPr>
          <w:b/>
          <w:bCs/>
          <w:i/>
          <w:iCs/>
          <w:lang w:val="en-US"/>
        </w:rPr>
        <w:t xml:space="preserve">’s commercial interests, or the </w:t>
      </w:r>
      <w:r w:rsidR="00CA32C6">
        <w:rPr>
          <w:b/>
          <w:bCs/>
          <w:i/>
          <w:iCs/>
          <w:lang w:val="en-US"/>
        </w:rPr>
        <w:t>Provider</w:t>
      </w:r>
      <w:r w:rsidRPr="0097755E">
        <w:rPr>
          <w:b/>
          <w:bCs/>
          <w:i/>
          <w:iCs/>
          <w:lang w:val="en-US"/>
        </w:rPr>
        <w:t xml:space="preserve">’s ability to compete in the market. </w:t>
      </w:r>
    </w:p>
    <w:p w14:paraId="1DF4D0C8" w14:textId="77777777" w:rsidR="00121C9D" w:rsidRPr="0097755E" w:rsidRDefault="00121C9D" w:rsidP="00121C9D">
      <w:pPr>
        <w:rPr>
          <w:b/>
          <w:bCs/>
          <w:i/>
          <w:iCs/>
          <w:lang w:val="en-US"/>
        </w:rPr>
      </w:pPr>
    </w:p>
    <w:p w14:paraId="420566DB" w14:textId="77777777" w:rsidR="00121C9D" w:rsidRPr="0097755E" w:rsidRDefault="00121C9D" w:rsidP="00121C9D">
      <w:pPr>
        <w:rPr>
          <w:b/>
          <w:bCs/>
          <w:i/>
          <w:iCs/>
          <w:lang w:val="en-US"/>
        </w:rPr>
      </w:pPr>
      <w:r w:rsidRPr="0097755E">
        <w:rPr>
          <w:b/>
          <w:bCs/>
          <w:i/>
          <w:iCs/>
          <w:lang w:val="en-US" w:eastAsia="lt-LT"/>
        </w:rPr>
        <w:t xml:space="preserve">Please make sure that any confidential information in your proposal is clearly indicated and preferably submitted as separate respectively named document (s). </w:t>
      </w:r>
    </w:p>
    <w:p w14:paraId="42FB695A" w14:textId="77777777" w:rsidR="00121C9D" w:rsidRPr="0097755E" w:rsidRDefault="00121C9D" w:rsidP="00121C9D">
      <w:pPr>
        <w:rPr>
          <w:b/>
          <w:bCs/>
          <w:i/>
          <w:iCs/>
          <w:lang w:val="en-US"/>
        </w:rPr>
      </w:pPr>
    </w:p>
    <w:p w14:paraId="380CDFF6" w14:textId="68A9ABFF" w:rsidR="00F37419" w:rsidRPr="0097755E" w:rsidRDefault="00F37419" w:rsidP="00F37419">
      <w:pPr>
        <w:rPr>
          <w:szCs w:val="24"/>
          <w:u w:val="single"/>
          <w:lang w:val="en-US"/>
        </w:rPr>
      </w:pPr>
      <w:r w:rsidRPr="0097755E">
        <w:rPr>
          <w:szCs w:val="24"/>
          <w:u w:val="single"/>
          <w:lang w:val="en-US"/>
        </w:rPr>
        <w:t xml:space="preserve">The proposal is valid till the date indicated in the public procurement documents.  </w:t>
      </w:r>
    </w:p>
    <w:p w14:paraId="3D01837C" w14:textId="1D5202A4" w:rsidR="00F37419" w:rsidRDefault="00F37419" w:rsidP="001B6BBB">
      <w:pPr>
        <w:ind w:right="-1"/>
        <w:rPr>
          <w:lang w:val="en-US"/>
        </w:rPr>
      </w:pPr>
      <w:r w:rsidRPr="0097755E">
        <w:rPr>
          <w:i/>
          <w:color w:val="000000"/>
          <w:szCs w:val="24"/>
          <w:lang w:val="en-US"/>
        </w:rPr>
        <w:t xml:space="preserve"> </w:t>
      </w:r>
      <w:r w:rsidRPr="0097755E">
        <w:rPr>
          <w:lang w:val="en-US"/>
        </w:rPr>
        <w:t xml:space="preserve">In case our qualification to engage in any particular activities related to this tender was not varied or was verified only partially, we hereby confirm that the obligations under the sale and purchase agreement will be performed only by the entities that are duly qualified to engage in the respective activities. </w:t>
      </w:r>
    </w:p>
    <w:p w14:paraId="1772C189" w14:textId="77777777" w:rsidR="00A24967" w:rsidRDefault="00A24967" w:rsidP="001B6BBB">
      <w:pPr>
        <w:ind w:right="-1"/>
        <w:rPr>
          <w:lang w:val="en-US"/>
        </w:rPr>
      </w:pPr>
    </w:p>
    <w:p w14:paraId="28775301" w14:textId="77777777" w:rsidR="00A24967" w:rsidRPr="0097755E" w:rsidRDefault="00A24967" w:rsidP="001B6BBB">
      <w:pPr>
        <w:ind w:right="-1"/>
        <w:rPr>
          <w:lang w:val="en-US"/>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4A67C2" w:rsidRPr="0097755E" w14:paraId="3880B6E2" w14:textId="77777777" w:rsidTr="00414E5F">
        <w:trPr>
          <w:trHeight w:val="300"/>
        </w:trPr>
        <w:tc>
          <w:tcPr>
            <w:tcW w:w="3828" w:type="dxa"/>
            <w:tcBorders>
              <w:top w:val="nil"/>
              <w:left w:val="nil"/>
              <w:bottom w:val="single" w:sz="4" w:space="0" w:color="auto"/>
              <w:right w:val="nil"/>
            </w:tcBorders>
          </w:tcPr>
          <w:p w14:paraId="4C2D20ED" w14:textId="77777777" w:rsidR="004A67C2" w:rsidRPr="0097755E" w:rsidRDefault="004A67C2" w:rsidP="00414E5F">
            <w:pPr>
              <w:rPr>
                <w:sz w:val="22"/>
                <w:szCs w:val="22"/>
                <w:lang w:val="en-US"/>
              </w:rPr>
            </w:pPr>
          </w:p>
        </w:tc>
        <w:tc>
          <w:tcPr>
            <w:tcW w:w="567" w:type="dxa"/>
          </w:tcPr>
          <w:p w14:paraId="7A550AD2" w14:textId="77777777" w:rsidR="004A67C2" w:rsidRPr="0097755E" w:rsidRDefault="004A67C2" w:rsidP="00414E5F">
            <w:pPr>
              <w:jc w:val="center"/>
              <w:rPr>
                <w:sz w:val="22"/>
                <w:szCs w:val="22"/>
                <w:lang w:val="en-US"/>
              </w:rPr>
            </w:pPr>
          </w:p>
        </w:tc>
        <w:tc>
          <w:tcPr>
            <w:tcW w:w="1947" w:type="dxa"/>
            <w:tcBorders>
              <w:top w:val="nil"/>
              <w:left w:val="nil"/>
              <w:bottom w:val="single" w:sz="4" w:space="0" w:color="auto"/>
              <w:right w:val="nil"/>
            </w:tcBorders>
          </w:tcPr>
          <w:p w14:paraId="2B8D1B9E" w14:textId="77777777" w:rsidR="004A67C2" w:rsidRPr="0097755E" w:rsidRDefault="004A67C2" w:rsidP="00414E5F">
            <w:pPr>
              <w:jc w:val="center"/>
              <w:rPr>
                <w:sz w:val="22"/>
                <w:szCs w:val="22"/>
                <w:lang w:val="en-US"/>
              </w:rPr>
            </w:pPr>
          </w:p>
        </w:tc>
        <w:tc>
          <w:tcPr>
            <w:tcW w:w="463" w:type="dxa"/>
          </w:tcPr>
          <w:p w14:paraId="5F6943A7" w14:textId="77777777" w:rsidR="004A67C2" w:rsidRPr="0097755E" w:rsidRDefault="004A67C2" w:rsidP="00414E5F">
            <w:pPr>
              <w:jc w:val="center"/>
              <w:rPr>
                <w:sz w:val="22"/>
                <w:szCs w:val="22"/>
                <w:lang w:val="en-US"/>
              </w:rPr>
            </w:pPr>
          </w:p>
        </w:tc>
        <w:tc>
          <w:tcPr>
            <w:tcW w:w="2735" w:type="dxa"/>
            <w:tcBorders>
              <w:top w:val="nil"/>
              <w:left w:val="nil"/>
              <w:bottom w:val="single" w:sz="4" w:space="0" w:color="auto"/>
              <w:right w:val="nil"/>
            </w:tcBorders>
          </w:tcPr>
          <w:p w14:paraId="645553E7" w14:textId="77777777" w:rsidR="004A67C2" w:rsidRPr="0097755E" w:rsidRDefault="004A67C2" w:rsidP="00414E5F">
            <w:pPr>
              <w:rPr>
                <w:sz w:val="22"/>
                <w:szCs w:val="22"/>
                <w:lang w:val="en-US"/>
              </w:rPr>
            </w:pPr>
          </w:p>
        </w:tc>
      </w:tr>
      <w:tr w:rsidR="00F37419" w:rsidRPr="0097755E" w14:paraId="1443DAEE" w14:textId="77777777" w:rsidTr="00414E5F">
        <w:trPr>
          <w:trHeight w:val="196"/>
        </w:trPr>
        <w:tc>
          <w:tcPr>
            <w:tcW w:w="3828" w:type="dxa"/>
            <w:tcBorders>
              <w:top w:val="single" w:sz="4" w:space="0" w:color="auto"/>
              <w:left w:val="nil"/>
              <w:bottom w:val="nil"/>
              <w:right w:val="nil"/>
            </w:tcBorders>
          </w:tcPr>
          <w:p w14:paraId="3CF4E082" w14:textId="4E14710E" w:rsidR="00F37419" w:rsidRPr="0097755E" w:rsidRDefault="00F37419" w:rsidP="00F37419">
            <w:pPr>
              <w:snapToGrid w:val="0"/>
              <w:jc w:val="center"/>
              <w:rPr>
                <w:i/>
                <w:position w:val="6"/>
                <w:sz w:val="20"/>
                <w:lang w:val="en-US"/>
              </w:rPr>
            </w:pPr>
            <w:r w:rsidRPr="0097755E">
              <w:rPr>
                <w:i/>
                <w:position w:val="6"/>
                <w:sz w:val="20"/>
                <w:lang w:val="en-US"/>
              </w:rPr>
              <w:t xml:space="preserve">(title/ position of the </w:t>
            </w:r>
            <w:r w:rsidR="00CA32C6">
              <w:rPr>
                <w:i/>
                <w:position w:val="6"/>
                <w:sz w:val="20"/>
                <w:lang w:val="en-US"/>
              </w:rPr>
              <w:t>Provider</w:t>
            </w:r>
            <w:r w:rsidRPr="0097755E">
              <w:rPr>
                <w:i/>
                <w:position w:val="6"/>
                <w:sz w:val="20"/>
                <w:lang w:val="en-US"/>
              </w:rPr>
              <w:t xml:space="preserve"> or authorized representative)</w:t>
            </w:r>
          </w:p>
        </w:tc>
        <w:tc>
          <w:tcPr>
            <w:tcW w:w="567" w:type="dxa"/>
          </w:tcPr>
          <w:p w14:paraId="19559DFE" w14:textId="77777777" w:rsidR="00F37419" w:rsidRPr="0097755E" w:rsidRDefault="00F37419" w:rsidP="00F37419">
            <w:pPr>
              <w:jc w:val="center"/>
              <w:rPr>
                <w:i/>
                <w:sz w:val="20"/>
                <w:lang w:val="en-US"/>
              </w:rPr>
            </w:pPr>
          </w:p>
        </w:tc>
        <w:tc>
          <w:tcPr>
            <w:tcW w:w="1947" w:type="dxa"/>
            <w:tcBorders>
              <w:top w:val="single" w:sz="4" w:space="0" w:color="auto"/>
              <w:left w:val="nil"/>
              <w:bottom w:val="nil"/>
              <w:right w:val="nil"/>
            </w:tcBorders>
          </w:tcPr>
          <w:p w14:paraId="049AC6AF" w14:textId="0007FE32" w:rsidR="00F37419" w:rsidRPr="0097755E" w:rsidRDefault="00F37419" w:rsidP="00F37419">
            <w:pPr>
              <w:jc w:val="center"/>
              <w:rPr>
                <w:i/>
                <w:sz w:val="20"/>
                <w:lang w:val="en-US"/>
              </w:rPr>
            </w:pPr>
            <w:r w:rsidRPr="0097755E">
              <w:rPr>
                <w:i/>
                <w:position w:val="6"/>
                <w:sz w:val="20"/>
                <w:lang w:val="en-US"/>
              </w:rPr>
              <w:t>(signature)</w:t>
            </w:r>
          </w:p>
        </w:tc>
        <w:tc>
          <w:tcPr>
            <w:tcW w:w="463" w:type="dxa"/>
          </w:tcPr>
          <w:p w14:paraId="40C4DDE6" w14:textId="77777777" w:rsidR="00F37419" w:rsidRPr="0097755E" w:rsidRDefault="00F37419" w:rsidP="00F37419">
            <w:pPr>
              <w:jc w:val="center"/>
              <w:rPr>
                <w:i/>
                <w:sz w:val="20"/>
                <w:lang w:val="en-US"/>
              </w:rPr>
            </w:pPr>
          </w:p>
        </w:tc>
        <w:tc>
          <w:tcPr>
            <w:tcW w:w="2735" w:type="dxa"/>
            <w:tcBorders>
              <w:top w:val="single" w:sz="4" w:space="0" w:color="auto"/>
              <w:left w:val="nil"/>
              <w:bottom w:val="nil"/>
              <w:right w:val="nil"/>
            </w:tcBorders>
          </w:tcPr>
          <w:p w14:paraId="5B818E7B" w14:textId="4DAF7218" w:rsidR="00F37419" w:rsidRPr="0097755E" w:rsidRDefault="00F37419" w:rsidP="00F37419">
            <w:pPr>
              <w:ind w:hanging="252"/>
              <w:jc w:val="center"/>
              <w:rPr>
                <w:i/>
                <w:sz w:val="20"/>
                <w:lang w:val="en-US"/>
              </w:rPr>
            </w:pPr>
            <w:r w:rsidRPr="0097755E">
              <w:rPr>
                <w:i/>
                <w:position w:val="6"/>
                <w:sz w:val="20"/>
                <w:lang w:val="en-US"/>
              </w:rPr>
              <w:t>(first name and family name)</w:t>
            </w:r>
          </w:p>
        </w:tc>
      </w:tr>
    </w:tbl>
    <w:p w14:paraId="51794B7A" w14:textId="77777777" w:rsidR="001B6BBB" w:rsidRDefault="00F37419" w:rsidP="00F37419">
      <w:pPr>
        <w:tabs>
          <w:tab w:val="num" w:pos="0"/>
          <w:tab w:val="left" w:pos="249"/>
        </w:tabs>
        <w:rPr>
          <w:b/>
          <w:sz w:val="22"/>
          <w:lang w:val="en-US"/>
        </w:rPr>
      </w:pPr>
      <w:r w:rsidRPr="0097755E">
        <w:rPr>
          <w:b/>
          <w:sz w:val="22"/>
          <w:lang w:val="en-US"/>
        </w:rPr>
        <w:tab/>
      </w:r>
    </w:p>
    <w:p w14:paraId="04B8039E" w14:textId="77777777" w:rsidR="00A24967" w:rsidRDefault="00A24967" w:rsidP="00F37419">
      <w:pPr>
        <w:tabs>
          <w:tab w:val="num" w:pos="0"/>
          <w:tab w:val="left" w:pos="249"/>
        </w:tabs>
        <w:rPr>
          <w:b/>
          <w:sz w:val="22"/>
          <w:lang w:val="en-US"/>
        </w:rPr>
      </w:pPr>
    </w:p>
    <w:p w14:paraId="2E7CF494" w14:textId="35516402" w:rsidR="00F37419" w:rsidRPr="0097755E" w:rsidRDefault="00F37419" w:rsidP="00F37419">
      <w:pPr>
        <w:tabs>
          <w:tab w:val="num" w:pos="0"/>
          <w:tab w:val="left" w:pos="249"/>
        </w:tabs>
        <w:rPr>
          <w:b/>
          <w:sz w:val="22"/>
          <w:lang w:val="en-US"/>
        </w:rPr>
      </w:pPr>
      <w:r w:rsidRPr="0097755E">
        <w:rPr>
          <w:b/>
          <w:sz w:val="22"/>
          <w:lang w:val="en-US"/>
        </w:rPr>
        <w:t xml:space="preserve">Remarks: </w:t>
      </w:r>
    </w:p>
    <w:p w14:paraId="0ABFADDB" w14:textId="7C923C90" w:rsidR="00F37419" w:rsidRPr="0097755E" w:rsidRDefault="00F37419" w:rsidP="00F37419">
      <w:pPr>
        <w:pStyle w:val="Sraopastraipa"/>
        <w:numPr>
          <w:ilvl w:val="0"/>
          <w:numId w:val="38"/>
        </w:numPr>
        <w:tabs>
          <w:tab w:val="left" w:pos="360"/>
        </w:tabs>
        <w:ind w:left="0" w:firstLine="0"/>
        <w:contextualSpacing w:val="0"/>
        <w:rPr>
          <w:sz w:val="22"/>
          <w:lang w:val="en-US"/>
        </w:rPr>
      </w:pPr>
      <w:r w:rsidRPr="0097755E">
        <w:rPr>
          <w:sz w:val="22"/>
          <w:lang w:val="en-US"/>
        </w:rPr>
        <w:t xml:space="preserve">If the entire tender is signed with a valid digital signature by another person, a copy of this document shall be signed with regular signature and submitted separately </w:t>
      </w:r>
      <w:r w:rsidR="00BE677B" w:rsidRPr="0097755E">
        <w:rPr>
          <w:sz w:val="22"/>
          <w:lang w:val="en-US"/>
        </w:rPr>
        <w:t>by</w:t>
      </w:r>
      <w:r w:rsidRPr="0097755E">
        <w:rPr>
          <w:sz w:val="22"/>
          <w:lang w:val="en-US"/>
        </w:rPr>
        <w:t xml:space="preserve"> electronic means. </w:t>
      </w:r>
    </w:p>
    <w:p w14:paraId="1971B9C6" w14:textId="7B12FC5B" w:rsidR="005F31E0" w:rsidRPr="001B6BBB" w:rsidRDefault="00F37419" w:rsidP="00CA735B">
      <w:pPr>
        <w:numPr>
          <w:ilvl w:val="0"/>
          <w:numId w:val="38"/>
        </w:numPr>
        <w:tabs>
          <w:tab w:val="num" w:pos="0"/>
          <w:tab w:val="left" w:pos="284"/>
          <w:tab w:val="left" w:pos="426"/>
          <w:tab w:val="left" w:pos="993"/>
        </w:tabs>
        <w:spacing w:after="200" w:line="276" w:lineRule="auto"/>
        <w:ind w:left="0" w:firstLine="0"/>
        <w:jc w:val="left"/>
        <w:rPr>
          <w:lang w:val="en-US"/>
        </w:rPr>
      </w:pPr>
      <w:r w:rsidRPr="001B6BBB">
        <w:rPr>
          <w:sz w:val="22"/>
          <w:szCs w:val="22"/>
          <w:lang w:val="en-US"/>
        </w:rPr>
        <w:t xml:space="preserve">The </w:t>
      </w:r>
      <w:r w:rsidR="00CA32C6" w:rsidRPr="001B6BBB">
        <w:rPr>
          <w:sz w:val="22"/>
          <w:szCs w:val="22"/>
          <w:lang w:val="en-US"/>
        </w:rPr>
        <w:t>Provider</w:t>
      </w:r>
      <w:r w:rsidRPr="001B6BBB">
        <w:rPr>
          <w:sz w:val="22"/>
          <w:szCs w:val="22"/>
          <w:lang w:val="en-US"/>
        </w:rPr>
        <w:t xml:space="preserve"> is required to provide all the information that is requested in this form. The only parts of the proposal that can be omitted are Tables 2 and 5, which can be left empty or deleted. In case of failure to provide any other information, the proposal will be rejected. </w:t>
      </w:r>
      <w:r w:rsidRPr="001B6BBB">
        <w:rPr>
          <w:sz w:val="22"/>
          <w:lang w:val="en-US"/>
        </w:rPr>
        <w:t xml:space="preserve">If Tables 2 and 5 are left empty or deleted, it shall be deemed that the </w:t>
      </w:r>
      <w:r w:rsidR="00CA32C6" w:rsidRPr="001B6BBB">
        <w:rPr>
          <w:sz w:val="22"/>
          <w:lang w:val="en-US"/>
        </w:rPr>
        <w:t>Provider</w:t>
      </w:r>
      <w:r w:rsidRPr="001B6BBB">
        <w:rPr>
          <w:sz w:val="22"/>
          <w:lang w:val="en-US"/>
        </w:rPr>
        <w:t xml:space="preserve"> will not have any subcontractors and has not included any confidential information in the proposal.  </w:t>
      </w:r>
      <w:r w:rsidR="005F31E0" w:rsidRPr="001B6BBB">
        <w:rPr>
          <w:lang w:val="en-US"/>
        </w:rPr>
        <w:br w:type="page"/>
      </w:r>
    </w:p>
    <w:p w14:paraId="78207FC2" w14:textId="08A768F2" w:rsidR="00BE677B" w:rsidRPr="0097755E" w:rsidRDefault="00C067D9" w:rsidP="00BE677B">
      <w:pPr>
        <w:pStyle w:val="Pagrindinistekstas"/>
        <w:ind w:firstLine="0"/>
        <w:contextualSpacing/>
        <w:jc w:val="right"/>
        <w:rPr>
          <w:lang w:val="en-US"/>
        </w:rPr>
      </w:pPr>
      <w:r w:rsidRPr="0097755E">
        <w:rPr>
          <w:lang w:val="en-US"/>
        </w:rPr>
        <w:lastRenderedPageBreak/>
        <w:t xml:space="preserve">                                                                                                                    </w:t>
      </w:r>
      <w:r w:rsidR="00BE677B" w:rsidRPr="0097755E">
        <w:rPr>
          <w:lang w:val="en-US"/>
        </w:rPr>
        <w:t>Annex 3</w:t>
      </w:r>
    </w:p>
    <w:p w14:paraId="11D22965" w14:textId="77777777" w:rsidR="00BE677B" w:rsidRPr="0097755E" w:rsidRDefault="00BE677B" w:rsidP="00BE677B">
      <w:pPr>
        <w:pStyle w:val="Pagrindinistekstas"/>
        <w:tabs>
          <w:tab w:val="left" w:pos="7088"/>
        </w:tabs>
        <w:ind w:firstLine="0"/>
        <w:contextualSpacing/>
        <w:jc w:val="right"/>
        <w:rPr>
          <w:lang w:val="en-US"/>
        </w:rPr>
      </w:pPr>
      <w:r w:rsidRPr="0097755E">
        <w:rPr>
          <w:lang w:val="en-US"/>
        </w:rPr>
        <w:t>to Public Procurement Documents</w:t>
      </w:r>
    </w:p>
    <w:p w14:paraId="64BBAAF7" w14:textId="468ABB2B" w:rsidR="001659EB" w:rsidRPr="0097755E" w:rsidRDefault="001659EB" w:rsidP="00BE677B">
      <w:pPr>
        <w:pStyle w:val="Pagrindinistekstas"/>
        <w:ind w:firstLine="0"/>
        <w:contextualSpacing/>
        <w:jc w:val="center"/>
        <w:rPr>
          <w:lang w:val="en-US"/>
        </w:rPr>
      </w:pPr>
    </w:p>
    <w:p w14:paraId="5708D28A" w14:textId="77777777" w:rsidR="00941693" w:rsidRPr="0097755E" w:rsidRDefault="00941693" w:rsidP="00941693">
      <w:pPr>
        <w:widowControl w:val="0"/>
        <w:spacing w:line="276" w:lineRule="auto"/>
        <w:jc w:val="center"/>
        <w:rPr>
          <w:b/>
          <w:szCs w:val="24"/>
          <w:lang w:val="en-US"/>
        </w:rPr>
      </w:pPr>
      <w:r w:rsidRPr="0097755E">
        <w:rPr>
          <w:b/>
          <w:szCs w:val="24"/>
          <w:lang w:val="en-US"/>
        </w:rPr>
        <w:t>SALE AND PURCHASE AGREEMENT NO. ______</w:t>
      </w:r>
    </w:p>
    <w:p w14:paraId="2DDB5259" w14:textId="2AFC9959" w:rsidR="00941693" w:rsidRPr="0097755E" w:rsidRDefault="005F31E0" w:rsidP="007F6F67">
      <w:pPr>
        <w:widowControl w:val="0"/>
        <w:jc w:val="center"/>
        <w:rPr>
          <w:b/>
          <w:caps/>
          <w:szCs w:val="24"/>
          <w:lang w:val="en-US"/>
        </w:rPr>
      </w:pPr>
      <w:r w:rsidRPr="004E0209">
        <w:rPr>
          <w:b/>
          <w:bCs/>
          <w:szCs w:val="24"/>
          <w:lang w:val="en-US"/>
        </w:rPr>
        <w:t>“</w:t>
      </w:r>
      <w:proofErr w:type="spellStart"/>
      <w:r w:rsidRPr="004E0209">
        <w:rPr>
          <w:b/>
          <w:bCs/>
          <w:szCs w:val="24"/>
          <w:lang w:val="en-US"/>
        </w:rPr>
        <w:t>cEMV</w:t>
      </w:r>
      <w:proofErr w:type="spellEnd"/>
      <w:r w:rsidRPr="004E0209">
        <w:rPr>
          <w:b/>
          <w:bCs/>
          <w:szCs w:val="24"/>
          <w:lang w:val="en-US"/>
        </w:rPr>
        <w:t xml:space="preserve"> </w:t>
      </w:r>
      <w:r w:rsidRPr="004E0209">
        <w:rPr>
          <w:b/>
          <w:bCs/>
          <w:caps/>
          <w:szCs w:val="24"/>
          <w:lang w:val="en-US"/>
        </w:rPr>
        <w:t>Payments with Contactless Bank Cards in Kaunas City Public Transport” System Launch and Maintenance</w:t>
      </w:r>
    </w:p>
    <w:p w14:paraId="0D05BD7A" w14:textId="77777777" w:rsidR="00B64743" w:rsidRPr="0097755E" w:rsidRDefault="00B64743" w:rsidP="00B64743">
      <w:pPr>
        <w:widowControl w:val="0"/>
        <w:jc w:val="center"/>
        <w:rPr>
          <w:szCs w:val="24"/>
          <w:lang w:val="en-US"/>
        </w:rPr>
      </w:pPr>
    </w:p>
    <w:p w14:paraId="3874ECFC" w14:textId="5BD7722A" w:rsidR="003E3934" w:rsidRPr="00EC3DA0" w:rsidRDefault="009C4245" w:rsidP="00EC3DA0">
      <w:pPr>
        <w:tabs>
          <w:tab w:val="left" w:pos="3744"/>
        </w:tabs>
        <w:spacing w:after="200" w:line="276" w:lineRule="auto"/>
        <w:jc w:val="center"/>
        <w:rPr>
          <w:b/>
          <w:caps/>
          <w:szCs w:val="24"/>
          <w:lang w:val="en-US"/>
        </w:rPr>
        <w:sectPr w:rsidR="003E3934" w:rsidRPr="00EC3DA0" w:rsidSect="0048092C">
          <w:pgSz w:w="11906" w:h="16838" w:code="9"/>
          <w:pgMar w:top="1021" w:right="680" w:bottom="426" w:left="1361" w:header="567" w:footer="261" w:gutter="0"/>
          <w:cols w:space="1296"/>
          <w:titlePg/>
          <w:docGrid w:linePitch="326"/>
        </w:sectPr>
      </w:pPr>
      <w:r w:rsidRPr="0097755E">
        <w:rPr>
          <w:b/>
          <w:szCs w:val="24"/>
          <w:lang w:val="en-US"/>
        </w:rPr>
        <w:t>(</w:t>
      </w:r>
      <w:r w:rsidR="005F31E0" w:rsidRPr="0097755E">
        <w:rPr>
          <w:b/>
          <w:szCs w:val="24"/>
          <w:lang w:val="en-US"/>
        </w:rPr>
        <w:t>Enclosed</w:t>
      </w:r>
      <w:r w:rsidRPr="0097755E">
        <w:rPr>
          <w:b/>
          <w:szCs w:val="24"/>
          <w:lang w:val="en-US"/>
        </w:rPr>
        <w:t xml:space="preserve"> as a separate document</w:t>
      </w:r>
      <w:r>
        <w:rPr>
          <w:b/>
          <w:szCs w:val="24"/>
          <w:lang w:val="en-US"/>
        </w:rPr>
        <w:t>, Lithuanian and English languages</w:t>
      </w:r>
      <w:r w:rsidRPr="0097755E">
        <w:rPr>
          <w:b/>
          <w:szCs w:val="24"/>
          <w:lang w:val="en-US"/>
        </w:rPr>
        <w:t>)</w:t>
      </w:r>
    </w:p>
    <w:p w14:paraId="0DBD8BF2" w14:textId="77777777" w:rsidR="007E4FD4" w:rsidRPr="0097755E" w:rsidRDefault="007E4FD4" w:rsidP="00EC3DA0">
      <w:pPr>
        <w:pStyle w:val="Pagrindinistekstas"/>
        <w:ind w:right="-284" w:firstLine="0"/>
        <w:contextualSpacing/>
        <w:rPr>
          <w:szCs w:val="24"/>
          <w:lang w:val="en-US" w:eastAsia="lt-LT"/>
        </w:rPr>
      </w:pPr>
    </w:p>
    <w:sectPr w:rsidR="007E4FD4" w:rsidRPr="0097755E" w:rsidSect="00AD216D">
      <w:headerReference w:type="default" r:id="rId14"/>
      <w:pgSz w:w="11906" w:h="16838" w:code="9"/>
      <w:pgMar w:top="709" w:right="991" w:bottom="567"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A4B8" w14:textId="77777777" w:rsidR="006D2225" w:rsidRDefault="006D2225" w:rsidP="000744ED">
      <w:r>
        <w:separator/>
      </w:r>
    </w:p>
  </w:endnote>
  <w:endnote w:type="continuationSeparator" w:id="0">
    <w:p w14:paraId="65B636B3" w14:textId="77777777" w:rsidR="006D2225" w:rsidRDefault="006D222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9183" w14:textId="77777777" w:rsidR="006D2225" w:rsidRDefault="006D2225" w:rsidP="000744ED">
      <w:r>
        <w:separator/>
      </w:r>
    </w:p>
  </w:footnote>
  <w:footnote w:type="continuationSeparator" w:id="0">
    <w:p w14:paraId="3018607F" w14:textId="77777777" w:rsidR="006D2225" w:rsidRDefault="006D2225"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2907" w14:textId="77777777" w:rsidR="00176C6C" w:rsidRDefault="00176C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56415"/>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6733B"/>
    <w:multiLevelType w:val="multilevel"/>
    <w:tmpl w:val="E9E473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446861"/>
    <w:multiLevelType w:val="multilevel"/>
    <w:tmpl w:val="5E66EC54"/>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FC663DE"/>
    <w:multiLevelType w:val="multilevel"/>
    <w:tmpl w:val="C150B3A2"/>
    <w:lvl w:ilvl="0">
      <w:start w:val="2"/>
      <w:numFmt w:val="decimal"/>
      <w:lvlText w:val="%1."/>
      <w:lvlJc w:val="left"/>
      <w:pPr>
        <w:ind w:left="360" w:hanging="36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3560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30377"/>
    <w:multiLevelType w:val="multilevel"/>
    <w:tmpl w:val="32CE5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F2399A"/>
    <w:multiLevelType w:val="multilevel"/>
    <w:tmpl w:val="FF366180"/>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A3C38CF"/>
    <w:multiLevelType w:val="multilevel"/>
    <w:tmpl w:val="3118AF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0C017A"/>
    <w:multiLevelType w:val="multilevel"/>
    <w:tmpl w:val="91F4BEB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5847A16"/>
    <w:multiLevelType w:val="hybridMultilevel"/>
    <w:tmpl w:val="946C7F0A"/>
    <w:lvl w:ilvl="0" w:tplc="1CFAE25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A763E9D"/>
    <w:multiLevelType w:val="multilevel"/>
    <w:tmpl w:val="96085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627331"/>
    <w:multiLevelType w:val="multilevel"/>
    <w:tmpl w:val="80E08792"/>
    <w:lvl w:ilvl="0">
      <w:start w:val="8"/>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2CCC42BF"/>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3509EF"/>
    <w:multiLevelType w:val="multilevel"/>
    <w:tmpl w:val="AA342A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1168C4"/>
    <w:multiLevelType w:val="hybridMultilevel"/>
    <w:tmpl w:val="C89E1094"/>
    <w:lvl w:ilvl="0" w:tplc="4A32C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33E3D"/>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F3392"/>
    <w:multiLevelType w:val="multilevel"/>
    <w:tmpl w:val="50EAAEAE"/>
    <w:lvl w:ilvl="0">
      <w:start w:val="3"/>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3" w15:restartNumberingAfterBreak="0">
    <w:nsid w:val="41064989"/>
    <w:multiLevelType w:val="multilevel"/>
    <w:tmpl w:val="C150B3A2"/>
    <w:lvl w:ilvl="0">
      <w:start w:val="2"/>
      <w:numFmt w:val="decimal"/>
      <w:lvlText w:val="%1."/>
      <w:lvlJc w:val="left"/>
      <w:pPr>
        <w:ind w:left="360" w:hanging="36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8750B1"/>
    <w:multiLevelType w:val="multilevel"/>
    <w:tmpl w:val="B1CEABD0"/>
    <w:lvl w:ilvl="0">
      <w:start w:val="3"/>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5"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039681D"/>
    <w:multiLevelType w:val="multilevel"/>
    <w:tmpl w:val="E4B80D8E"/>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AA7137B"/>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116FBB"/>
    <w:multiLevelType w:val="multilevel"/>
    <w:tmpl w:val="2CA2CAB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0" w15:restartNumberingAfterBreak="0">
    <w:nsid w:val="66D71BCE"/>
    <w:multiLevelType w:val="hybridMultilevel"/>
    <w:tmpl w:val="E258FAF0"/>
    <w:lvl w:ilvl="0" w:tplc="1CFAE25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70B6515"/>
    <w:multiLevelType w:val="multilevel"/>
    <w:tmpl w:val="6A300BD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0D19F5"/>
    <w:multiLevelType w:val="hybridMultilevel"/>
    <w:tmpl w:val="A42A8430"/>
    <w:lvl w:ilvl="0" w:tplc="0F022CA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3FFC"/>
    <w:multiLevelType w:val="multilevel"/>
    <w:tmpl w:val="C2D29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8F6B1B"/>
    <w:multiLevelType w:val="multilevel"/>
    <w:tmpl w:val="564C229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06061A0"/>
    <w:multiLevelType w:val="multilevel"/>
    <w:tmpl w:val="DB1A0686"/>
    <w:lvl w:ilvl="0">
      <w:start w:val="2"/>
      <w:numFmt w:val="decimal"/>
      <w:lvlText w:val="%1."/>
      <w:lvlJc w:val="left"/>
      <w:pPr>
        <w:ind w:left="1069"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6" w15:restartNumberingAfterBreak="0">
    <w:nsid w:val="71797BF4"/>
    <w:multiLevelType w:val="multilevel"/>
    <w:tmpl w:val="56EE74D2"/>
    <w:lvl w:ilvl="0">
      <w:start w:val="1"/>
      <w:numFmt w:val="decimal"/>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4E413BA"/>
    <w:multiLevelType w:val="hybridMultilevel"/>
    <w:tmpl w:val="261414D8"/>
    <w:lvl w:ilvl="0" w:tplc="0C0EEB7A">
      <w:start w:val="4"/>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3E7380"/>
    <w:multiLevelType w:val="hybridMultilevel"/>
    <w:tmpl w:val="B77ED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928201215">
    <w:abstractNumId w:val="13"/>
  </w:num>
  <w:num w:numId="2" w16cid:durableId="1713923507">
    <w:abstractNumId w:val="15"/>
  </w:num>
  <w:num w:numId="3" w16cid:durableId="1219589780">
    <w:abstractNumId w:val="19"/>
  </w:num>
  <w:num w:numId="4" w16cid:durableId="1676497623">
    <w:abstractNumId w:val="40"/>
  </w:num>
  <w:num w:numId="5" w16cid:durableId="437601993">
    <w:abstractNumId w:val="35"/>
  </w:num>
  <w:num w:numId="6" w16cid:durableId="346249133">
    <w:abstractNumId w:val="2"/>
  </w:num>
  <w:num w:numId="7" w16cid:durableId="1800881750">
    <w:abstractNumId w:val="10"/>
  </w:num>
  <w:num w:numId="8" w16cid:durableId="893007392">
    <w:abstractNumId w:val="36"/>
  </w:num>
  <w:num w:numId="9" w16cid:durableId="1189220649">
    <w:abstractNumId w:val="16"/>
  </w:num>
  <w:num w:numId="10" w16cid:durableId="1796293222">
    <w:abstractNumId w:val="18"/>
  </w:num>
  <w:num w:numId="11" w16cid:durableId="474683572">
    <w:abstractNumId w:val="32"/>
  </w:num>
  <w:num w:numId="12" w16cid:durableId="20714886">
    <w:abstractNumId w:val="12"/>
  </w:num>
  <w:num w:numId="13" w16cid:durableId="1968928768">
    <w:abstractNumId w:val="26"/>
  </w:num>
  <w:num w:numId="14" w16cid:durableId="1769236221">
    <w:abstractNumId w:val="34"/>
  </w:num>
  <w:num w:numId="15" w16cid:durableId="1820682316">
    <w:abstractNumId w:val="37"/>
  </w:num>
  <w:num w:numId="16" w16cid:durableId="1515606275">
    <w:abstractNumId w:val="39"/>
  </w:num>
  <w:num w:numId="17" w16cid:durableId="700983174">
    <w:abstractNumId w:val="30"/>
  </w:num>
  <w:num w:numId="18" w16cid:durableId="609971841">
    <w:abstractNumId w:val="17"/>
  </w:num>
  <w:num w:numId="19" w16cid:durableId="548617391">
    <w:abstractNumId w:val="20"/>
  </w:num>
  <w:num w:numId="20" w16cid:durableId="1955476243">
    <w:abstractNumId w:val="1"/>
  </w:num>
  <w:num w:numId="21" w16cid:durableId="1664315841">
    <w:abstractNumId w:val="21"/>
  </w:num>
  <w:num w:numId="22" w16cid:durableId="1136409855">
    <w:abstractNumId w:val="27"/>
  </w:num>
  <w:num w:numId="23" w16cid:durableId="512113672">
    <w:abstractNumId w:val="28"/>
  </w:num>
  <w:num w:numId="24" w16cid:durableId="817498839">
    <w:abstractNumId w:val="5"/>
  </w:num>
  <w:num w:numId="25" w16cid:durableId="288438773">
    <w:abstractNumId w:val="0"/>
  </w:num>
  <w:num w:numId="26" w16cid:durableId="1738700773">
    <w:abstractNumId w:val="31"/>
  </w:num>
  <w:num w:numId="27" w16cid:durableId="1032848665">
    <w:abstractNumId w:val="14"/>
  </w:num>
  <w:num w:numId="28" w16cid:durableId="94059690">
    <w:abstractNumId w:val="7"/>
  </w:num>
  <w:num w:numId="29" w16cid:durableId="1600218326">
    <w:abstractNumId w:val="11"/>
  </w:num>
  <w:num w:numId="30" w16cid:durableId="1631206727">
    <w:abstractNumId w:val="33"/>
  </w:num>
  <w:num w:numId="31" w16cid:durableId="767434429">
    <w:abstractNumId w:val="6"/>
  </w:num>
  <w:num w:numId="32" w16cid:durableId="1240285968">
    <w:abstractNumId w:val="3"/>
  </w:num>
  <w:num w:numId="33" w16cid:durableId="1402870604">
    <w:abstractNumId w:val="9"/>
  </w:num>
  <w:num w:numId="34" w16cid:durableId="2098208918">
    <w:abstractNumId w:val="24"/>
  </w:num>
  <w:num w:numId="35" w16cid:durableId="1995406235">
    <w:abstractNumId w:val="22"/>
  </w:num>
  <w:num w:numId="36" w16cid:durableId="1354839816">
    <w:abstractNumId w:val="38"/>
  </w:num>
  <w:num w:numId="37" w16cid:durableId="1199659799">
    <w:abstractNumId w:val="23"/>
  </w:num>
  <w:num w:numId="38" w16cid:durableId="1866552465">
    <w:abstractNumId w:val="25"/>
  </w:num>
  <w:num w:numId="39" w16cid:durableId="1216816000">
    <w:abstractNumId w:val="4"/>
  </w:num>
  <w:num w:numId="40" w16cid:durableId="126246962">
    <w:abstractNumId w:val="8"/>
  </w:num>
  <w:num w:numId="41" w16cid:durableId="2144734339">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11E"/>
    <w:rsid w:val="00000138"/>
    <w:rsid w:val="00001129"/>
    <w:rsid w:val="00002E3B"/>
    <w:rsid w:val="00005DEF"/>
    <w:rsid w:val="000061F4"/>
    <w:rsid w:val="00006DD4"/>
    <w:rsid w:val="00007A60"/>
    <w:rsid w:val="00012248"/>
    <w:rsid w:val="00014111"/>
    <w:rsid w:val="00015008"/>
    <w:rsid w:val="000167E5"/>
    <w:rsid w:val="000176D3"/>
    <w:rsid w:val="00017C85"/>
    <w:rsid w:val="000206C5"/>
    <w:rsid w:val="00021FAC"/>
    <w:rsid w:val="00023796"/>
    <w:rsid w:val="00023F7B"/>
    <w:rsid w:val="00024D72"/>
    <w:rsid w:val="00025428"/>
    <w:rsid w:val="00026E17"/>
    <w:rsid w:val="00027A86"/>
    <w:rsid w:val="00027DC5"/>
    <w:rsid w:val="00032C17"/>
    <w:rsid w:val="00032E0E"/>
    <w:rsid w:val="00034D76"/>
    <w:rsid w:val="000357C6"/>
    <w:rsid w:val="000365A5"/>
    <w:rsid w:val="00037B1D"/>
    <w:rsid w:val="0004102D"/>
    <w:rsid w:val="000421FC"/>
    <w:rsid w:val="000428A1"/>
    <w:rsid w:val="0004406E"/>
    <w:rsid w:val="00045A4D"/>
    <w:rsid w:val="0004729E"/>
    <w:rsid w:val="00052E1F"/>
    <w:rsid w:val="000547F9"/>
    <w:rsid w:val="00055B23"/>
    <w:rsid w:val="00055F0C"/>
    <w:rsid w:val="0006174E"/>
    <w:rsid w:val="00062A22"/>
    <w:rsid w:val="00063FE0"/>
    <w:rsid w:val="00065BF4"/>
    <w:rsid w:val="000703B0"/>
    <w:rsid w:val="0007108A"/>
    <w:rsid w:val="00072212"/>
    <w:rsid w:val="00072AD6"/>
    <w:rsid w:val="00072E18"/>
    <w:rsid w:val="00073140"/>
    <w:rsid w:val="000744ED"/>
    <w:rsid w:val="00074BB7"/>
    <w:rsid w:val="00074D17"/>
    <w:rsid w:val="0007653F"/>
    <w:rsid w:val="00080EFC"/>
    <w:rsid w:val="00082307"/>
    <w:rsid w:val="00082B11"/>
    <w:rsid w:val="00083D87"/>
    <w:rsid w:val="0008550A"/>
    <w:rsid w:val="000904E2"/>
    <w:rsid w:val="00093ABF"/>
    <w:rsid w:val="00094B45"/>
    <w:rsid w:val="00095A24"/>
    <w:rsid w:val="00095C21"/>
    <w:rsid w:val="0009754E"/>
    <w:rsid w:val="000A02ED"/>
    <w:rsid w:val="000A23DE"/>
    <w:rsid w:val="000A3C8C"/>
    <w:rsid w:val="000A4B28"/>
    <w:rsid w:val="000A4C84"/>
    <w:rsid w:val="000A62D1"/>
    <w:rsid w:val="000A7479"/>
    <w:rsid w:val="000B2FE7"/>
    <w:rsid w:val="000B42E3"/>
    <w:rsid w:val="000B46C4"/>
    <w:rsid w:val="000B4B8B"/>
    <w:rsid w:val="000B7D82"/>
    <w:rsid w:val="000C17F9"/>
    <w:rsid w:val="000C2B2D"/>
    <w:rsid w:val="000C46B0"/>
    <w:rsid w:val="000C6A26"/>
    <w:rsid w:val="000C6BF7"/>
    <w:rsid w:val="000D0B21"/>
    <w:rsid w:val="000D138C"/>
    <w:rsid w:val="000D1D70"/>
    <w:rsid w:val="000D4AFD"/>
    <w:rsid w:val="000D50D7"/>
    <w:rsid w:val="000D5BDC"/>
    <w:rsid w:val="000D5E7D"/>
    <w:rsid w:val="000D79C9"/>
    <w:rsid w:val="000E543E"/>
    <w:rsid w:val="000E5512"/>
    <w:rsid w:val="000E5C04"/>
    <w:rsid w:val="000E6819"/>
    <w:rsid w:val="000F2C96"/>
    <w:rsid w:val="000F3E0C"/>
    <w:rsid w:val="000F5D38"/>
    <w:rsid w:val="000F631B"/>
    <w:rsid w:val="000F6375"/>
    <w:rsid w:val="001017C6"/>
    <w:rsid w:val="00102ED0"/>
    <w:rsid w:val="00103B77"/>
    <w:rsid w:val="0010519C"/>
    <w:rsid w:val="00105A6E"/>
    <w:rsid w:val="00105F61"/>
    <w:rsid w:val="0011086D"/>
    <w:rsid w:val="001119E6"/>
    <w:rsid w:val="00112367"/>
    <w:rsid w:val="001126F4"/>
    <w:rsid w:val="00113F96"/>
    <w:rsid w:val="00114570"/>
    <w:rsid w:val="00114F9A"/>
    <w:rsid w:val="001205EA"/>
    <w:rsid w:val="00121C9D"/>
    <w:rsid w:val="00121EB2"/>
    <w:rsid w:val="0012386A"/>
    <w:rsid w:val="001241A2"/>
    <w:rsid w:val="00125060"/>
    <w:rsid w:val="0012574B"/>
    <w:rsid w:val="00126818"/>
    <w:rsid w:val="0012739B"/>
    <w:rsid w:val="0013018D"/>
    <w:rsid w:val="00132B69"/>
    <w:rsid w:val="00132EF5"/>
    <w:rsid w:val="00132F6C"/>
    <w:rsid w:val="00134423"/>
    <w:rsid w:val="00135ED1"/>
    <w:rsid w:val="00136B72"/>
    <w:rsid w:val="00136B7C"/>
    <w:rsid w:val="00141625"/>
    <w:rsid w:val="001441AC"/>
    <w:rsid w:val="001442A8"/>
    <w:rsid w:val="00146D45"/>
    <w:rsid w:val="00146F42"/>
    <w:rsid w:val="001522D9"/>
    <w:rsid w:val="00152850"/>
    <w:rsid w:val="00152C19"/>
    <w:rsid w:val="00152F8D"/>
    <w:rsid w:val="00153F1F"/>
    <w:rsid w:val="001553BE"/>
    <w:rsid w:val="00157537"/>
    <w:rsid w:val="00157626"/>
    <w:rsid w:val="001578C6"/>
    <w:rsid w:val="00161BD7"/>
    <w:rsid w:val="00162E2E"/>
    <w:rsid w:val="00164A7E"/>
    <w:rsid w:val="001659EB"/>
    <w:rsid w:val="00170883"/>
    <w:rsid w:val="001720FD"/>
    <w:rsid w:val="00172CD4"/>
    <w:rsid w:val="001738D5"/>
    <w:rsid w:val="00174AA4"/>
    <w:rsid w:val="0017686E"/>
    <w:rsid w:val="00176C6C"/>
    <w:rsid w:val="00177669"/>
    <w:rsid w:val="00177CC7"/>
    <w:rsid w:val="00180070"/>
    <w:rsid w:val="001831B3"/>
    <w:rsid w:val="0018389F"/>
    <w:rsid w:val="00184A96"/>
    <w:rsid w:val="001852F8"/>
    <w:rsid w:val="00185CD9"/>
    <w:rsid w:val="00187ADB"/>
    <w:rsid w:val="00190068"/>
    <w:rsid w:val="001926D4"/>
    <w:rsid w:val="00194E77"/>
    <w:rsid w:val="00197BCA"/>
    <w:rsid w:val="00197FD8"/>
    <w:rsid w:val="001A1E95"/>
    <w:rsid w:val="001A4809"/>
    <w:rsid w:val="001A5188"/>
    <w:rsid w:val="001A6635"/>
    <w:rsid w:val="001A68F2"/>
    <w:rsid w:val="001B01CF"/>
    <w:rsid w:val="001B03E3"/>
    <w:rsid w:val="001B073E"/>
    <w:rsid w:val="001B0B1E"/>
    <w:rsid w:val="001B0DD0"/>
    <w:rsid w:val="001B39C6"/>
    <w:rsid w:val="001B4641"/>
    <w:rsid w:val="001B5FF6"/>
    <w:rsid w:val="001B6BBB"/>
    <w:rsid w:val="001B754C"/>
    <w:rsid w:val="001C0F75"/>
    <w:rsid w:val="001C2C6E"/>
    <w:rsid w:val="001C2E83"/>
    <w:rsid w:val="001C3D2A"/>
    <w:rsid w:val="001C4AA9"/>
    <w:rsid w:val="001C71D6"/>
    <w:rsid w:val="001C7CB9"/>
    <w:rsid w:val="001D00F5"/>
    <w:rsid w:val="001D0677"/>
    <w:rsid w:val="001D09DD"/>
    <w:rsid w:val="001D0BCC"/>
    <w:rsid w:val="001D292B"/>
    <w:rsid w:val="001D3C8A"/>
    <w:rsid w:val="001D51E9"/>
    <w:rsid w:val="001E2CAD"/>
    <w:rsid w:val="001E7BF2"/>
    <w:rsid w:val="001F10BF"/>
    <w:rsid w:val="001F34B0"/>
    <w:rsid w:val="001F6578"/>
    <w:rsid w:val="001F7191"/>
    <w:rsid w:val="00201671"/>
    <w:rsid w:val="00204F42"/>
    <w:rsid w:val="0020625F"/>
    <w:rsid w:val="002075BF"/>
    <w:rsid w:val="00207C1C"/>
    <w:rsid w:val="002119A6"/>
    <w:rsid w:val="00216D32"/>
    <w:rsid w:val="0022368F"/>
    <w:rsid w:val="0022487F"/>
    <w:rsid w:val="0022557A"/>
    <w:rsid w:val="00226817"/>
    <w:rsid w:val="0023256A"/>
    <w:rsid w:val="002327F4"/>
    <w:rsid w:val="00235A19"/>
    <w:rsid w:val="00236575"/>
    <w:rsid w:val="002415F8"/>
    <w:rsid w:val="00244F83"/>
    <w:rsid w:val="002450BC"/>
    <w:rsid w:val="002478A4"/>
    <w:rsid w:val="0024795E"/>
    <w:rsid w:val="0025122E"/>
    <w:rsid w:val="002513C5"/>
    <w:rsid w:val="00252E66"/>
    <w:rsid w:val="0025352C"/>
    <w:rsid w:val="00253581"/>
    <w:rsid w:val="00253E9E"/>
    <w:rsid w:val="00256420"/>
    <w:rsid w:val="00257093"/>
    <w:rsid w:val="00257A64"/>
    <w:rsid w:val="0026024F"/>
    <w:rsid w:val="00261637"/>
    <w:rsid w:val="002624A5"/>
    <w:rsid w:val="0026331E"/>
    <w:rsid w:val="00264C8C"/>
    <w:rsid w:val="00265B24"/>
    <w:rsid w:val="00270D9D"/>
    <w:rsid w:val="00273EC4"/>
    <w:rsid w:val="0027708A"/>
    <w:rsid w:val="00277BD6"/>
    <w:rsid w:val="00282F97"/>
    <w:rsid w:val="00284741"/>
    <w:rsid w:val="00286E95"/>
    <w:rsid w:val="002919E0"/>
    <w:rsid w:val="00293CA7"/>
    <w:rsid w:val="00293DC4"/>
    <w:rsid w:val="0029434B"/>
    <w:rsid w:val="00296D3C"/>
    <w:rsid w:val="002A008C"/>
    <w:rsid w:val="002A00E1"/>
    <w:rsid w:val="002A0402"/>
    <w:rsid w:val="002A196B"/>
    <w:rsid w:val="002A1A38"/>
    <w:rsid w:val="002A348E"/>
    <w:rsid w:val="002A377A"/>
    <w:rsid w:val="002A3F07"/>
    <w:rsid w:val="002A70E6"/>
    <w:rsid w:val="002A742A"/>
    <w:rsid w:val="002A773C"/>
    <w:rsid w:val="002A7BAB"/>
    <w:rsid w:val="002B0BA2"/>
    <w:rsid w:val="002B18C6"/>
    <w:rsid w:val="002B4E6A"/>
    <w:rsid w:val="002B67FD"/>
    <w:rsid w:val="002B6C9A"/>
    <w:rsid w:val="002C3973"/>
    <w:rsid w:val="002C3BA2"/>
    <w:rsid w:val="002C4504"/>
    <w:rsid w:val="002C5614"/>
    <w:rsid w:val="002C75FC"/>
    <w:rsid w:val="002D123F"/>
    <w:rsid w:val="002D42A8"/>
    <w:rsid w:val="002D5E8A"/>
    <w:rsid w:val="002E0212"/>
    <w:rsid w:val="002E1937"/>
    <w:rsid w:val="002E1BAF"/>
    <w:rsid w:val="002E2734"/>
    <w:rsid w:val="002E43F6"/>
    <w:rsid w:val="002E4EE4"/>
    <w:rsid w:val="002E53F7"/>
    <w:rsid w:val="002E7DCC"/>
    <w:rsid w:val="002F2E73"/>
    <w:rsid w:val="002F568B"/>
    <w:rsid w:val="002F5BBA"/>
    <w:rsid w:val="002F68B0"/>
    <w:rsid w:val="00301A89"/>
    <w:rsid w:val="00303CBE"/>
    <w:rsid w:val="00304CE0"/>
    <w:rsid w:val="003050DE"/>
    <w:rsid w:val="00310556"/>
    <w:rsid w:val="003163DE"/>
    <w:rsid w:val="003202A4"/>
    <w:rsid w:val="0032186A"/>
    <w:rsid w:val="0032234D"/>
    <w:rsid w:val="00322CC3"/>
    <w:rsid w:val="0032339D"/>
    <w:rsid w:val="003249EC"/>
    <w:rsid w:val="0033072B"/>
    <w:rsid w:val="00331D49"/>
    <w:rsid w:val="003327E2"/>
    <w:rsid w:val="00332852"/>
    <w:rsid w:val="00332EAD"/>
    <w:rsid w:val="00335053"/>
    <w:rsid w:val="0033584B"/>
    <w:rsid w:val="00336EB8"/>
    <w:rsid w:val="00342A6F"/>
    <w:rsid w:val="00342EB6"/>
    <w:rsid w:val="00343292"/>
    <w:rsid w:val="00347B39"/>
    <w:rsid w:val="003501F0"/>
    <w:rsid w:val="00350282"/>
    <w:rsid w:val="00351BA1"/>
    <w:rsid w:val="003529E9"/>
    <w:rsid w:val="00356C76"/>
    <w:rsid w:val="00357AD5"/>
    <w:rsid w:val="0036199D"/>
    <w:rsid w:val="003621EA"/>
    <w:rsid w:val="00363928"/>
    <w:rsid w:val="00363F22"/>
    <w:rsid w:val="00364041"/>
    <w:rsid w:val="00366BE7"/>
    <w:rsid w:val="0037043C"/>
    <w:rsid w:val="00371DCD"/>
    <w:rsid w:val="003725A1"/>
    <w:rsid w:val="00372CAF"/>
    <w:rsid w:val="0037664D"/>
    <w:rsid w:val="00381820"/>
    <w:rsid w:val="00383B95"/>
    <w:rsid w:val="00384263"/>
    <w:rsid w:val="003857F3"/>
    <w:rsid w:val="0039328C"/>
    <w:rsid w:val="0039374C"/>
    <w:rsid w:val="00394B5E"/>
    <w:rsid w:val="00397923"/>
    <w:rsid w:val="00397AAB"/>
    <w:rsid w:val="003A0356"/>
    <w:rsid w:val="003A07BD"/>
    <w:rsid w:val="003A1698"/>
    <w:rsid w:val="003A2831"/>
    <w:rsid w:val="003A29D8"/>
    <w:rsid w:val="003A336B"/>
    <w:rsid w:val="003A417F"/>
    <w:rsid w:val="003A462D"/>
    <w:rsid w:val="003A59AA"/>
    <w:rsid w:val="003A69D5"/>
    <w:rsid w:val="003A6FD2"/>
    <w:rsid w:val="003A741B"/>
    <w:rsid w:val="003A7931"/>
    <w:rsid w:val="003B07D6"/>
    <w:rsid w:val="003B0FC4"/>
    <w:rsid w:val="003B1DC2"/>
    <w:rsid w:val="003B27D9"/>
    <w:rsid w:val="003B302C"/>
    <w:rsid w:val="003B31F0"/>
    <w:rsid w:val="003B653F"/>
    <w:rsid w:val="003C007A"/>
    <w:rsid w:val="003C07FD"/>
    <w:rsid w:val="003C11DB"/>
    <w:rsid w:val="003C2CD7"/>
    <w:rsid w:val="003C2EAF"/>
    <w:rsid w:val="003C495E"/>
    <w:rsid w:val="003C5D25"/>
    <w:rsid w:val="003C7017"/>
    <w:rsid w:val="003D0C0E"/>
    <w:rsid w:val="003E168B"/>
    <w:rsid w:val="003E3934"/>
    <w:rsid w:val="003E6DCB"/>
    <w:rsid w:val="003F03A1"/>
    <w:rsid w:val="003F1FD2"/>
    <w:rsid w:val="003F4AE9"/>
    <w:rsid w:val="003F78A7"/>
    <w:rsid w:val="00401BBA"/>
    <w:rsid w:val="004027AF"/>
    <w:rsid w:val="00402E58"/>
    <w:rsid w:val="00403C20"/>
    <w:rsid w:val="00406E4F"/>
    <w:rsid w:val="004105AB"/>
    <w:rsid w:val="004126D0"/>
    <w:rsid w:val="00412B13"/>
    <w:rsid w:val="004145C6"/>
    <w:rsid w:val="00414E5F"/>
    <w:rsid w:val="0041652F"/>
    <w:rsid w:val="00417543"/>
    <w:rsid w:val="0042289C"/>
    <w:rsid w:val="004233B3"/>
    <w:rsid w:val="0042481E"/>
    <w:rsid w:val="004263B8"/>
    <w:rsid w:val="00426FA9"/>
    <w:rsid w:val="004275AA"/>
    <w:rsid w:val="0043083D"/>
    <w:rsid w:val="00432D58"/>
    <w:rsid w:val="00435507"/>
    <w:rsid w:val="00435A19"/>
    <w:rsid w:val="00440615"/>
    <w:rsid w:val="0044161C"/>
    <w:rsid w:val="004423A8"/>
    <w:rsid w:val="00447F9E"/>
    <w:rsid w:val="004526EE"/>
    <w:rsid w:val="00454B50"/>
    <w:rsid w:val="00455458"/>
    <w:rsid w:val="004575E1"/>
    <w:rsid w:val="0046112F"/>
    <w:rsid w:val="00461AC7"/>
    <w:rsid w:val="00461B13"/>
    <w:rsid w:val="00461E63"/>
    <w:rsid w:val="00465CD3"/>
    <w:rsid w:val="00467773"/>
    <w:rsid w:val="00467D3B"/>
    <w:rsid w:val="0047074C"/>
    <w:rsid w:val="0047167F"/>
    <w:rsid w:val="00472DC2"/>
    <w:rsid w:val="00473C0D"/>
    <w:rsid w:val="00475519"/>
    <w:rsid w:val="0047564C"/>
    <w:rsid w:val="0047701E"/>
    <w:rsid w:val="00480381"/>
    <w:rsid w:val="0048092C"/>
    <w:rsid w:val="00480BB8"/>
    <w:rsid w:val="004822A5"/>
    <w:rsid w:val="0048249A"/>
    <w:rsid w:val="00482CA0"/>
    <w:rsid w:val="00483A1A"/>
    <w:rsid w:val="00483AD0"/>
    <w:rsid w:val="0048473F"/>
    <w:rsid w:val="00484C89"/>
    <w:rsid w:val="00487241"/>
    <w:rsid w:val="0049096F"/>
    <w:rsid w:val="00491CEF"/>
    <w:rsid w:val="00492982"/>
    <w:rsid w:val="004940B5"/>
    <w:rsid w:val="00495B2D"/>
    <w:rsid w:val="004978A7"/>
    <w:rsid w:val="004A04A3"/>
    <w:rsid w:val="004A164A"/>
    <w:rsid w:val="004A262E"/>
    <w:rsid w:val="004A4603"/>
    <w:rsid w:val="004A67C2"/>
    <w:rsid w:val="004A722C"/>
    <w:rsid w:val="004B0351"/>
    <w:rsid w:val="004B0B8B"/>
    <w:rsid w:val="004B2EDD"/>
    <w:rsid w:val="004B326C"/>
    <w:rsid w:val="004B6702"/>
    <w:rsid w:val="004B7A2A"/>
    <w:rsid w:val="004C0BBC"/>
    <w:rsid w:val="004C179E"/>
    <w:rsid w:val="004C3521"/>
    <w:rsid w:val="004C4120"/>
    <w:rsid w:val="004C676B"/>
    <w:rsid w:val="004C6B21"/>
    <w:rsid w:val="004C7FC8"/>
    <w:rsid w:val="004D12E1"/>
    <w:rsid w:val="004D2308"/>
    <w:rsid w:val="004D38D2"/>
    <w:rsid w:val="004D4F64"/>
    <w:rsid w:val="004D64FC"/>
    <w:rsid w:val="004D6C4C"/>
    <w:rsid w:val="004D6C79"/>
    <w:rsid w:val="004D75FB"/>
    <w:rsid w:val="004E0209"/>
    <w:rsid w:val="004E153B"/>
    <w:rsid w:val="004E28C6"/>
    <w:rsid w:val="004E49E2"/>
    <w:rsid w:val="004E5F13"/>
    <w:rsid w:val="004F114C"/>
    <w:rsid w:val="004F445E"/>
    <w:rsid w:val="004F5410"/>
    <w:rsid w:val="004F7345"/>
    <w:rsid w:val="005007C2"/>
    <w:rsid w:val="0050191C"/>
    <w:rsid w:val="00502340"/>
    <w:rsid w:val="00506049"/>
    <w:rsid w:val="005130FA"/>
    <w:rsid w:val="00513EAE"/>
    <w:rsid w:val="00515054"/>
    <w:rsid w:val="00515CDC"/>
    <w:rsid w:val="0051696F"/>
    <w:rsid w:val="00516C02"/>
    <w:rsid w:val="005202A6"/>
    <w:rsid w:val="00520703"/>
    <w:rsid w:val="00522091"/>
    <w:rsid w:val="005222E5"/>
    <w:rsid w:val="00522586"/>
    <w:rsid w:val="00525290"/>
    <w:rsid w:val="0052691B"/>
    <w:rsid w:val="00531D76"/>
    <w:rsid w:val="00533FAF"/>
    <w:rsid w:val="00545492"/>
    <w:rsid w:val="00546E0B"/>
    <w:rsid w:val="00550397"/>
    <w:rsid w:val="00552E11"/>
    <w:rsid w:val="00553F1B"/>
    <w:rsid w:val="00555C31"/>
    <w:rsid w:val="005566A4"/>
    <w:rsid w:val="00557581"/>
    <w:rsid w:val="00557C89"/>
    <w:rsid w:val="005614D4"/>
    <w:rsid w:val="0056318D"/>
    <w:rsid w:val="005637B6"/>
    <w:rsid w:val="0056490B"/>
    <w:rsid w:val="00564C8B"/>
    <w:rsid w:val="0056708A"/>
    <w:rsid w:val="005672B4"/>
    <w:rsid w:val="005674CC"/>
    <w:rsid w:val="005679A0"/>
    <w:rsid w:val="00571A63"/>
    <w:rsid w:val="00572435"/>
    <w:rsid w:val="00573943"/>
    <w:rsid w:val="0057484F"/>
    <w:rsid w:val="005805BA"/>
    <w:rsid w:val="0058312E"/>
    <w:rsid w:val="00584CA7"/>
    <w:rsid w:val="00584E2F"/>
    <w:rsid w:val="0058557C"/>
    <w:rsid w:val="005865B3"/>
    <w:rsid w:val="005868C1"/>
    <w:rsid w:val="00590584"/>
    <w:rsid w:val="00590A74"/>
    <w:rsid w:val="00591BBA"/>
    <w:rsid w:val="00591C5E"/>
    <w:rsid w:val="00593D27"/>
    <w:rsid w:val="005966D5"/>
    <w:rsid w:val="0059754E"/>
    <w:rsid w:val="005A0693"/>
    <w:rsid w:val="005A0B4B"/>
    <w:rsid w:val="005A1155"/>
    <w:rsid w:val="005A2252"/>
    <w:rsid w:val="005A2829"/>
    <w:rsid w:val="005A344A"/>
    <w:rsid w:val="005A4FC1"/>
    <w:rsid w:val="005A7B4E"/>
    <w:rsid w:val="005A7D65"/>
    <w:rsid w:val="005B0E16"/>
    <w:rsid w:val="005B1D3D"/>
    <w:rsid w:val="005B4C51"/>
    <w:rsid w:val="005B5F4C"/>
    <w:rsid w:val="005B712D"/>
    <w:rsid w:val="005C0351"/>
    <w:rsid w:val="005C1812"/>
    <w:rsid w:val="005C336B"/>
    <w:rsid w:val="005C5FAC"/>
    <w:rsid w:val="005C7118"/>
    <w:rsid w:val="005C79EA"/>
    <w:rsid w:val="005C7AC5"/>
    <w:rsid w:val="005C7D66"/>
    <w:rsid w:val="005D0277"/>
    <w:rsid w:val="005D1972"/>
    <w:rsid w:val="005D1F2B"/>
    <w:rsid w:val="005D2E71"/>
    <w:rsid w:val="005D39B3"/>
    <w:rsid w:val="005D46A6"/>
    <w:rsid w:val="005D5C69"/>
    <w:rsid w:val="005D5F69"/>
    <w:rsid w:val="005E09EC"/>
    <w:rsid w:val="005E0DB6"/>
    <w:rsid w:val="005E1B9A"/>
    <w:rsid w:val="005E1BF2"/>
    <w:rsid w:val="005E2942"/>
    <w:rsid w:val="005E4B07"/>
    <w:rsid w:val="005E4F47"/>
    <w:rsid w:val="005E60C9"/>
    <w:rsid w:val="005F07D4"/>
    <w:rsid w:val="005F0B62"/>
    <w:rsid w:val="005F31E0"/>
    <w:rsid w:val="005F392D"/>
    <w:rsid w:val="005F59DA"/>
    <w:rsid w:val="005F5FF1"/>
    <w:rsid w:val="005F6C4D"/>
    <w:rsid w:val="00604688"/>
    <w:rsid w:val="00604714"/>
    <w:rsid w:val="0060511E"/>
    <w:rsid w:val="00606B8E"/>
    <w:rsid w:val="006079A4"/>
    <w:rsid w:val="00607C1F"/>
    <w:rsid w:val="006105CE"/>
    <w:rsid w:val="00613FDA"/>
    <w:rsid w:val="0061554B"/>
    <w:rsid w:val="00615789"/>
    <w:rsid w:val="00615A1B"/>
    <w:rsid w:val="006224C6"/>
    <w:rsid w:val="00623BD1"/>
    <w:rsid w:val="006272EE"/>
    <w:rsid w:val="006278F2"/>
    <w:rsid w:val="0063044A"/>
    <w:rsid w:val="00630487"/>
    <w:rsid w:val="00630D81"/>
    <w:rsid w:val="00634246"/>
    <w:rsid w:val="006345A1"/>
    <w:rsid w:val="00635A88"/>
    <w:rsid w:val="006360A8"/>
    <w:rsid w:val="0063650F"/>
    <w:rsid w:val="00636D91"/>
    <w:rsid w:val="00640AEA"/>
    <w:rsid w:val="006411D1"/>
    <w:rsid w:val="006429D9"/>
    <w:rsid w:val="0064355C"/>
    <w:rsid w:val="00643816"/>
    <w:rsid w:val="00644EDA"/>
    <w:rsid w:val="006452BF"/>
    <w:rsid w:val="00646C36"/>
    <w:rsid w:val="00647225"/>
    <w:rsid w:val="00647971"/>
    <w:rsid w:val="006517E4"/>
    <w:rsid w:val="00652210"/>
    <w:rsid w:val="006525DB"/>
    <w:rsid w:val="006525ED"/>
    <w:rsid w:val="00653573"/>
    <w:rsid w:val="006551E5"/>
    <w:rsid w:val="00655262"/>
    <w:rsid w:val="00655B7F"/>
    <w:rsid w:val="0065604A"/>
    <w:rsid w:val="006577C1"/>
    <w:rsid w:val="00663F76"/>
    <w:rsid w:val="006648D1"/>
    <w:rsid w:val="00664C04"/>
    <w:rsid w:val="00667FFA"/>
    <w:rsid w:val="00671742"/>
    <w:rsid w:val="00671BCC"/>
    <w:rsid w:val="00671D78"/>
    <w:rsid w:val="00672ADF"/>
    <w:rsid w:val="006740FC"/>
    <w:rsid w:val="00674A4A"/>
    <w:rsid w:val="00674EB0"/>
    <w:rsid w:val="00675AD6"/>
    <w:rsid w:val="006768BC"/>
    <w:rsid w:val="006810C1"/>
    <w:rsid w:val="00681DCC"/>
    <w:rsid w:val="0068264B"/>
    <w:rsid w:val="00683F8B"/>
    <w:rsid w:val="006850B5"/>
    <w:rsid w:val="006924E3"/>
    <w:rsid w:val="00694881"/>
    <w:rsid w:val="006A3CB7"/>
    <w:rsid w:val="006A47C8"/>
    <w:rsid w:val="006A4AAA"/>
    <w:rsid w:val="006A4D40"/>
    <w:rsid w:val="006A4E88"/>
    <w:rsid w:val="006A7113"/>
    <w:rsid w:val="006A7131"/>
    <w:rsid w:val="006A748C"/>
    <w:rsid w:val="006A7E06"/>
    <w:rsid w:val="006B0E0E"/>
    <w:rsid w:val="006B1083"/>
    <w:rsid w:val="006B1295"/>
    <w:rsid w:val="006B1956"/>
    <w:rsid w:val="006B269D"/>
    <w:rsid w:val="006B3D15"/>
    <w:rsid w:val="006B3E23"/>
    <w:rsid w:val="006B48A7"/>
    <w:rsid w:val="006B62A5"/>
    <w:rsid w:val="006B6F53"/>
    <w:rsid w:val="006B6FAD"/>
    <w:rsid w:val="006C0564"/>
    <w:rsid w:val="006C2153"/>
    <w:rsid w:val="006C2193"/>
    <w:rsid w:val="006C30DB"/>
    <w:rsid w:val="006C3D9C"/>
    <w:rsid w:val="006C3F6C"/>
    <w:rsid w:val="006C41F9"/>
    <w:rsid w:val="006C7341"/>
    <w:rsid w:val="006C7BA1"/>
    <w:rsid w:val="006D17DD"/>
    <w:rsid w:val="006D2225"/>
    <w:rsid w:val="006D41A5"/>
    <w:rsid w:val="006D6962"/>
    <w:rsid w:val="006D6F75"/>
    <w:rsid w:val="006E1273"/>
    <w:rsid w:val="006E149C"/>
    <w:rsid w:val="006E1B6C"/>
    <w:rsid w:val="006E2126"/>
    <w:rsid w:val="006E3A86"/>
    <w:rsid w:val="006E4866"/>
    <w:rsid w:val="006E5C39"/>
    <w:rsid w:val="006E5F72"/>
    <w:rsid w:val="006E7140"/>
    <w:rsid w:val="006F1425"/>
    <w:rsid w:val="006F2E6C"/>
    <w:rsid w:val="006F3C13"/>
    <w:rsid w:val="006F4CA7"/>
    <w:rsid w:val="00700FA6"/>
    <w:rsid w:val="00701255"/>
    <w:rsid w:val="007031FE"/>
    <w:rsid w:val="007050CC"/>
    <w:rsid w:val="00705412"/>
    <w:rsid w:val="00707817"/>
    <w:rsid w:val="0071172A"/>
    <w:rsid w:val="0071483D"/>
    <w:rsid w:val="00721814"/>
    <w:rsid w:val="00724E27"/>
    <w:rsid w:val="00727E99"/>
    <w:rsid w:val="00730DD3"/>
    <w:rsid w:val="00733CA8"/>
    <w:rsid w:val="007353C5"/>
    <w:rsid w:val="0074048E"/>
    <w:rsid w:val="007409CA"/>
    <w:rsid w:val="007441A0"/>
    <w:rsid w:val="007470F3"/>
    <w:rsid w:val="007473AD"/>
    <w:rsid w:val="0074755C"/>
    <w:rsid w:val="00751E8D"/>
    <w:rsid w:val="00754DBD"/>
    <w:rsid w:val="007552AC"/>
    <w:rsid w:val="007555EE"/>
    <w:rsid w:val="007571A9"/>
    <w:rsid w:val="00760488"/>
    <w:rsid w:val="00760F74"/>
    <w:rsid w:val="0076266E"/>
    <w:rsid w:val="007629C7"/>
    <w:rsid w:val="00763FD0"/>
    <w:rsid w:val="00764115"/>
    <w:rsid w:val="007660DA"/>
    <w:rsid w:val="00777852"/>
    <w:rsid w:val="00780F8B"/>
    <w:rsid w:val="00782259"/>
    <w:rsid w:val="007825B6"/>
    <w:rsid w:val="00783F68"/>
    <w:rsid w:val="00786B65"/>
    <w:rsid w:val="00786F60"/>
    <w:rsid w:val="00790591"/>
    <w:rsid w:val="007922D5"/>
    <w:rsid w:val="007926AD"/>
    <w:rsid w:val="00795C88"/>
    <w:rsid w:val="007963B5"/>
    <w:rsid w:val="00797EFA"/>
    <w:rsid w:val="007A085A"/>
    <w:rsid w:val="007A286A"/>
    <w:rsid w:val="007A4FD8"/>
    <w:rsid w:val="007A6E62"/>
    <w:rsid w:val="007B2369"/>
    <w:rsid w:val="007B3457"/>
    <w:rsid w:val="007B5DCA"/>
    <w:rsid w:val="007B60D7"/>
    <w:rsid w:val="007B77FF"/>
    <w:rsid w:val="007B79BA"/>
    <w:rsid w:val="007C127C"/>
    <w:rsid w:val="007C135C"/>
    <w:rsid w:val="007C17D3"/>
    <w:rsid w:val="007C2D4B"/>
    <w:rsid w:val="007C318A"/>
    <w:rsid w:val="007C3AAE"/>
    <w:rsid w:val="007C5563"/>
    <w:rsid w:val="007C68A7"/>
    <w:rsid w:val="007C6A59"/>
    <w:rsid w:val="007C6B2F"/>
    <w:rsid w:val="007D111D"/>
    <w:rsid w:val="007D1AD6"/>
    <w:rsid w:val="007D2DE2"/>
    <w:rsid w:val="007D3028"/>
    <w:rsid w:val="007D30D3"/>
    <w:rsid w:val="007D3D64"/>
    <w:rsid w:val="007D41EB"/>
    <w:rsid w:val="007D5223"/>
    <w:rsid w:val="007D636A"/>
    <w:rsid w:val="007D64E0"/>
    <w:rsid w:val="007D7BE0"/>
    <w:rsid w:val="007D7C5D"/>
    <w:rsid w:val="007E2299"/>
    <w:rsid w:val="007E3956"/>
    <w:rsid w:val="007E4FD4"/>
    <w:rsid w:val="007E5596"/>
    <w:rsid w:val="007E7EB3"/>
    <w:rsid w:val="007F040B"/>
    <w:rsid w:val="007F3941"/>
    <w:rsid w:val="007F5164"/>
    <w:rsid w:val="007F6F67"/>
    <w:rsid w:val="007F75E4"/>
    <w:rsid w:val="0080631E"/>
    <w:rsid w:val="00807115"/>
    <w:rsid w:val="008071DE"/>
    <w:rsid w:val="008112BF"/>
    <w:rsid w:val="00811850"/>
    <w:rsid w:val="008131D6"/>
    <w:rsid w:val="00815C3E"/>
    <w:rsid w:val="008334CC"/>
    <w:rsid w:val="00833EF4"/>
    <w:rsid w:val="0083549C"/>
    <w:rsid w:val="00835548"/>
    <w:rsid w:val="0083589A"/>
    <w:rsid w:val="0084101F"/>
    <w:rsid w:val="00843B4A"/>
    <w:rsid w:val="00845797"/>
    <w:rsid w:val="008462D3"/>
    <w:rsid w:val="0085297B"/>
    <w:rsid w:val="008540DB"/>
    <w:rsid w:val="0085657E"/>
    <w:rsid w:val="0085661C"/>
    <w:rsid w:val="0085736C"/>
    <w:rsid w:val="00861A2F"/>
    <w:rsid w:val="00861E31"/>
    <w:rsid w:val="00867836"/>
    <w:rsid w:val="00867A9E"/>
    <w:rsid w:val="00871167"/>
    <w:rsid w:val="0087156F"/>
    <w:rsid w:val="008719BE"/>
    <w:rsid w:val="008728C6"/>
    <w:rsid w:val="00874113"/>
    <w:rsid w:val="008804F5"/>
    <w:rsid w:val="00880CCA"/>
    <w:rsid w:val="00881F99"/>
    <w:rsid w:val="008847D9"/>
    <w:rsid w:val="00887689"/>
    <w:rsid w:val="008909F5"/>
    <w:rsid w:val="008916FF"/>
    <w:rsid w:val="008919A6"/>
    <w:rsid w:val="00893249"/>
    <w:rsid w:val="00893CC1"/>
    <w:rsid w:val="008946E4"/>
    <w:rsid w:val="008972C7"/>
    <w:rsid w:val="008A1B37"/>
    <w:rsid w:val="008A2EBC"/>
    <w:rsid w:val="008A32DD"/>
    <w:rsid w:val="008A4340"/>
    <w:rsid w:val="008A45B8"/>
    <w:rsid w:val="008A67FE"/>
    <w:rsid w:val="008A6C54"/>
    <w:rsid w:val="008A7294"/>
    <w:rsid w:val="008A7EBB"/>
    <w:rsid w:val="008B036E"/>
    <w:rsid w:val="008B0709"/>
    <w:rsid w:val="008B1C2F"/>
    <w:rsid w:val="008B243B"/>
    <w:rsid w:val="008B2633"/>
    <w:rsid w:val="008B63FF"/>
    <w:rsid w:val="008B6DDF"/>
    <w:rsid w:val="008C4D65"/>
    <w:rsid w:val="008C516E"/>
    <w:rsid w:val="008C6EE1"/>
    <w:rsid w:val="008D0EF4"/>
    <w:rsid w:val="008D4A10"/>
    <w:rsid w:val="008D4ECF"/>
    <w:rsid w:val="008D63CD"/>
    <w:rsid w:val="008E048C"/>
    <w:rsid w:val="008E08DA"/>
    <w:rsid w:val="008E1137"/>
    <w:rsid w:val="008E11A4"/>
    <w:rsid w:val="008F1191"/>
    <w:rsid w:val="008F1A45"/>
    <w:rsid w:val="008F4222"/>
    <w:rsid w:val="008F6AC8"/>
    <w:rsid w:val="008F6BA2"/>
    <w:rsid w:val="008F7CA2"/>
    <w:rsid w:val="009005E0"/>
    <w:rsid w:val="0090093C"/>
    <w:rsid w:val="00900A9E"/>
    <w:rsid w:val="00902E29"/>
    <w:rsid w:val="00903269"/>
    <w:rsid w:val="00903CB8"/>
    <w:rsid w:val="00904081"/>
    <w:rsid w:val="0090437E"/>
    <w:rsid w:val="00906998"/>
    <w:rsid w:val="0090722F"/>
    <w:rsid w:val="00907760"/>
    <w:rsid w:val="00907A5B"/>
    <w:rsid w:val="00907A72"/>
    <w:rsid w:val="00912510"/>
    <w:rsid w:val="009138E1"/>
    <w:rsid w:val="009164CD"/>
    <w:rsid w:val="00922E12"/>
    <w:rsid w:val="00925931"/>
    <w:rsid w:val="0093074F"/>
    <w:rsid w:val="009307D4"/>
    <w:rsid w:val="00930CBD"/>
    <w:rsid w:val="00932107"/>
    <w:rsid w:val="00932228"/>
    <w:rsid w:val="0093241B"/>
    <w:rsid w:val="00935E18"/>
    <w:rsid w:val="00937754"/>
    <w:rsid w:val="00941693"/>
    <w:rsid w:val="00942345"/>
    <w:rsid w:val="00942400"/>
    <w:rsid w:val="00943E71"/>
    <w:rsid w:val="00945B80"/>
    <w:rsid w:val="009502FE"/>
    <w:rsid w:val="00950B07"/>
    <w:rsid w:val="009531DB"/>
    <w:rsid w:val="00954C94"/>
    <w:rsid w:val="00955C3B"/>
    <w:rsid w:val="00955DA4"/>
    <w:rsid w:val="00956682"/>
    <w:rsid w:val="00960482"/>
    <w:rsid w:val="009613F6"/>
    <w:rsid w:val="0096260C"/>
    <w:rsid w:val="00962AD7"/>
    <w:rsid w:val="00963797"/>
    <w:rsid w:val="0096390E"/>
    <w:rsid w:val="009651EF"/>
    <w:rsid w:val="00967E2B"/>
    <w:rsid w:val="00971FED"/>
    <w:rsid w:val="009755D6"/>
    <w:rsid w:val="00975926"/>
    <w:rsid w:val="0097597F"/>
    <w:rsid w:val="0097638D"/>
    <w:rsid w:val="0097755E"/>
    <w:rsid w:val="00980F3E"/>
    <w:rsid w:val="009823A3"/>
    <w:rsid w:val="00982437"/>
    <w:rsid w:val="00990BAE"/>
    <w:rsid w:val="00991E36"/>
    <w:rsid w:val="00992398"/>
    <w:rsid w:val="00992665"/>
    <w:rsid w:val="009956E5"/>
    <w:rsid w:val="00996A35"/>
    <w:rsid w:val="0099721C"/>
    <w:rsid w:val="009A0403"/>
    <w:rsid w:val="009A0808"/>
    <w:rsid w:val="009A08DD"/>
    <w:rsid w:val="009A12E9"/>
    <w:rsid w:val="009A14ED"/>
    <w:rsid w:val="009A2D15"/>
    <w:rsid w:val="009A47C2"/>
    <w:rsid w:val="009A4BB9"/>
    <w:rsid w:val="009A502F"/>
    <w:rsid w:val="009A63FE"/>
    <w:rsid w:val="009B1ED8"/>
    <w:rsid w:val="009B47E8"/>
    <w:rsid w:val="009B74CC"/>
    <w:rsid w:val="009C057D"/>
    <w:rsid w:val="009C2C3A"/>
    <w:rsid w:val="009C2F59"/>
    <w:rsid w:val="009C4245"/>
    <w:rsid w:val="009C6A5C"/>
    <w:rsid w:val="009D05BF"/>
    <w:rsid w:val="009D0D02"/>
    <w:rsid w:val="009D77DF"/>
    <w:rsid w:val="009E0B65"/>
    <w:rsid w:val="009E1A82"/>
    <w:rsid w:val="009E26B6"/>
    <w:rsid w:val="009E33C5"/>
    <w:rsid w:val="009E3D0F"/>
    <w:rsid w:val="009E42BB"/>
    <w:rsid w:val="009E641E"/>
    <w:rsid w:val="009E6DB0"/>
    <w:rsid w:val="009E7EF0"/>
    <w:rsid w:val="009F0FB5"/>
    <w:rsid w:val="009F1A6F"/>
    <w:rsid w:val="009F2517"/>
    <w:rsid w:val="009F450F"/>
    <w:rsid w:val="009F591B"/>
    <w:rsid w:val="009F6C18"/>
    <w:rsid w:val="009F7203"/>
    <w:rsid w:val="009F7528"/>
    <w:rsid w:val="00A0096F"/>
    <w:rsid w:val="00A03EB7"/>
    <w:rsid w:val="00A07F9C"/>
    <w:rsid w:val="00A10270"/>
    <w:rsid w:val="00A107E9"/>
    <w:rsid w:val="00A13EE6"/>
    <w:rsid w:val="00A164D6"/>
    <w:rsid w:val="00A1793E"/>
    <w:rsid w:val="00A2001C"/>
    <w:rsid w:val="00A20652"/>
    <w:rsid w:val="00A20A15"/>
    <w:rsid w:val="00A2387C"/>
    <w:rsid w:val="00A24967"/>
    <w:rsid w:val="00A26AA6"/>
    <w:rsid w:val="00A32DB5"/>
    <w:rsid w:val="00A34546"/>
    <w:rsid w:val="00A4015E"/>
    <w:rsid w:val="00A40884"/>
    <w:rsid w:val="00A44F76"/>
    <w:rsid w:val="00A4567D"/>
    <w:rsid w:val="00A47DFA"/>
    <w:rsid w:val="00A50352"/>
    <w:rsid w:val="00A561D6"/>
    <w:rsid w:val="00A56303"/>
    <w:rsid w:val="00A6386A"/>
    <w:rsid w:val="00A67FF8"/>
    <w:rsid w:val="00A7081E"/>
    <w:rsid w:val="00A72537"/>
    <w:rsid w:val="00A72878"/>
    <w:rsid w:val="00A72C77"/>
    <w:rsid w:val="00A73E10"/>
    <w:rsid w:val="00A745C7"/>
    <w:rsid w:val="00A753F6"/>
    <w:rsid w:val="00A8067F"/>
    <w:rsid w:val="00A81DF4"/>
    <w:rsid w:val="00A81EC8"/>
    <w:rsid w:val="00A82A9C"/>
    <w:rsid w:val="00A837BB"/>
    <w:rsid w:val="00A84C8F"/>
    <w:rsid w:val="00A87B74"/>
    <w:rsid w:val="00A90A65"/>
    <w:rsid w:val="00A91B62"/>
    <w:rsid w:val="00A91D45"/>
    <w:rsid w:val="00A92592"/>
    <w:rsid w:val="00A9296C"/>
    <w:rsid w:val="00A96311"/>
    <w:rsid w:val="00A97497"/>
    <w:rsid w:val="00AB153B"/>
    <w:rsid w:val="00AB4C4A"/>
    <w:rsid w:val="00AB65FD"/>
    <w:rsid w:val="00AC0689"/>
    <w:rsid w:val="00AC4B4F"/>
    <w:rsid w:val="00AD0903"/>
    <w:rsid w:val="00AD1E20"/>
    <w:rsid w:val="00AD216D"/>
    <w:rsid w:val="00AD3060"/>
    <w:rsid w:val="00AD3079"/>
    <w:rsid w:val="00AD375D"/>
    <w:rsid w:val="00AD392F"/>
    <w:rsid w:val="00AD4FEC"/>
    <w:rsid w:val="00AE0FEF"/>
    <w:rsid w:val="00AE2EDA"/>
    <w:rsid w:val="00AE399D"/>
    <w:rsid w:val="00AE4EEF"/>
    <w:rsid w:val="00AE5C9D"/>
    <w:rsid w:val="00AE6298"/>
    <w:rsid w:val="00AF072A"/>
    <w:rsid w:val="00AF0DE2"/>
    <w:rsid w:val="00AF1560"/>
    <w:rsid w:val="00AF1BA9"/>
    <w:rsid w:val="00AF4901"/>
    <w:rsid w:val="00AF5180"/>
    <w:rsid w:val="00AF71C1"/>
    <w:rsid w:val="00AF7860"/>
    <w:rsid w:val="00B011AB"/>
    <w:rsid w:val="00B019C4"/>
    <w:rsid w:val="00B04518"/>
    <w:rsid w:val="00B053A1"/>
    <w:rsid w:val="00B063EB"/>
    <w:rsid w:val="00B074A9"/>
    <w:rsid w:val="00B07748"/>
    <w:rsid w:val="00B11C91"/>
    <w:rsid w:val="00B215EC"/>
    <w:rsid w:val="00B24628"/>
    <w:rsid w:val="00B24D7B"/>
    <w:rsid w:val="00B30305"/>
    <w:rsid w:val="00B32B75"/>
    <w:rsid w:val="00B365F8"/>
    <w:rsid w:val="00B3694C"/>
    <w:rsid w:val="00B43F55"/>
    <w:rsid w:val="00B46B8F"/>
    <w:rsid w:val="00B51D93"/>
    <w:rsid w:val="00B52500"/>
    <w:rsid w:val="00B52FA7"/>
    <w:rsid w:val="00B53820"/>
    <w:rsid w:val="00B54F32"/>
    <w:rsid w:val="00B55DCF"/>
    <w:rsid w:val="00B55E8E"/>
    <w:rsid w:val="00B57CD2"/>
    <w:rsid w:val="00B57DC6"/>
    <w:rsid w:val="00B60BA6"/>
    <w:rsid w:val="00B64706"/>
    <w:rsid w:val="00B64743"/>
    <w:rsid w:val="00B67270"/>
    <w:rsid w:val="00B701E0"/>
    <w:rsid w:val="00B71B2C"/>
    <w:rsid w:val="00B7200C"/>
    <w:rsid w:val="00B739D8"/>
    <w:rsid w:val="00B7531B"/>
    <w:rsid w:val="00B7713B"/>
    <w:rsid w:val="00B82D12"/>
    <w:rsid w:val="00B8799D"/>
    <w:rsid w:val="00B91DDE"/>
    <w:rsid w:val="00B92E02"/>
    <w:rsid w:val="00B94AC1"/>
    <w:rsid w:val="00B95714"/>
    <w:rsid w:val="00B96D91"/>
    <w:rsid w:val="00BA2990"/>
    <w:rsid w:val="00BA2AE3"/>
    <w:rsid w:val="00BA2FCE"/>
    <w:rsid w:val="00BA3FB1"/>
    <w:rsid w:val="00BA7D9C"/>
    <w:rsid w:val="00BB150C"/>
    <w:rsid w:val="00BB2D28"/>
    <w:rsid w:val="00BB448A"/>
    <w:rsid w:val="00BB77CA"/>
    <w:rsid w:val="00BC12A3"/>
    <w:rsid w:val="00BC384E"/>
    <w:rsid w:val="00BC3BEA"/>
    <w:rsid w:val="00BD394F"/>
    <w:rsid w:val="00BD3A52"/>
    <w:rsid w:val="00BD48F4"/>
    <w:rsid w:val="00BD5EFA"/>
    <w:rsid w:val="00BE677B"/>
    <w:rsid w:val="00BE72D5"/>
    <w:rsid w:val="00BE7412"/>
    <w:rsid w:val="00BF3DA8"/>
    <w:rsid w:val="00BF4D5B"/>
    <w:rsid w:val="00BF4F59"/>
    <w:rsid w:val="00BF5CE7"/>
    <w:rsid w:val="00BF7A6D"/>
    <w:rsid w:val="00C00556"/>
    <w:rsid w:val="00C02B8F"/>
    <w:rsid w:val="00C032D6"/>
    <w:rsid w:val="00C04BD2"/>
    <w:rsid w:val="00C067D9"/>
    <w:rsid w:val="00C06FF8"/>
    <w:rsid w:val="00C11D22"/>
    <w:rsid w:val="00C16A2D"/>
    <w:rsid w:val="00C16A8D"/>
    <w:rsid w:val="00C214DA"/>
    <w:rsid w:val="00C21578"/>
    <w:rsid w:val="00C24717"/>
    <w:rsid w:val="00C30319"/>
    <w:rsid w:val="00C31904"/>
    <w:rsid w:val="00C3350A"/>
    <w:rsid w:val="00C342DD"/>
    <w:rsid w:val="00C34A1E"/>
    <w:rsid w:val="00C351C0"/>
    <w:rsid w:val="00C35EA4"/>
    <w:rsid w:val="00C374CB"/>
    <w:rsid w:val="00C3754C"/>
    <w:rsid w:val="00C37B1D"/>
    <w:rsid w:val="00C4056C"/>
    <w:rsid w:val="00C41801"/>
    <w:rsid w:val="00C42D1E"/>
    <w:rsid w:val="00C43618"/>
    <w:rsid w:val="00C4408F"/>
    <w:rsid w:val="00C454A1"/>
    <w:rsid w:val="00C4645D"/>
    <w:rsid w:val="00C50540"/>
    <w:rsid w:val="00C525A0"/>
    <w:rsid w:val="00C52E05"/>
    <w:rsid w:val="00C5440C"/>
    <w:rsid w:val="00C55B27"/>
    <w:rsid w:val="00C56B8F"/>
    <w:rsid w:val="00C6048A"/>
    <w:rsid w:val="00C6069C"/>
    <w:rsid w:val="00C61267"/>
    <w:rsid w:val="00C62172"/>
    <w:rsid w:val="00C62249"/>
    <w:rsid w:val="00C627A8"/>
    <w:rsid w:val="00C63027"/>
    <w:rsid w:val="00C63BC5"/>
    <w:rsid w:val="00C63C4B"/>
    <w:rsid w:val="00C6556C"/>
    <w:rsid w:val="00C65C45"/>
    <w:rsid w:val="00C66EC4"/>
    <w:rsid w:val="00C71FED"/>
    <w:rsid w:val="00C7379E"/>
    <w:rsid w:val="00C76AF4"/>
    <w:rsid w:val="00C81F63"/>
    <w:rsid w:val="00C87481"/>
    <w:rsid w:val="00C87DC3"/>
    <w:rsid w:val="00C90AEB"/>
    <w:rsid w:val="00C913AB"/>
    <w:rsid w:val="00C91726"/>
    <w:rsid w:val="00C92317"/>
    <w:rsid w:val="00C954E9"/>
    <w:rsid w:val="00C975D0"/>
    <w:rsid w:val="00CA0054"/>
    <w:rsid w:val="00CA1B6D"/>
    <w:rsid w:val="00CA27B6"/>
    <w:rsid w:val="00CA2BF1"/>
    <w:rsid w:val="00CA32C6"/>
    <w:rsid w:val="00CA4732"/>
    <w:rsid w:val="00CA58FE"/>
    <w:rsid w:val="00CA6F13"/>
    <w:rsid w:val="00CB0B03"/>
    <w:rsid w:val="00CB0DFC"/>
    <w:rsid w:val="00CB0FEC"/>
    <w:rsid w:val="00CB470D"/>
    <w:rsid w:val="00CB5643"/>
    <w:rsid w:val="00CB6DE7"/>
    <w:rsid w:val="00CB7453"/>
    <w:rsid w:val="00CC0049"/>
    <w:rsid w:val="00CC1265"/>
    <w:rsid w:val="00CC3364"/>
    <w:rsid w:val="00CC3FAF"/>
    <w:rsid w:val="00CC4A4C"/>
    <w:rsid w:val="00CC53E8"/>
    <w:rsid w:val="00CD1CAE"/>
    <w:rsid w:val="00CD3045"/>
    <w:rsid w:val="00CD4502"/>
    <w:rsid w:val="00CE03CC"/>
    <w:rsid w:val="00CE137E"/>
    <w:rsid w:val="00CE1DDD"/>
    <w:rsid w:val="00CE2374"/>
    <w:rsid w:val="00CE2D74"/>
    <w:rsid w:val="00CE44D2"/>
    <w:rsid w:val="00CF085D"/>
    <w:rsid w:val="00CF24B9"/>
    <w:rsid w:val="00CF2AF5"/>
    <w:rsid w:val="00CF463F"/>
    <w:rsid w:val="00D00DA9"/>
    <w:rsid w:val="00D00F70"/>
    <w:rsid w:val="00D0104F"/>
    <w:rsid w:val="00D0395E"/>
    <w:rsid w:val="00D03AB6"/>
    <w:rsid w:val="00D04224"/>
    <w:rsid w:val="00D04BFC"/>
    <w:rsid w:val="00D05395"/>
    <w:rsid w:val="00D10325"/>
    <w:rsid w:val="00D10E97"/>
    <w:rsid w:val="00D10F9C"/>
    <w:rsid w:val="00D14DCE"/>
    <w:rsid w:val="00D159DA"/>
    <w:rsid w:val="00D1654F"/>
    <w:rsid w:val="00D16947"/>
    <w:rsid w:val="00D17527"/>
    <w:rsid w:val="00D20A6D"/>
    <w:rsid w:val="00D2389A"/>
    <w:rsid w:val="00D23C2A"/>
    <w:rsid w:val="00D23E91"/>
    <w:rsid w:val="00D257D0"/>
    <w:rsid w:val="00D308DB"/>
    <w:rsid w:val="00D30E8A"/>
    <w:rsid w:val="00D3195A"/>
    <w:rsid w:val="00D3273E"/>
    <w:rsid w:val="00D3416F"/>
    <w:rsid w:val="00D37515"/>
    <w:rsid w:val="00D405D1"/>
    <w:rsid w:val="00D405DC"/>
    <w:rsid w:val="00D41CA5"/>
    <w:rsid w:val="00D42076"/>
    <w:rsid w:val="00D42D52"/>
    <w:rsid w:val="00D50771"/>
    <w:rsid w:val="00D525DF"/>
    <w:rsid w:val="00D532C8"/>
    <w:rsid w:val="00D541D8"/>
    <w:rsid w:val="00D5439B"/>
    <w:rsid w:val="00D54AFD"/>
    <w:rsid w:val="00D559A4"/>
    <w:rsid w:val="00D55DB8"/>
    <w:rsid w:val="00D56034"/>
    <w:rsid w:val="00D5652A"/>
    <w:rsid w:val="00D5678D"/>
    <w:rsid w:val="00D56AFF"/>
    <w:rsid w:val="00D56E57"/>
    <w:rsid w:val="00D57732"/>
    <w:rsid w:val="00D619CB"/>
    <w:rsid w:val="00D62D5B"/>
    <w:rsid w:val="00D67758"/>
    <w:rsid w:val="00D71226"/>
    <w:rsid w:val="00D750A0"/>
    <w:rsid w:val="00D8079D"/>
    <w:rsid w:val="00D82F7E"/>
    <w:rsid w:val="00D836EF"/>
    <w:rsid w:val="00D91E59"/>
    <w:rsid w:val="00D922CB"/>
    <w:rsid w:val="00D9326E"/>
    <w:rsid w:val="00D93AFB"/>
    <w:rsid w:val="00D94606"/>
    <w:rsid w:val="00D94B6F"/>
    <w:rsid w:val="00DA0CFF"/>
    <w:rsid w:val="00DA198D"/>
    <w:rsid w:val="00DA3EC0"/>
    <w:rsid w:val="00DA4A02"/>
    <w:rsid w:val="00DA65A6"/>
    <w:rsid w:val="00DA741E"/>
    <w:rsid w:val="00DA7932"/>
    <w:rsid w:val="00DA7DD1"/>
    <w:rsid w:val="00DB44D6"/>
    <w:rsid w:val="00DC118E"/>
    <w:rsid w:val="00DC15D9"/>
    <w:rsid w:val="00DC1F13"/>
    <w:rsid w:val="00DC20FE"/>
    <w:rsid w:val="00DC2C0E"/>
    <w:rsid w:val="00DC4D27"/>
    <w:rsid w:val="00DC6073"/>
    <w:rsid w:val="00DC61BE"/>
    <w:rsid w:val="00DC6B9A"/>
    <w:rsid w:val="00DD4759"/>
    <w:rsid w:val="00DD54D5"/>
    <w:rsid w:val="00DD567B"/>
    <w:rsid w:val="00DD614B"/>
    <w:rsid w:val="00DE0766"/>
    <w:rsid w:val="00DE10BF"/>
    <w:rsid w:val="00DE3392"/>
    <w:rsid w:val="00DE3D35"/>
    <w:rsid w:val="00DE554B"/>
    <w:rsid w:val="00DF0033"/>
    <w:rsid w:val="00DF208E"/>
    <w:rsid w:val="00DF26DD"/>
    <w:rsid w:val="00DF51EC"/>
    <w:rsid w:val="00DF59B6"/>
    <w:rsid w:val="00DF6CBB"/>
    <w:rsid w:val="00DF6D17"/>
    <w:rsid w:val="00DF7208"/>
    <w:rsid w:val="00E01393"/>
    <w:rsid w:val="00E0161A"/>
    <w:rsid w:val="00E045EE"/>
    <w:rsid w:val="00E04D0D"/>
    <w:rsid w:val="00E06E5E"/>
    <w:rsid w:val="00E074D8"/>
    <w:rsid w:val="00E101F1"/>
    <w:rsid w:val="00E114B6"/>
    <w:rsid w:val="00E14295"/>
    <w:rsid w:val="00E14E3E"/>
    <w:rsid w:val="00E171FE"/>
    <w:rsid w:val="00E210D8"/>
    <w:rsid w:val="00E2288A"/>
    <w:rsid w:val="00E22924"/>
    <w:rsid w:val="00E22A11"/>
    <w:rsid w:val="00E24A52"/>
    <w:rsid w:val="00E24CA7"/>
    <w:rsid w:val="00E30A27"/>
    <w:rsid w:val="00E31233"/>
    <w:rsid w:val="00E31863"/>
    <w:rsid w:val="00E32672"/>
    <w:rsid w:val="00E34312"/>
    <w:rsid w:val="00E35A6B"/>
    <w:rsid w:val="00E35B97"/>
    <w:rsid w:val="00E363A9"/>
    <w:rsid w:val="00E36588"/>
    <w:rsid w:val="00E41A2C"/>
    <w:rsid w:val="00E430C0"/>
    <w:rsid w:val="00E43339"/>
    <w:rsid w:val="00E449BA"/>
    <w:rsid w:val="00E5127C"/>
    <w:rsid w:val="00E52A70"/>
    <w:rsid w:val="00E5741F"/>
    <w:rsid w:val="00E61BEB"/>
    <w:rsid w:val="00E637F1"/>
    <w:rsid w:val="00E6444C"/>
    <w:rsid w:val="00E65488"/>
    <w:rsid w:val="00E65D6B"/>
    <w:rsid w:val="00E726D7"/>
    <w:rsid w:val="00E74E15"/>
    <w:rsid w:val="00E76030"/>
    <w:rsid w:val="00E771FD"/>
    <w:rsid w:val="00E779AA"/>
    <w:rsid w:val="00E77CA9"/>
    <w:rsid w:val="00E80CFC"/>
    <w:rsid w:val="00E825C6"/>
    <w:rsid w:val="00E834A7"/>
    <w:rsid w:val="00E8461A"/>
    <w:rsid w:val="00E8680C"/>
    <w:rsid w:val="00E920C8"/>
    <w:rsid w:val="00E94F22"/>
    <w:rsid w:val="00E953A1"/>
    <w:rsid w:val="00E96700"/>
    <w:rsid w:val="00E978DC"/>
    <w:rsid w:val="00E97B34"/>
    <w:rsid w:val="00E97F45"/>
    <w:rsid w:val="00E97FBE"/>
    <w:rsid w:val="00EA0166"/>
    <w:rsid w:val="00EA026E"/>
    <w:rsid w:val="00EA09C5"/>
    <w:rsid w:val="00EA1032"/>
    <w:rsid w:val="00EA1491"/>
    <w:rsid w:val="00EA1822"/>
    <w:rsid w:val="00EA5BBE"/>
    <w:rsid w:val="00EA63C9"/>
    <w:rsid w:val="00EA726D"/>
    <w:rsid w:val="00EB00BF"/>
    <w:rsid w:val="00EB3EAB"/>
    <w:rsid w:val="00EB45D0"/>
    <w:rsid w:val="00EB648A"/>
    <w:rsid w:val="00EB650D"/>
    <w:rsid w:val="00EB66BF"/>
    <w:rsid w:val="00EB7393"/>
    <w:rsid w:val="00EC0F1C"/>
    <w:rsid w:val="00EC3DA0"/>
    <w:rsid w:val="00EC4551"/>
    <w:rsid w:val="00EC5E89"/>
    <w:rsid w:val="00EC6B16"/>
    <w:rsid w:val="00EC6C07"/>
    <w:rsid w:val="00EC761A"/>
    <w:rsid w:val="00EC7F36"/>
    <w:rsid w:val="00ED0092"/>
    <w:rsid w:val="00ED0843"/>
    <w:rsid w:val="00ED10CA"/>
    <w:rsid w:val="00ED2354"/>
    <w:rsid w:val="00ED37AF"/>
    <w:rsid w:val="00ED508E"/>
    <w:rsid w:val="00ED5BFF"/>
    <w:rsid w:val="00ED6AFF"/>
    <w:rsid w:val="00ED7057"/>
    <w:rsid w:val="00EE060F"/>
    <w:rsid w:val="00EE0BE2"/>
    <w:rsid w:val="00EE2A37"/>
    <w:rsid w:val="00EF1C4C"/>
    <w:rsid w:val="00EF5989"/>
    <w:rsid w:val="00EF730C"/>
    <w:rsid w:val="00F00D28"/>
    <w:rsid w:val="00F00F34"/>
    <w:rsid w:val="00F0188C"/>
    <w:rsid w:val="00F019F1"/>
    <w:rsid w:val="00F0223A"/>
    <w:rsid w:val="00F04D66"/>
    <w:rsid w:val="00F056D9"/>
    <w:rsid w:val="00F06DD2"/>
    <w:rsid w:val="00F13F22"/>
    <w:rsid w:val="00F14F36"/>
    <w:rsid w:val="00F16995"/>
    <w:rsid w:val="00F16AF2"/>
    <w:rsid w:val="00F16D5B"/>
    <w:rsid w:val="00F16DDA"/>
    <w:rsid w:val="00F20D66"/>
    <w:rsid w:val="00F20E8F"/>
    <w:rsid w:val="00F21AC9"/>
    <w:rsid w:val="00F22B99"/>
    <w:rsid w:val="00F233CD"/>
    <w:rsid w:val="00F24847"/>
    <w:rsid w:val="00F24A38"/>
    <w:rsid w:val="00F27A6D"/>
    <w:rsid w:val="00F302A0"/>
    <w:rsid w:val="00F3056E"/>
    <w:rsid w:val="00F306D9"/>
    <w:rsid w:val="00F35496"/>
    <w:rsid w:val="00F37419"/>
    <w:rsid w:val="00F40AD9"/>
    <w:rsid w:val="00F41554"/>
    <w:rsid w:val="00F47BC9"/>
    <w:rsid w:val="00F50CA8"/>
    <w:rsid w:val="00F5175E"/>
    <w:rsid w:val="00F52DED"/>
    <w:rsid w:val="00F54A82"/>
    <w:rsid w:val="00F54DCF"/>
    <w:rsid w:val="00F5523A"/>
    <w:rsid w:val="00F555A6"/>
    <w:rsid w:val="00F56460"/>
    <w:rsid w:val="00F56FF8"/>
    <w:rsid w:val="00F57875"/>
    <w:rsid w:val="00F62C4D"/>
    <w:rsid w:val="00F63CFD"/>
    <w:rsid w:val="00F656B2"/>
    <w:rsid w:val="00F658D4"/>
    <w:rsid w:val="00F65CEA"/>
    <w:rsid w:val="00F66F4A"/>
    <w:rsid w:val="00F67F45"/>
    <w:rsid w:val="00F7136B"/>
    <w:rsid w:val="00F7204C"/>
    <w:rsid w:val="00F75138"/>
    <w:rsid w:val="00F753CD"/>
    <w:rsid w:val="00F76A6D"/>
    <w:rsid w:val="00F81074"/>
    <w:rsid w:val="00F85B71"/>
    <w:rsid w:val="00F9229A"/>
    <w:rsid w:val="00F92FC1"/>
    <w:rsid w:val="00F93974"/>
    <w:rsid w:val="00F94E42"/>
    <w:rsid w:val="00F95CF3"/>
    <w:rsid w:val="00F9658A"/>
    <w:rsid w:val="00FA0051"/>
    <w:rsid w:val="00FA02BE"/>
    <w:rsid w:val="00FA262C"/>
    <w:rsid w:val="00FA307C"/>
    <w:rsid w:val="00FA3C7F"/>
    <w:rsid w:val="00FA596E"/>
    <w:rsid w:val="00FA79FB"/>
    <w:rsid w:val="00FB1BBD"/>
    <w:rsid w:val="00FB5658"/>
    <w:rsid w:val="00FB6BAF"/>
    <w:rsid w:val="00FC4451"/>
    <w:rsid w:val="00FC5C4E"/>
    <w:rsid w:val="00FD03A8"/>
    <w:rsid w:val="00FD0BA7"/>
    <w:rsid w:val="00FD19F5"/>
    <w:rsid w:val="00FD26CB"/>
    <w:rsid w:val="00FE0488"/>
    <w:rsid w:val="00FE260C"/>
    <w:rsid w:val="00FE68BA"/>
    <w:rsid w:val="00FF1A98"/>
    <w:rsid w:val="00FF1B53"/>
    <w:rsid w:val="00FF3A9C"/>
    <w:rsid w:val="00FF7D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C14A"/>
  <w15:docId w15:val="{C8975854-C83F-4F3A-8C76-FEB67ADD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aliases w:val="H11,H12,H13,H14,H111,H121,H15,H112,H122,H16,H113,H123,H17,H114,H124,H18,H115,H125,H19,H110,H116,H126,H117,H127,H118,H128,H131,H141,H1111,H1211,H151,H1121,H1221,H161,H1131,H1231,H171,H1141,H1241,H181,H1151,H1251,H191,H1101,H1161,H1261,H1171,H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eading 3 Char1 Char,Heading 3 Char Char Char,Section Header3 Char,Sub-Clause Paragraph Char,H3 Char,H31 Char,H32 Char,H33 Char,H311 Char,H321 Char,H34 Char,H312 Char,H322 Char,H35 Char,H313 Char,H323 Char,H36 Char,H37 Char,H3"/>
    <w:basedOn w:val="prastasis"/>
    <w:next w:val="prastasis"/>
    <w:link w:val="Antrat3Diagrama"/>
    <w:qFormat/>
    <w:rsid w:val="000744ED"/>
    <w:pPr>
      <w:keepNext/>
      <w:jc w:val="center"/>
      <w:outlineLvl w:val="2"/>
    </w:pPr>
    <w:rPr>
      <w:b/>
    </w:rPr>
  </w:style>
  <w:style w:type="paragraph" w:styleId="Antrat4">
    <w:name w:val="heading 4"/>
    <w:aliases w:val="Heading 4 Char Char Char Char,Sub-Clause Sub-paragraph, Sub-Clause Sub-paragraph"/>
    <w:basedOn w:val="prastasis"/>
    <w:next w:val="prastasis"/>
    <w:link w:val="Antrat4Diagrama"/>
    <w:qFormat/>
    <w:rsid w:val="009F6C18"/>
    <w:pPr>
      <w:keepNext/>
      <w:tabs>
        <w:tab w:val="num" w:pos="1584"/>
      </w:tabs>
      <w:ind w:left="1584" w:hanging="864"/>
      <w:jc w:val="left"/>
      <w:outlineLvl w:val="3"/>
    </w:pPr>
    <w:rPr>
      <w:b/>
      <w:sz w:val="44"/>
      <w:lang w:eastAsia="lt-LT"/>
    </w:rPr>
  </w:style>
  <w:style w:type="paragraph" w:styleId="Antrat5">
    <w:name w:val="heading 5"/>
    <w:basedOn w:val="prastasis"/>
    <w:next w:val="prastasis"/>
    <w:link w:val="Antrat5Diagrama"/>
    <w:qFormat/>
    <w:rsid w:val="009F6C18"/>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9F6C18"/>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9F6C18"/>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9F6C18"/>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9F6C18"/>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1 Diagrama,H12 Diagrama,H13 Diagrama,H14 Diagrama,H111 Diagrama,H121 Diagrama,H15 Diagrama,H112 Diagrama,H122 Diagrama,H16 Diagrama,H113 Diagrama,H123 Diagrama,H17 Diagrama,H114 Diagrama,H124 Diagrama,H18 Diagrama,H115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Heading 3 Char1 Char Diagrama,Heading 3 Char Char Char Diagrama,Section Header3 Char Diagrama,Sub-Clause Paragraph Char Diagrama,H3 Char Diagrama,H31 Char Diagrama,H32 Char Diagrama,H33 Char Diagrama,H311 Char Diagrama,H3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qFormat/>
    <w:rsid w:val="000744ED"/>
    <w:rPr>
      <w:rFonts w:ascii="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semiHidden/>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7"/>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D532C8"/>
    <w:rPr>
      <w:sz w:val="16"/>
      <w:szCs w:val="16"/>
    </w:rPr>
  </w:style>
  <w:style w:type="paragraph" w:styleId="Komentarotekstas">
    <w:name w:val="annotation text"/>
    <w:basedOn w:val="prastasis"/>
    <w:link w:val="KomentarotekstasDiagrama"/>
    <w:uiPriority w:val="99"/>
    <w:semiHidden/>
    <w:unhideWhenUsed/>
    <w:rsid w:val="00D532C8"/>
    <w:rPr>
      <w:sz w:val="20"/>
    </w:rPr>
  </w:style>
  <w:style w:type="character" w:customStyle="1" w:styleId="KomentarotekstasDiagrama">
    <w:name w:val="Komentaro tekstas Diagrama"/>
    <w:basedOn w:val="Numatytasispastraiposriftas"/>
    <w:link w:val="Komentarotekstas"/>
    <w:uiPriority w:val="99"/>
    <w:semiHidden/>
    <w:rsid w:val="00D532C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32C8"/>
    <w:rPr>
      <w:b/>
      <w:bCs/>
    </w:rPr>
  </w:style>
  <w:style w:type="character" w:customStyle="1" w:styleId="KomentarotemaDiagrama">
    <w:name w:val="Komentaro tema Diagrama"/>
    <w:basedOn w:val="KomentarotekstasDiagrama"/>
    <w:link w:val="Komentarotema"/>
    <w:uiPriority w:val="99"/>
    <w:semiHidden/>
    <w:rsid w:val="00D532C8"/>
    <w:rPr>
      <w:rFonts w:ascii="Times New Roman" w:hAnsi="Times New Roman" w:cs="Times New Roman"/>
      <w:b/>
      <w:bCs/>
      <w:sz w:val="20"/>
      <w:szCs w:val="20"/>
    </w:rPr>
  </w:style>
  <w:style w:type="character" w:customStyle="1" w:styleId="FontStyle77">
    <w:name w:val="Font Style77"/>
    <w:rsid w:val="005D5F69"/>
    <w:rPr>
      <w:rFonts w:ascii="Times New Roman" w:hAnsi="Times New Roman" w:cs="Times New Roman"/>
      <w:sz w:val="22"/>
      <w:szCs w:val="22"/>
    </w:rPr>
  </w:style>
  <w:style w:type="paragraph" w:customStyle="1" w:styleId="TEKSTAS">
    <w:name w:val="TEKSTAS *****"/>
    <w:basedOn w:val="prastasis"/>
    <w:link w:val="TEKSTASDiagrama0"/>
    <w:autoRedefine/>
    <w:qFormat/>
    <w:rsid w:val="00D525DF"/>
    <w:pPr>
      <w:numPr>
        <w:ilvl w:val="1"/>
        <w:numId w:val="8"/>
      </w:numPr>
      <w:tabs>
        <w:tab w:val="left" w:pos="426"/>
        <w:tab w:val="left" w:pos="567"/>
      </w:tabs>
      <w:autoSpaceDE w:val="0"/>
      <w:autoSpaceDN w:val="0"/>
      <w:adjustRightInd w:val="0"/>
      <w:spacing w:line="264" w:lineRule="auto"/>
      <w:ind w:left="0" w:firstLine="0"/>
    </w:pPr>
    <w:rPr>
      <w:sz w:val="22"/>
      <w:szCs w:val="22"/>
      <w:lang w:eastAsia="ar-SA"/>
    </w:rPr>
  </w:style>
  <w:style w:type="character" w:customStyle="1" w:styleId="TEKSTASDiagrama0">
    <w:name w:val="TEKSTAS ***** Diagrama"/>
    <w:link w:val="TEKSTAS"/>
    <w:rsid w:val="00D525DF"/>
    <w:rPr>
      <w:rFonts w:ascii="Times New Roman" w:hAnsi="Times New Roman" w:cs="Times New Roman"/>
      <w:lang w:eastAsia="ar-SA"/>
    </w:rPr>
  </w:style>
  <w:style w:type="paragraph" w:customStyle="1" w:styleId="TURINYS">
    <w:name w:val="TURINYS *****"/>
    <w:basedOn w:val="prastasis"/>
    <w:link w:val="TURINYSDiagrama"/>
    <w:autoRedefine/>
    <w:qFormat/>
    <w:rsid w:val="00170883"/>
    <w:pPr>
      <w:widowControl w:val="0"/>
      <w:spacing w:before="240" w:after="60"/>
      <w:jc w:val="center"/>
    </w:pPr>
    <w:rPr>
      <w:rFonts w:eastAsia="Calibri"/>
      <w:b/>
      <w:szCs w:val="22"/>
      <w:lang w:eastAsia="lt-LT"/>
    </w:rPr>
  </w:style>
  <w:style w:type="character" w:customStyle="1" w:styleId="TURINYSDiagrama">
    <w:name w:val="TURINYS ***** Diagrama"/>
    <w:link w:val="TURINYS"/>
    <w:rsid w:val="00170883"/>
    <w:rPr>
      <w:rFonts w:ascii="Times New Roman" w:eastAsia="Calibri" w:hAnsi="Times New Roman" w:cs="Times New Roman"/>
      <w:b/>
      <w:sz w:val="24"/>
      <w:lang w:eastAsia="lt-LT"/>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9F6C18"/>
    <w:rPr>
      <w:rFonts w:ascii="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F6C18"/>
    <w:rPr>
      <w:rFonts w:ascii="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F6C18"/>
    <w:rPr>
      <w:rFonts w:ascii="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F6C18"/>
    <w:rPr>
      <w:rFonts w:ascii="Times New Roman" w:hAnsi="Times New Roman" w:cs="Times New Roman"/>
      <w:sz w:val="48"/>
      <w:szCs w:val="20"/>
      <w:lang w:eastAsia="lt-LT"/>
    </w:rPr>
  </w:style>
  <w:style w:type="character" w:customStyle="1" w:styleId="Antrat8Diagrama">
    <w:name w:val="Antraštė 8 Diagrama"/>
    <w:basedOn w:val="Numatytasispastraiposriftas"/>
    <w:link w:val="Antrat8"/>
    <w:rsid w:val="009F6C18"/>
    <w:rPr>
      <w:rFonts w:ascii="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F6C18"/>
    <w:rPr>
      <w:rFonts w:ascii="Times New Roman" w:hAnsi="Times New Roman" w:cs="Times New Roman"/>
      <w:sz w:val="40"/>
      <w:szCs w:val="20"/>
      <w:lang w:eastAsia="lt-LT"/>
    </w:rPr>
  </w:style>
  <w:style w:type="character" w:customStyle="1" w:styleId="UnresolvedMention1">
    <w:name w:val="Unresolved Mention1"/>
    <w:basedOn w:val="Numatytasispastraiposriftas"/>
    <w:uiPriority w:val="99"/>
    <w:semiHidden/>
    <w:unhideWhenUsed/>
    <w:rsid w:val="00954C94"/>
    <w:rPr>
      <w:color w:val="605E5C"/>
      <w:shd w:val="clear" w:color="auto" w:fill="E1DFDD"/>
    </w:rPr>
  </w:style>
  <w:style w:type="character" w:styleId="Grietas">
    <w:name w:val="Strong"/>
    <w:basedOn w:val="Numatytasispastraiposriftas"/>
    <w:uiPriority w:val="22"/>
    <w:qFormat/>
    <w:rsid w:val="0025122E"/>
    <w:rPr>
      <w:b/>
      <w:bCs/>
    </w:rPr>
  </w:style>
  <w:style w:type="paragraph" w:customStyle="1" w:styleId="SUTARTSTRAIPSN">
    <w:name w:val="SUTART_STRAIPSN"/>
    <w:basedOn w:val="prastasis"/>
    <w:link w:val="SUTARTSTRAIPSNDiagrama"/>
    <w:qFormat/>
    <w:rsid w:val="005E09EC"/>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5E09EC"/>
    <w:rPr>
      <w:rFonts w:ascii="Times New Roman" w:hAnsi="Times New Roman" w:cs="Times New Roman"/>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388">
      <w:bodyDiv w:val="1"/>
      <w:marLeft w:val="0"/>
      <w:marRight w:val="0"/>
      <w:marTop w:val="0"/>
      <w:marBottom w:val="0"/>
      <w:divBdr>
        <w:top w:val="none" w:sz="0" w:space="0" w:color="auto"/>
        <w:left w:val="none" w:sz="0" w:space="0" w:color="auto"/>
        <w:bottom w:val="none" w:sz="0" w:space="0" w:color="auto"/>
        <w:right w:val="none" w:sz="0" w:space="0" w:color="auto"/>
      </w:divBdr>
    </w:div>
    <w:div w:id="5438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ziulpa@kaunoautobus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6878-BF7C-4BFE-B1A2-502D3F1A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26698</Words>
  <Characters>15219</Characters>
  <Application>Microsoft Office Word</Application>
  <DocSecurity>0</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5.2.3. At the Buyer’s request, the Supplier shall provide certificates of compli</vt:lpstr>
      <vt:lpstr>5.3.1. The Buyer shall accept the Goods delivered by the Supplier at the agreed </vt:lpstr>
      <vt:lpstr>5.5. Failure by the Supplier to deliver the Goods in accordance with the terms s</vt:lpstr>
      <vt:lpstr>6. Force Majeure</vt:lpstr>
      <vt:lpstr/>
      <vt:lpstr>8.7. In cases stipulated in Articles 8.4 and 8.5 hereof, the newly outsourced su</vt:lpstr>
      <vt:lpstr>8.8.3. If the subcontractor wishes to receive the payments directly from the Buy</vt:lpstr>
      <vt:lpstr>Changes to the Agreement</vt:lpstr>
    </vt:vector>
  </TitlesOfParts>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Sandra Bielinienė</cp:lastModifiedBy>
  <cp:revision>4</cp:revision>
  <cp:lastPrinted>2024-10-04T11:08:00Z</cp:lastPrinted>
  <dcterms:created xsi:type="dcterms:W3CDTF">2025-06-30T06:33:00Z</dcterms:created>
  <dcterms:modified xsi:type="dcterms:W3CDTF">2025-06-30T10:28:00Z</dcterms:modified>
</cp:coreProperties>
</file>