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05D8E298" w:rsidR="004D0B62" w:rsidRPr="009930E4" w:rsidRDefault="004D0B62"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sidRPr="009930E4">
        <w:rPr>
          <w:rFonts w:ascii="Arial" w:hAnsi="Arial" w:cs="Arial"/>
          <w:noProof/>
          <w:sz w:val="20"/>
          <w:lang w:val="lt-LT"/>
        </w:rPr>
        <w:t>PIRKIMO–PARDAVIMO sutartis</w:t>
      </w:r>
      <w:r w:rsidR="00C34B79" w:rsidRPr="009930E4">
        <w:rPr>
          <w:rFonts w:ascii="Arial" w:hAnsi="Arial" w:cs="Arial"/>
          <w:noProof/>
          <w:sz w:val="20"/>
          <w:lang w:val="lt-LT"/>
        </w:rPr>
        <w:t xml:space="preserve"> </w:t>
      </w:r>
      <w:r w:rsidR="00493716" w:rsidRPr="009930E4">
        <w:rPr>
          <w:rFonts w:ascii="Arial" w:hAnsi="Arial" w:cs="Arial"/>
          <w:noProof/>
          <w:sz w:val="20"/>
          <w:lang w:val="lt-LT"/>
        </w:rPr>
        <w:t>NR.____________</w:t>
      </w:r>
    </w:p>
    <w:p w14:paraId="3D903A01" w14:textId="5713149A"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5A04AB">
        <w:rPr>
          <w:rFonts w:ascii="Arial" w:hAnsi="Arial" w:cs="Arial"/>
          <w:noProof/>
          <w:sz w:val="20"/>
          <w:szCs w:val="20"/>
          <w:lang w:val="lt-LT"/>
        </w:rPr>
        <w:t>5 m.</w:t>
      </w:r>
      <w:r w:rsidR="00B74209" w:rsidRPr="009930E4">
        <w:rPr>
          <w:rFonts w:ascii="Arial" w:hAnsi="Arial" w:cs="Arial"/>
          <w:noProof/>
          <w:sz w:val="20"/>
          <w:szCs w:val="20"/>
          <w:lang w:val="lt-LT"/>
        </w:rPr>
        <w:t>______________</w:t>
      </w:r>
      <w:r w:rsidRPr="009930E4">
        <w:rPr>
          <w:rFonts w:ascii="Arial" w:hAnsi="Arial" w:cs="Arial"/>
          <w:noProof/>
          <w:sz w:val="20"/>
          <w:szCs w:val="20"/>
          <w:lang w:val="lt-LT"/>
        </w:rPr>
        <w:t xml:space="preserve">   </w:t>
      </w:r>
      <w:r w:rsidR="0028370F" w:rsidRPr="009930E4">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1E0E8AEA" w:rsidR="0075293D" w:rsidRPr="009930E4" w:rsidRDefault="0075293D" w:rsidP="009F797C">
            <w:pPr>
              <w:jc w:val="both"/>
              <w:rPr>
                <w:rFonts w:ascii="Arial" w:hAnsi="Arial" w:cs="Arial"/>
                <w:b/>
                <w:noProof/>
                <w:sz w:val="20"/>
                <w:szCs w:val="20"/>
                <w:lang w:val="lt-LT"/>
              </w:rPr>
            </w:pPr>
          </w:p>
        </w:tc>
      </w:tr>
      <w:tr w:rsidR="006E3778" w:rsidRPr="009930E4" w14:paraId="1E399472" w14:textId="77777777" w:rsidTr="594AB177">
        <w:tc>
          <w:tcPr>
            <w:tcW w:w="4644" w:type="dxa"/>
            <w:shd w:val="clear" w:color="auto" w:fill="auto"/>
          </w:tcPr>
          <w:p w14:paraId="1D64914F" w14:textId="77777777" w:rsidR="00825C4D" w:rsidRPr="009930E4" w:rsidRDefault="00825C4D" w:rsidP="00825C4D">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6D5D924A" w:rsidR="00825C4D" w:rsidRPr="009930E4" w:rsidRDefault="00825C4D" w:rsidP="594AB177">
            <w:pPr>
              <w:jc w:val="both"/>
              <w:rPr>
                <w:rFonts w:ascii="Arial" w:hAnsi="Arial" w:cs="Arial"/>
                <w:noProof/>
                <w:sz w:val="20"/>
                <w:szCs w:val="20"/>
                <w:lang w:val="lt-LT"/>
              </w:rPr>
            </w:pPr>
          </w:p>
        </w:tc>
      </w:tr>
      <w:tr w:rsidR="006E3778" w:rsidRPr="009930E4" w14:paraId="3ECE7B27" w14:textId="77777777" w:rsidTr="594AB177">
        <w:tc>
          <w:tcPr>
            <w:tcW w:w="4644" w:type="dxa"/>
            <w:shd w:val="clear" w:color="auto" w:fill="auto"/>
          </w:tcPr>
          <w:p w14:paraId="2200A611" w14:textId="558640F0" w:rsidR="00825C4D" w:rsidRPr="009930E4"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1F906BFD" w:rsidR="00825C4D" w:rsidRPr="009930E4" w:rsidRDefault="00825C4D" w:rsidP="00825C4D">
            <w:pPr>
              <w:jc w:val="both"/>
              <w:rPr>
                <w:rFonts w:ascii="Arial" w:hAnsi="Arial" w:cs="Arial"/>
                <w:bCs/>
                <w:noProof/>
                <w:sz w:val="20"/>
                <w:szCs w:val="20"/>
                <w:lang w:val="lt-LT"/>
              </w:rPr>
            </w:pPr>
          </w:p>
        </w:tc>
      </w:tr>
      <w:tr w:rsidR="008F42EA" w:rsidRPr="009930E4" w14:paraId="6C85A4A5" w14:textId="77777777" w:rsidTr="594AB177">
        <w:tc>
          <w:tcPr>
            <w:tcW w:w="4644" w:type="dxa"/>
            <w:shd w:val="clear" w:color="auto" w:fill="auto"/>
          </w:tcPr>
          <w:p w14:paraId="12576030" w14:textId="77777777" w:rsidR="008F42EA" w:rsidRPr="009930E4" w:rsidRDefault="008F42EA" w:rsidP="008F42EA">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1920FC29" w:rsidR="008F42EA" w:rsidRPr="009930E4" w:rsidRDefault="008F42EA" w:rsidP="00CA49FD">
            <w:pPr>
              <w:jc w:val="both"/>
              <w:rPr>
                <w:rFonts w:ascii="Arial" w:hAnsi="Arial" w:cs="Arial"/>
                <w:bCs/>
                <w:noProof/>
                <w:sz w:val="20"/>
                <w:szCs w:val="20"/>
                <w:lang w:val="lt-LT"/>
              </w:rPr>
            </w:pPr>
          </w:p>
        </w:tc>
      </w:tr>
      <w:tr w:rsidR="008F42EA" w:rsidRPr="009930E4" w14:paraId="58783BC1" w14:textId="77777777" w:rsidTr="594AB177">
        <w:tc>
          <w:tcPr>
            <w:tcW w:w="4644" w:type="dxa"/>
            <w:shd w:val="clear" w:color="auto" w:fill="auto"/>
          </w:tcPr>
          <w:p w14:paraId="5E0A3E68" w14:textId="4A28F57C"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016648FB" w:rsidR="008F42EA" w:rsidRPr="009930E4" w:rsidRDefault="008F42EA" w:rsidP="008F42EA">
            <w:pPr>
              <w:jc w:val="both"/>
              <w:rPr>
                <w:rFonts w:ascii="Arial" w:hAnsi="Arial" w:cs="Arial"/>
                <w:noProof/>
                <w:sz w:val="20"/>
                <w:szCs w:val="20"/>
                <w:lang w:val="lt-LT"/>
              </w:rPr>
            </w:pPr>
          </w:p>
        </w:tc>
      </w:tr>
      <w:tr w:rsidR="008F42EA" w:rsidRPr="009930E4" w14:paraId="232D6E47" w14:textId="77777777" w:rsidTr="594AB177">
        <w:tc>
          <w:tcPr>
            <w:tcW w:w="4644" w:type="dxa"/>
            <w:shd w:val="clear" w:color="auto" w:fill="auto"/>
          </w:tcPr>
          <w:p w14:paraId="179949A3" w14:textId="25466ADD" w:rsidR="008F42EA" w:rsidRPr="009930E4" w:rsidRDefault="008F42EA" w:rsidP="008F42EA">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47DE276" w:rsidR="008F42EA" w:rsidRPr="009930E4" w:rsidRDefault="008F42EA" w:rsidP="008F42EA">
            <w:pPr>
              <w:jc w:val="both"/>
              <w:rPr>
                <w:rFonts w:ascii="Arial" w:hAnsi="Arial" w:cs="Arial"/>
                <w:noProof/>
                <w:sz w:val="20"/>
                <w:szCs w:val="20"/>
                <w:lang w:val="lt-LT"/>
              </w:rPr>
            </w:pPr>
          </w:p>
        </w:tc>
      </w:tr>
      <w:tr w:rsidR="008F42EA" w:rsidRPr="009930E4" w14:paraId="2773B6F7" w14:textId="77777777" w:rsidTr="594AB177">
        <w:tc>
          <w:tcPr>
            <w:tcW w:w="4644" w:type="dxa"/>
            <w:shd w:val="clear" w:color="auto" w:fill="auto"/>
          </w:tcPr>
          <w:p w14:paraId="20EC5C68" w14:textId="0966E54A" w:rsidR="008F42EA" w:rsidRPr="009930E4" w:rsidRDefault="008F42EA" w:rsidP="008F42EA">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3A39E2AA" w:rsidR="008F42EA" w:rsidRPr="009930E4" w:rsidRDefault="008F42EA" w:rsidP="008F42EA">
            <w:pPr>
              <w:jc w:val="both"/>
              <w:rPr>
                <w:rFonts w:ascii="Arial" w:hAnsi="Arial" w:cs="Arial"/>
                <w:noProof/>
                <w:sz w:val="20"/>
                <w:szCs w:val="20"/>
                <w:lang w:val="lt-LT"/>
              </w:rPr>
            </w:pPr>
          </w:p>
        </w:tc>
      </w:tr>
      <w:tr w:rsidR="006E3778" w:rsidRPr="009930E4" w14:paraId="20E74330" w14:textId="77777777" w:rsidTr="594AB177">
        <w:tc>
          <w:tcPr>
            <w:tcW w:w="4644" w:type="dxa"/>
            <w:shd w:val="clear" w:color="auto" w:fill="auto"/>
          </w:tcPr>
          <w:p w14:paraId="1D3EEEE9" w14:textId="6D2857FC" w:rsidR="009F797C" w:rsidRPr="009930E4" w:rsidRDefault="009F797C" w:rsidP="009F797C">
            <w:pPr>
              <w:jc w:val="both"/>
              <w:rPr>
                <w:rFonts w:ascii="Arial" w:hAnsi="Arial" w:cs="Arial"/>
                <w:bCs/>
                <w:noProof/>
                <w:sz w:val="20"/>
                <w:szCs w:val="20"/>
                <w:lang w:val="lt-LT"/>
              </w:rPr>
            </w:pPr>
            <w:r w:rsidRPr="009930E4">
              <w:rPr>
                <w:rFonts w:ascii="Arial" w:hAnsi="Arial" w:cs="Arial"/>
                <w:bCs/>
                <w:noProof/>
                <w:sz w:val="20"/>
                <w:szCs w:val="20"/>
                <w:lang w:val="lt-LT"/>
              </w:rPr>
              <w:t>Atstovaujamas</w:t>
            </w:r>
            <w:r w:rsidR="007B5BC9" w:rsidRPr="009930E4">
              <w:rPr>
                <w:rFonts w:ascii="Arial" w:hAnsi="Arial" w:cs="Arial"/>
                <w:bCs/>
                <w:noProof/>
                <w:sz w:val="20"/>
                <w:szCs w:val="20"/>
                <w:lang w:val="lt-LT"/>
              </w:rPr>
              <w:t xml:space="preserve"> generalinio direktoriaus</w:t>
            </w:r>
          </w:p>
          <w:p w14:paraId="12601792" w14:textId="6498A86A" w:rsidR="007B5BC9" w:rsidRPr="009930E4" w:rsidRDefault="30C72468" w:rsidP="594AB177">
            <w:pPr>
              <w:jc w:val="both"/>
              <w:rPr>
                <w:rFonts w:ascii="Arial" w:hAnsi="Arial" w:cs="Arial"/>
                <w:noProof/>
                <w:sz w:val="20"/>
                <w:szCs w:val="20"/>
                <w:lang w:val="lt-LT"/>
              </w:rPr>
            </w:pPr>
            <w:r w:rsidRPr="009930E4">
              <w:rPr>
                <w:rFonts w:ascii="Arial" w:hAnsi="Arial" w:cs="Arial"/>
                <w:noProof/>
                <w:sz w:val="20"/>
                <w:szCs w:val="20"/>
                <w:lang w:val="lt-LT"/>
              </w:rPr>
              <w:t>Tomo Garasimavičiaus</w:t>
            </w:r>
          </w:p>
        </w:tc>
        <w:tc>
          <w:tcPr>
            <w:tcW w:w="5544" w:type="dxa"/>
            <w:shd w:val="clear" w:color="auto" w:fill="auto"/>
          </w:tcPr>
          <w:p w14:paraId="0B74F4FD" w14:textId="0561D886" w:rsidR="009F797C" w:rsidRPr="009930E4" w:rsidRDefault="009F797C" w:rsidP="008F42EA">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328"/>
        <w:gridCol w:w="2282"/>
        <w:gridCol w:w="528"/>
        <w:gridCol w:w="3619"/>
      </w:tblGrid>
      <w:tr w:rsidR="00912028" w:rsidRPr="009930E4" w14:paraId="2DECBE7E" w14:textId="77777777" w:rsidTr="003A7291">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328"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429" w:type="dxa"/>
            <w:gridSpan w:val="3"/>
            <w:shd w:val="clear" w:color="auto" w:fill="auto"/>
          </w:tcPr>
          <w:p w14:paraId="0558777E" w14:textId="6C973DEC" w:rsidR="00912028" w:rsidRPr="00A506A8" w:rsidRDefault="00A506A8" w:rsidP="594AB177">
            <w:pPr>
              <w:jc w:val="both"/>
              <w:rPr>
                <w:rFonts w:ascii="Arial" w:hAnsi="Arial" w:cs="Arial"/>
                <w:iCs/>
                <w:noProof/>
                <w:sz w:val="20"/>
                <w:szCs w:val="20"/>
                <w:lang w:val="lt-LT"/>
              </w:rPr>
            </w:pPr>
            <w:r w:rsidRPr="00A506A8">
              <w:rPr>
                <w:rFonts w:ascii="Arial" w:hAnsi="Arial" w:cs="Arial"/>
                <w:i/>
                <w:iCs/>
                <w:sz w:val="20"/>
                <w:szCs w:val="20"/>
                <w:lang w:val="lt-LT"/>
              </w:rPr>
              <w:t>Grandinės biokuro ir pelenų transporteriams</w:t>
            </w:r>
          </w:p>
        </w:tc>
      </w:tr>
      <w:tr w:rsidR="00912028" w:rsidRPr="009930E4" w14:paraId="503179F7" w14:textId="77777777" w:rsidTr="003A7291">
        <w:trPr>
          <w:trHeight w:val="48"/>
        </w:trPr>
        <w:tc>
          <w:tcPr>
            <w:tcW w:w="495" w:type="dxa"/>
          </w:tcPr>
          <w:p w14:paraId="37BCD759" w14:textId="38E403B6" w:rsidR="00912028" w:rsidRPr="009930E4" w:rsidRDefault="00912028"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2.</w:t>
            </w:r>
          </w:p>
        </w:tc>
        <w:tc>
          <w:tcPr>
            <w:tcW w:w="3328" w:type="dxa"/>
            <w:shd w:val="clear" w:color="auto" w:fill="auto"/>
          </w:tcPr>
          <w:p w14:paraId="6B8CB07E" w14:textId="564532DB" w:rsidR="00912028" w:rsidRPr="009930E4" w:rsidRDefault="00912028" w:rsidP="00C17A98">
            <w:pPr>
              <w:tabs>
                <w:tab w:val="left" w:pos="426"/>
              </w:tabs>
              <w:ind w:left="22" w:hanging="22"/>
              <w:rPr>
                <w:rFonts w:ascii="Arial" w:hAnsi="Arial" w:cs="Arial"/>
                <w:noProof/>
                <w:sz w:val="20"/>
                <w:szCs w:val="20"/>
                <w:lang w:val="lt-LT"/>
              </w:rPr>
            </w:pPr>
            <w:r w:rsidRPr="009930E4">
              <w:rPr>
                <w:rFonts w:ascii="Arial" w:hAnsi="Arial" w:cs="Arial"/>
                <w:noProof/>
                <w:sz w:val="20"/>
                <w:szCs w:val="20"/>
                <w:lang w:val="lt-LT"/>
              </w:rPr>
              <w:t>Sutarties terminas:</w:t>
            </w:r>
          </w:p>
        </w:tc>
        <w:tc>
          <w:tcPr>
            <w:tcW w:w="6429" w:type="dxa"/>
            <w:gridSpan w:val="3"/>
            <w:shd w:val="clear" w:color="auto" w:fill="auto"/>
          </w:tcPr>
          <w:p w14:paraId="0F5BCF6E" w14:textId="181720D0" w:rsidR="00912028" w:rsidRPr="009930E4" w:rsidRDefault="00726DDE" w:rsidP="000D00A7">
            <w:pPr>
              <w:jc w:val="both"/>
              <w:rPr>
                <w:rFonts w:ascii="Arial" w:hAnsi="Arial" w:cs="Arial"/>
                <w:noProof/>
                <w:sz w:val="20"/>
                <w:szCs w:val="20"/>
                <w:lang w:val="lt-LT"/>
              </w:rPr>
            </w:pPr>
            <w:r w:rsidRPr="0083405E">
              <w:rPr>
                <w:rFonts w:ascii="Arial" w:hAnsi="Arial" w:cs="Arial"/>
                <w:sz w:val="20"/>
                <w:szCs w:val="20"/>
                <w:lang w:val="lt-LT"/>
              </w:rPr>
              <w:t>6 (šeši) mėnesiai</w:t>
            </w:r>
            <w:r w:rsidR="00E61870">
              <w:rPr>
                <w:rFonts w:ascii="Arial" w:hAnsi="Arial" w:cs="Arial"/>
                <w:sz w:val="20"/>
                <w:szCs w:val="20"/>
                <w:lang w:val="lt-LT"/>
              </w:rPr>
              <w:t>. Įsigaliojimas nurodytas Bendrosios dalies 7.1 p.</w:t>
            </w:r>
          </w:p>
        </w:tc>
      </w:tr>
      <w:tr w:rsidR="00912028" w:rsidRPr="009930E4" w14:paraId="69F60774" w14:textId="77777777" w:rsidTr="003A7291">
        <w:trPr>
          <w:trHeight w:val="48"/>
        </w:trPr>
        <w:tc>
          <w:tcPr>
            <w:tcW w:w="495" w:type="dxa"/>
          </w:tcPr>
          <w:p w14:paraId="6AE5291D" w14:textId="22908C18"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3.</w:t>
            </w:r>
          </w:p>
        </w:tc>
        <w:tc>
          <w:tcPr>
            <w:tcW w:w="3328" w:type="dxa"/>
            <w:shd w:val="clear" w:color="auto" w:fill="auto"/>
          </w:tcPr>
          <w:p w14:paraId="1520CBC1" w14:textId="67A2F886" w:rsidR="00912028" w:rsidRPr="009930E4" w:rsidRDefault="00912028" w:rsidP="00C17A98">
            <w:pPr>
              <w:tabs>
                <w:tab w:val="left" w:pos="426"/>
              </w:tabs>
              <w:rPr>
                <w:rFonts w:ascii="Arial" w:hAnsi="Arial" w:cs="Arial"/>
                <w:noProof/>
                <w:sz w:val="20"/>
                <w:szCs w:val="20"/>
                <w:lang w:val="lt-LT"/>
              </w:rPr>
            </w:pPr>
            <w:r w:rsidRPr="009930E4">
              <w:rPr>
                <w:rFonts w:ascii="Arial" w:hAnsi="Arial" w:cs="Arial"/>
                <w:noProof/>
                <w:sz w:val="20"/>
                <w:szCs w:val="20"/>
                <w:lang w:val="lt-LT"/>
              </w:rPr>
              <w:t xml:space="preserve">Sutarties </w:t>
            </w:r>
            <w:r w:rsidR="00116FEB">
              <w:rPr>
                <w:rFonts w:ascii="Arial" w:hAnsi="Arial" w:cs="Arial"/>
                <w:noProof/>
                <w:sz w:val="20"/>
                <w:szCs w:val="20"/>
                <w:lang w:val="lt-LT"/>
              </w:rPr>
              <w:t xml:space="preserve">įvykdymo </w:t>
            </w:r>
            <w:r w:rsidRPr="009930E4">
              <w:rPr>
                <w:rFonts w:ascii="Arial" w:hAnsi="Arial" w:cs="Arial"/>
                <w:noProof/>
                <w:sz w:val="20"/>
                <w:szCs w:val="20"/>
                <w:lang w:val="lt-LT"/>
              </w:rPr>
              <w:t xml:space="preserve">užtikrinimas: </w:t>
            </w:r>
          </w:p>
        </w:tc>
        <w:tc>
          <w:tcPr>
            <w:tcW w:w="6429" w:type="dxa"/>
            <w:gridSpan w:val="3"/>
            <w:shd w:val="clear" w:color="auto" w:fill="auto"/>
          </w:tcPr>
          <w:p w14:paraId="2635687B" w14:textId="3407DFB2" w:rsidR="00912028" w:rsidRPr="009930E4" w:rsidRDefault="00125AAA" w:rsidP="009F797C">
            <w:pPr>
              <w:jc w:val="both"/>
              <w:rPr>
                <w:rFonts w:ascii="Arial" w:hAnsi="Arial" w:cs="Arial"/>
                <w:noProof/>
                <w:sz w:val="20"/>
                <w:szCs w:val="20"/>
                <w:lang w:val="lt-LT"/>
              </w:rPr>
            </w:pPr>
            <w:r>
              <w:rPr>
                <w:rFonts w:ascii="Arial" w:hAnsi="Arial" w:cs="Arial"/>
                <w:noProof/>
                <w:sz w:val="20"/>
                <w:szCs w:val="20"/>
                <w:lang w:val="lt-LT"/>
              </w:rPr>
              <w:t>Netaikoma</w:t>
            </w:r>
            <w:r w:rsidR="00957AC3">
              <w:rPr>
                <w:rFonts w:ascii="Arial" w:hAnsi="Arial" w:cs="Arial"/>
                <w:noProof/>
                <w:sz w:val="20"/>
                <w:szCs w:val="20"/>
                <w:lang w:val="lt-LT"/>
              </w:rPr>
              <w:t xml:space="preserve"> </w:t>
            </w:r>
            <w:r w:rsidR="00577D0F">
              <w:rPr>
                <w:rFonts w:ascii="Arial" w:hAnsi="Arial" w:cs="Arial"/>
                <w:noProof/>
                <w:sz w:val="20"/>
                <w:szCs w:val="20"/>
                <w:lang w:val="lt-LT"/>
              </w:rPr>
              <w:t>bendrosios dalies 5 dalis.</w:t>
            </w:r>
          </w:p>
        </w:tc>
      </w:tr>
      <w:tr w:rsidR="00912028" w:rsidRPr="009930E4" w14:paraId="2AD30C92" w14:textId="77777777" w:rsidTr="003A7291">
        <w:trPr>
          <w:trHeight w:val="48"/>
        </w:trPr>
        <w:tc>
          <w:tcPr>
            <w:tcW w:w="495" w:type="dxa"/>
          </w:tcPr>
          <w:p w14:paraId="377070B7" w14:textId="7A2C86D1" w:rsidR="00912028"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4.</w:t>
            </w:r>
          </w:p>
        </w:tc>
        <w:tc>
          <w:tcPr>
            <w:tcW w:w="3328" w:type="dxa"/>
            <w:shd w:val="clear" w:color="auto" w:fill="auto"/>
          </w:tcPr>
          <w:p w14:paraId="7C974CCC" w14:textId="74673BDD" w:rsidR="00912028" w:rsidRPr="009930E4" w:rsidRDefault="00912028" w:rsidP="00C17A98">
            <w:pPr>
              <w:tabs>
                <w:tab w:val="left" w:pos="426"/>
              </w:tabs>
              <w:rPr>
                <w:rFonts w:ascii="Arial" w:hAnsi="Arial" w:cs="Arial"/>
                <w:noProof/>
                <w:sz w:val="20"/>
                <w:szCs w:val="20"/>
                <w:lang w:val="lt-LT"/>
              </w:rPr>
            </w:pPr>
            <w:r>
              <w:rPr>
                <w:rFonts w:ascii="Arial" w:hAnsi="Arial" w:cs="Arial"/>
                <w:noProof/>
                <w:sz w:val="20"/>
                <w:szCs w:val="20"/>
                <w:lang w:val="lt-LT"/>
              </w:rPr>
              <w:t>Sutarties kainodara:</w:t>
            </w:r>
          </w:p>
        </w:tc>
        <w:tc>
          <w:tcPr>
            <w:tcW w:w="6429" w:type="dxa"/>
            <w:gridSpan w:val="3"/>
            <w:shd w:val="clear" w:color="auto" w:fill="auto"/>
          </w:tcPr>
          <w:p w14:paraId="536A29D1" w14:textId="00F94342" w:rsidR="00912028" w:rsidRPr="009930E4" w:rsidRDefault="00912028" w:rsidP="009F797C">
            <w:pPr>
              <w:jc w:val="both"/>
              <w:rPr>
                <w:rFonts w:ascii="Arial" w:hAnsi="Arial" w:cs="Arial"/>
                <w:noProof/>
                <w:sz w:val="20"/>
                <w:szCs w:val="20"/>
                <w:lang w:val="lt-LT"/>
              </w:rPr>
            </w:pPr>
            <w:r>
              <w:rPr>
                <w:rFonts w:ascii="Arial" w:hAnsi="Arial" w:cs="Arial"/>
                <w:noProof/>
                <w:sz w:val="20"/>
                <w:szCs w:val="20"/>
                <w:lang w:val="lt-LT"/>
              </w:rPr>
              <w:t>Fiksuota kaina</w:t>
            </w:r>
          </w:p>
        </w:tc>
      </w:tr>
      <w:tr w:rsidR="00912028" w:rsidRPr="009930E4" w14:paraId="2AF18373" w14:textId="77777777" w:rsidTr="003A7291">
        <w:trPr>
          <w:trHeight w:val="69"/>
        </w:trPr>
        <w:tc>
          <w:tcPr>
            <w:tcW w:w="495" w:type="dxa"/>
            <w:vMerge w:val="restart"/>
          </w:tcPr>
          <w:p w14:paraId="0D4FF6E1" w14:textId="173AD905" w:rsidR="00912028" w:rsidRPr="009930E4" w:rsidRDefault="00912028" w:rsidP="00941BF7">
            <w:pPr>
              <w:rPr>
                <w:rFonts w:ascii="Arial" w:hAnsi="Arial" w:cs="Arial"/>
                <w:noProof/>
                <w:sz w:val="20"/>
                <w:szCs w:val="20"/>
                <w:lang w:val="lt-LT"/>
              </w:rPr>
            </w:pPr>
            <w:r>
              <w:rPr>
                <w:rFonts w:ascii="Arial" w:hAnsi="Arial" w:cs="Arial"/>
                <w:noProof/>
                <w:sz w:val="20"/>
                <w:szCs w:val="20"/>
                <w:lang w:val="lt-LT"/>
              </w:rPr>
              <w:t>5.</w:t>
            </w:r>
          </w:p>
        </w:tc>
        <w:tc>
          <w:tcPr>
            <w:tcW w:w="3328" w:type="dxa"/>
            <w:vMerge w:val="restart"/>
            <w:shd w:val="clear" w:color="auto" w:fill="auto"/>
            <w:vAlign w:val="center"/>
          </w:tcPr>
          <w:p w14:paraId="43CC85F8" w14:textId="6FA0F7D1" w:rsidR="00912028" w:rsidRPr="009930E4" w:rsidRDefault="00912028" w:rsidP="00941BF7">
            <w:pPr>
              <w:rPr>
                <w:rFonts w:ascii="Arial" w:hAnsi="Arial" w:cs="Arial"/>
                <w:noProof/>
                <w:sz w:val="20"/>
                <w:szCs w:val="20"/>
                <w:lang w:val="lt-LT"/>
              </w:rPr>
            </w:pPr>
            <w:r w:rsidRPr="009930E4">
              <w:rPr>
                <w:rFonts w:ascii="Arial" w:hAnsi="Arial" w:cs="Arial"/>
                <w:noProof/>
                <w:sz w:val="20"/>
                <w:szCs w:val="20"/>
                <w:lang w:val="lt-LT"/>
              </w:rPr>
              <w:t>Sutarties kaina</w:t>
            </w:r>
          </w:p>
        </w:tc>
        <w:tc>
          <w:tcPr>
            <w:tcW w:w="2282" w:type="dxa"/>
            <w:shd w:val="clear" w:color="auto" w:fill="auto"/>
          </w:tcPr>
          <w:p w14:paraId="0C1688A4" w14:textId="630F06C2"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be PVM:</w:t>
            </w:r>
          </w:p>
        </w:tc>
        <w:tc>
          <w:tcPr>
            <w:tcW w:w="528" w:type="dxa"/>
            <w:shd w:val="clear" w:color="auto" w:fill="auto"/>
          </w:tcPr>
          <w:p w14:paraId="5784AE27" w14:textId="404FFC07"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7F062CCC" w14:textId="0DA4AB4B" w:rsidR="00912028" w:rsidRPr="009930E4" w:rsidRDefault="00912028" w:rsidP="00941BF7">
            <w:pPr>
              <w:rPr>
                <w:rFonts w:ascii="Arial" w:hAnsi="Arial" w:cs="Arial"/>
                <w:b/>
                <w:noProof/>
                <w:sz w:val="20"/>
                <w:szCs w:val="20"/>
                <w:lang w:val="lt-LT"/>
              </w:rPr>
            </w:pPr>
          </w:p>
        </w:tc>
      </w:tr>
      <w:tr w:rsidR="00912028" w:rsidRPr="009930E4" w14:paraId="4B25EF84" w14:textId="77777777" w:rsidTr="003A7291">
        <w:trPr>
          <w:trHeight w:val="69"/>
        </w:trPr>
        <w:tc>
          <w:tcPr>
            <w:tcW w:w="495" w:type="dxa"/>
            <w:vMerge/>
          </w:tcPr>
          <w:p w14:paraId="64541EFF"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4D46952D" w14:textId="4FBEC338" w:rsidR="00912028" w:rsidRPr="009930E4" w:rsidRDefault="00912028" w:rsidP="00941BF7">
            <w:pPr>
              <w:rPr>
                <w:rFonts w:ascii="Arial" w:hAnsi="Arial" w:cs="Arial"/>
                <w:noProof/>
                <w:sz w:val="20"/>
                <w:szCs w:val="20"/>
                <w:lang w:val="lt-LT"/>
              </w:rPr>
            </w:pPr>
          </w:p>
        </w:tc>
        <w:tc>
          <w:tcPr>
            <w:tcW w:w="2282" w:type="dxa"/>
            <w:shd w:val="clear" w:color="auto" w:fill="auto"/>
          </w:tcPr>
          <w:p w14:paraId="2BDF0EF9" w14:textId="45857EA0"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PVM 21 %</w:t>
            </w:r>
          </w:p>
        </w:tc>
        <w:tc>
          <w:tcPr>
            <w:tcW w:w="528" w:type="dxa"/>
            <w:shd w:val="clear" w:color="auto" w:fill="auto"/>
          </w:tcPr>
          <w:p w14:paraId="274E3AC1" w14:textId="026367BE"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7D5ABA0" w14:textId="38C7B35A" w:rsidR="00912028" w:rsidRPr="009930E4" w:rsidRDefault="00912028" w:rsidP="00941BF7">
            <w:pPr>
              <w:rPr>
                <w:rFonts w:ascii="Arial" w:hAnsi="Arial" w:cs="Arial"/>
                <w:b/>
                <w:noProof/>
                <w:sz w:val="20"/>
                <w:szCs w:val="20"/>
                <w:lang w:val="lt-LT"/>
              </w:rPr>
            </w:pPr>
          </w:p>
        </w:tc>
      </w:tr>
      <w:tr w:rsidR="00912028" w:rsidRPr="009930E4" w14:paraId="319A8919" w14:textId="77777777" w:rsidTr="003A7291">
        <w:trPr>
          <w:trHeight w:val="69"/>
        </w:trPr>
        <w:tc>
          <w:tcPr>
            <w:tcW w:w="495" w:type="dxa"/>
            <w:vMerge/>
          </w:tcPr>
          <w:p w14:paraId="56961174" w14:textId="77777777" w:rsidR="00912028" w:rsidRPr="009930E4" w:rsidRDefault="00912028" w:rsidP="00941BF7">
            <w:pPr>
              <w:rPr>
                <w:rFonts w:ascii="Arial" w:hAnsi="Arial" w:cs="Arial"/>
                <w:noProof/>
                <w:sz w:val="20"/>
                <w:szCs w:val="20"/>
                <w:lang w:val="lt-LT"/>
              </w:rPr>
            </w:pPr>
          </w:p>
        </w:tc>
        <w:tc>
          <w:tcPr>
            <w:tcW w:w="3328" w:type="dxa"/>
            <w:vMerge/>
            <w:shd w:val="clear" w:color="auto" w:fill="auto"/>
          </w:tcPr>
          <w:p w14:paraId="0962855B" w14:textId="0A360CCF" w:rsidR="00912028" w:rsidRPr="009930E4" w:rsidRDefault="00912028" w:rsidP="00941BF7">
            <w:pPr>
              <w:rPr>
                <w:rFonts w:ascii="Arial" w:hAnsi="Arial" w:cs="Arial"/>
                <w:noProof/>
                <w:sz w:val="20"/>
                <w:szCs w:val="20"/>
                <w:lang w:val="lt-LT"/>
              </w:rPr>
            </w:pPr>
          </w:p>
        </w:tc>
        <w:tc>
          <w:tcPr>
            <w:tcW w:w="2282" w:type="dxa"/>
            <w:shd w:val="clear" w:color="auto" w:fill="auto"/>
          </w:tcPr>
          <w:p w14:paraId="1212F58D" w14:textId="430863AA" w:rsidR="00912028" w:rsidRPr="009930E4" w:rsidRDefault="00912028" w:rsidP="00941BF7">
            <w:pPr>
              <w:rPr>
                <w:rFonts w:ascii="Arial" w:hAnsi="Arial" w:cs="Arial"/>
                <w:b/>
                <w:bCs/>
                <w:noProof/>
                <w:sz w:val="20"/>
                <w:szCs w:val="20"/>
                <w:lang w:val="lt-LT"/>
              </w:rPr>
            </w:pPr>
            <w:r w:rsidRPr="009930E4">
              <w:rPr>
                <w:rFonts w:ascii="Arial" w:hAnsi="Arial" w:cs="Arial"/>
                <w:noProof/>
                <w:sz w:val="20"/>
                <w:szCs w:val="20"/>
                <w:lang w:val="lt-LT"/>
              </w:rPr>
              <w:t>Prekių suma su PVM</w:t>
            </w:r>
          </w:p>
        </w:tc>
        <w:tc>
          <w:tcPr>
            <w:tcW w:w="528" w:type="dxa"/>
            <w:shd w:val="clear" w:color="auto" w:fill="auto"/>
          </w:tcPr>
          <w:p w14:paraId="7C62CDD4" w14:textId="661AE0D8" w:rsidR="00912028" w:rsidRPr="009930E4" w:rsidRDefault="00912028" w:rsidP="000979FE">
            <w:pPr>
              <w:rPr>
                <w:rFonts w:ascii="Arial" w:hAnsi="Arial" w:cs="Arial"/>
                <w:b/>
                <w:bCs/>
                <w:noProof/>
                <w:sz w:val="20"/>
                <w:szCs w:val="20"/>
                <w:lang w:val="lt-LT"/>
              </w:rPr>
            </w:pPr>
            <w:r w:rsidRPr="009930E4">
              <w:rPr>
                <w:rFonts w:ascii="Arial" w:hAnsi="Arial" w:cs="Arial"/>
                <w:noProof/>
                <w:sz w:val="20"/>
                <w:szCs w:val="20"/>
                <w:lang w:val="lt-LT"/>
              </w:rPr>
              <w:t>Eur</w:t>
            </w:r>
          </w:p>
        </w:tc>
        <w:tc>
          <w:tcPr>
            <w:tcW w:w="3619" w:type="dxa"/>
            <w:shd w:val="clear" w:color="auto" w:fill="auto"/>
          </w:tcPr>
          <w:p w14:paraId="23A2A4D7" w14:textId="14B948B1" w:rsidR="00912028" w:rsidRPr="009930E4" w:rsidRDefault="00912028" w:rsidP="00941BF7">
            <w:pPr>
              <w:rPr>
                <w:rFonts w:ascii="Arial" w:hAnsi="Arial" w:cs="Arial"/>
                <w:b/>
                <w:noProof/>
                <w:sz w:val="20"/>
                <w:szCs w:val="20"/>
                <w:lang w:val="lt-LT"/>
              </w:rPr>
            </w:pPr>
          </w:p>
        </w:tc>
      </w:tr>
      <w:tr w:rsidR="007B649B" w:rsidRPr="009930E4" w14:paraId="368838BA" w14:textId="4D08C427" w:rsidTr="003A7291">
        <w:trPr>
          <w:trHeight w:val="152"/>
        </w:trPr>
        <w:tc>
          <w:tcPr>
            <w:tcW w:w="495" w:type="dxa"/>
            <w:vMerge w:val="restart"/>
          </w:tcPr>
          <w:p w14:paraId="3A489E12" w14:textId="4BBED072" w:rsidR="007B649B" w:rsidRPr="009930E4" w:rsidRDefault="007B649B" w:rsidP="007B649B">
            <w:pPr>
              <w:tabs>
                <w:tab w:val="left" w:pos="313"/>
              </w:tabs>
              <w:rPr>
                <w:rFonts w:ascii="Arial" w:hAnsi="Arial" w:cs="Arial"/>
                <w:noProof/>
                <w:sz w:val="20"/>
                <w:szCs w:val="20"/>
                <w:lang w:val="lt-LT"/>
              </w:rPr>
            </w:pPr>
            <w:r>
              <w:rPr>
                <w:rFonts w:ascii="Arial" w:hAnsi="Arial" w:cs="Arial"/>
                <w:noProof/>
                <w:sz w:val="20"/>
                <w:szCs w:val="20"/>
                <w:lang w:val="lt-LT"/>
              </w:rPr>
              <w:t>7.</w:t>
            </w:r>
          </w:p>
        </w:tc>
        <w:tc>
          <w:tcPr>
            <w:tcW w:w="3328" w:type="dxa"/>
            <w:vMerge w:val="restart"/>
            <w:shd w:val="clear" w:color="auto" w:fill="auto"/>
            <w:vAlign w:val="center"/>
          </w:tcPr>
          <w:p w14:paraId="76A8403B" w14:textId="2887AD72" w:rsidR="007B649B" w:rsidRPr="009930E4" w:rsidRDefault="007B649B" w:rsidP="007B649B">
            <w:pPr>
              <w:tabs>
                <w:tab w:val="left" w:pos="313"/>
              </w:tabs>
              <w:rPr>
                <w:rFonts w:ascii="Arial" w:hAnsi="Arial" w:cs="Arial"/>
                <w:noProof/>
                <w:sz w:val="20"/>
                <w:szCs w:val="20"/>
                <w:lang w:val="lt-LT"/>
              </w:rPr>
            </w:pPr>
            <w:r w:rsidRPr="009930E4">
              <w:rPr>
                <w:rFonts w:ascii="Arial" w:hAnsi="Arial" w:cs="Arial"/>
                <w:noProof/>
                <w:sz w:val="20"/>
                <w:szCs w:val="20"/>
                <w:lang w:val="lt-LT"/>
              </w:rPr>
              <w:t>Prekių pristatymo sąlygos</w:t>
            </w:r>
          </w:p>
        </w:tc>
        <w:tc>
          <w:tcPr>
            <w:tcW w:w="2282" w:type="dxa"/>
            <w:shd w:val="clear" w:color="auto" w:fill="auto"/>
          </w:tcPr>
          <w:p w14:paraId="6E365C84" w14:textId="0150D2E2" w:rsidR="007B649B" w:rsidRPr="009930E4" w:rsidRDefault="007B649B" w:rsidP="007B649B">
            <w:pPr>
              <w:tabs>
                <w:tab w:val="left" w:pos="313"/>
              </w:tabs>
              <w:rPr>
                <w:rFonts w:ascii="Arial" w:hAnsi="Arial" w:cs="Arial"/>
                <w:noProof/>
                <w:sz w:val="20"/>
                <w:szCs w:val="20"/>
                <w:lang w:val="lt-LT"/>
              </w:rPr>
            </w:pPr>
            <w:r w:rsidRPr="009930E4">
              <w:rPr>
                <w:rFonts w:ascii="Arial" w:hAnsi="Arial" w:cs="Arial"/>
                <w:noProof/>
                <w:sz w:val="20"/>
                <w:szCs w:val="20"/>
                <w:lang w:val="lt-LT"/>
              </w:rPr>
              <w:t>adresai:</w:t>
            </w:r>
          </w:p>
        </w:tc>
        <w:tc>
          <w:tcPr>
            <w:tcW w:w="4147" w:type="dxa"/>
            <w:gridSpan w:val="2"/>
          </w:tcPr>
          <w:p w14:paraId="6459EDF3" w14:textId="31E185CD" w:rsidR="007B649B" w:rsidRPr="001458A9" w:rsidRDefault="007B649B" w:rsidP="007B649B">
            <w:pPr>
              <w:tabs>
                <w:tab w:val="left" w:pos="313"/>
              </w:tabs>
              <w:rPr>
                <w:rFonts w:ascii="Arial" w:hAnsi="Arial" w:cs="Arial"/>
                <w:noProof/>
                <w:sz w:val="20"/>
                <w:szCs w:val="20"/>
                <w:lang w:val="lt-LT"/>
              </w:rPr>
            </w:pPr>
            <w:r w:rsidRPr="0083405E">
              <w:rPr>
                <w:rFonts w:ascii="Arial" w:hAnsi="Arial" w:cs="Arial"/>
                <w:noProof/>
                <w:sz w:val="20"/>
                <w:szCs w:val="20"/>
                <w:lang w:val="lt-LT"/>
              </w:rPr>
              <w:t>Nurodyt</w:t>
            </w:r>
            <w:r>
              <w:rPr>
                <w:rFonts w:ascii="Arial" w:hAnsi="Arial" w:cs="Arial"/>
                <w:noProof/>
                <w:sz w:val="20"/>
                <w:szCs w:val="20"/>
                <w:lang w:val="lt-LT"/>
              </w:rPr>
              <w:t>i</w:t>
            </w:r>
            <w:r w:rsidRPr="0083405E">
              <w:rPr>
                <w:rFonts w:ascii="Arial" w:hAnsi="Arial" w:cs="Arial"/>
                <w:noProof/>
                <w:sz w:val="20"/>
                <w:szCs w:val="20"/>
                <w:lang w:val="lt-LT"/>
              </w:rPr>
              <w:t xml:space="preserve"> techninėje specifikacijoje</w:t>
            </w:r>
          </w:p>
        </w:tc>
      </w:tr>
      <w:tr w:rsidR="006D5CF8" w:rsidRPr="009930E4" w14:paraId="28A2C26C" w14:textId="691D1171" w:rsidTr="003A7291">
        <w:trPr>
          <w:trHeight w:val="152"/>
        </w:trPr>
        <w:tc>
          <w:tcPr>
            <w:tcW w:w="495" w:type="dxa"/>
            <w:vMerge/>
          </w:tcPr>
          <w:p w14:paraId="7EAC567F" w14:textId="77777777" w:rsidR="006D5CF8" w:rsidRPr="009930E4" w:rsidRDefault="006D5CF8" w:rsidP="006D5CF8">
            <w:pPr>
              <w:tabs>
                <w:tab w:val="left" w:pos="313"/>
              </w:tabs>
              <w:rPr>
                <w:rFonts w:ascii="Arial" w:hAnsi="Arial" w:cs="Arial"/>
                <w:noProof/>
                <w:sz w:val="20"/>
                <w:szCs w:val="20"/>
                <w:lang w:val="lt-LT"/>
              </w:rPr>
            </w:pPr>
          </w:p>
        </w:tc>
        <w:tc>
          <w:tcPr>
            <w:tcW w:w="3328" w:type="dxa"/>
            <w:vMerge/>
            <w:shd w:val="clear" w:color="auto" w:fill="auto"/>
          </w:tcPr>
          <w:p w14:paraId="2AC59D36" w14:textId="0EE4E831" w:rsidR="006D5CF8" w:rsidRPr="009930E4" w:rsidRDefault="006D5CF8" w:rsidP="006D5CF8">
            <w:pPr>
              <w:tabs>
                <w:tab w:val="left" w:pos="313"/>
              </w:tabs>
              <w:rPr>
                <w:rFonts w:ascii="Arial" w:hAnsi="Arial" w:cs="Arial"/>
                <w:noProof/>
                <w:sz w:val="20"/>
                <w:szCs w:val="20"/>
                <w:lang w:val="lt-LT"/>
              </w:rPr>
            </w:pPr>
          </w:p>
        </w:tc>
        <w:tc>
          <w:tcPr>
            <w:tcW w:w="2282" w:type="dxa"/>
            <w:shd w:val="clear" w:color="auto" w:fill="auto"/>
          </w:tcPr>
          <w:p w14:paraId="7A2CED91" w14:textId="04B5C29D"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terminas:</w:t>
            </w:r>
            <w:r>
              <w:rPr>
                <w:rFonts w:ascii="Arial" w:hAnsi="Arial" w:cs="Arial"/>
                <w:noProof/>
                <w:sz w:val="20"/>
                <w:szCs w:val="20"/>
                <w:lang w:val="lt-LT"/>
              </w:rPr>
              <w:t xml:space="preserve"> </w:t>
            </w:r>
          </w:p>
        </w:tc>
        <w:tc>
          <w:tcPr>
            <w:tcW w:w="4147" w:type="dxa"/>
            <w:gridSpan w:val="2"/>
          </w:tcPr>
          <w:p w14:paraId="1B3310F1" w14:textId="077D8243" w:rsidR="006D5CF8" w:rsidRPr="001458A9" w:rsidRDefault="006D5CF8" w:rsidP="006D5CF8">
            <w:pPr>
              <w:tabs>
                <w:tab w:val="left" w:pos="313"/>
              </w:tabs>
              <w:rPr>
                <w:rFonts w:ascii="Arial" w:hAnsi="Arial" w:cs="Arial"/>
                <w:noProof/>
                <w:sz w:val="20"/>
                <w:szCs w:val="20"/>
                <w:lang w:val="lt-LT"/>
              </w:rPr>
            </w:pPr>
            <w:r w:rsidRPr="00B147CC">
              <w:rPr>
                <w:rFonts w:ascii="Arial" w:hAnsi="Arial" w:cs="Arial"/>
                <w:noProof/>
                <w:sz w:val="20"/>
                <w:szCs w:val="20"/>
                <w:lang w:val="lt-LT"/>
              </w:rPr>
              <w:t xml:space="preserve">per </w:t>
            </w:r>
            <w:r>
              <w:rPr>
                <w:rFonts w:ascii="Arial" w:hAnsi="Arial" w:cs="Arial"/>
                <w:noProof/>
                <w:sz w:val="20"/>
                <w:szCs w:val="20"/>
                <w:lang w:val="lt-LT"/>
              </w:rPr>
              <w:t>12</w:t>
            </w:r>
            <w:r w:rsidRPr="00B147CC">
              <w:rPr>
                <w:rFonts w:ascii="Arial" w:hAnsi="Arial" w:cs="Arial"/>
                <w:noProof/>
                <w:sz w:val="20"/>
                <w:szCs w:val="20"/>
                <w:lang w:val="lt-LT"/>
              </w:rPr>
              <w:t xml:space="preserve"> (</w:t>
            </w:r>
            <w:r>
              <w:rPr>
                <w:rFonts w:ascii="Arial" w:hAnsi="Arial" w:cs="Arial"/>
                <w:noProof/>
                <w:sz w:val="20"/>
                <w:szCs w:val="20"/>
                <w:lang w:val="lt-LT"/>
              </w:rPr>
              <w:t>dvylika)</w:t>
            </w:r>
            <w:r w:rsidRPr="00B147CC">
              <w:rPr>
                <w:rFonts w:ascii="Arial" w:hAnsi="Arial" w:cs="Arial"/>
                <w:noProof/>
                <w:sz w:val="20"/>
                <w:szCs w:val="20"/>
                <w:lang w:val="lt-LT"/>
              </w:rPr>
              <w:t xml:space="preserve"> darbo dien</w:t>
            </w:r>
            <w:r>
              <w:rPr>
                <w:rFonts w:ascii="Arial" w:hAnsi="Arial" w:cs="Arial"/>
                <w:noProof/>
                <w:sz w:val="20"/>
                <w:szCs w:val="20"/>
                <w:lang w:val="lt-LT"/>
              </w:rPr>
              <w:t>ų</w:t>
            </w:r>
            <w:r w:rsidRPr="00B147CC">
              <w:rPr>
                <w:rFonts w:ascii="Arial" w:hAnsi="Arial" w:cs="Arial"/>
                <w:noProof/>
                <w:sz w:val="20"/>
                <w:szCs w:val="20"/>
                <w:lang w:val="lt-LT"/>
              </w:rPr>
              <w:t xml:space="preserve"> nuo </w:t>
            </w:r>
            <w:r>
              <w:rPr>
                <w:rFonts w:ascii="Arial" w:hAnsi="Arial" w:cs="Arial"/>
                <w:noProof/>
                <w:sz w:val="20"/>
                <w:szCs w:val="20"/>
                <w:lang w:val="lt-LT"/>
              </w:rPr>
              <w:t>Sutarties įsigaliojimo dienos.</w:t>
            </w:r>
          </w:p>
        </w:tc>
      </w:tr>
      <w:tr w:rsidR="006D5CF8" w:rsidRPr="009930E4" w14:paraId="333604B6" w14:textId="77777777" w:rsidTr="003A7291">
        <w:trPr>
          <w:trHeight w:val="387"/>
        </w:trPr>
        <w:tc>
          <w:tcPr>
            <w:tcW w:w="495" w:type="dxa"/>
            <w:vMerge w:val="restart"/>
          </w:tcPr>
          <w:p w14:paraId="0F6A23FF" w14:textId="73A7D177" w:rsidR="006D5CF8" w:rsidRPr="009930E4" w:rsidRDefault="006D5CF8" w:rsidP="006D5CF8">
            <w:pPr>
              <w:tabs>
                <w:tab w:val="left" w:pos="313"/>
              </w:tabs>
              <w:rPr>
                <w:rFonts w:ascii="Arial" w:hAnsi="Arial" w:cs="Arial"/>
                <w:noProof/>
                <w:sz w:val="20"/>
                <w:szCs w:val="20"/>
                <w:lang w:val="lt-LT"/>
              </w:rPr>
            </w:pPr>
            <w:r>
              <w:rPr>
                <w:rFonts w:ascii="Arial" w:hAnsi="Arial" w:cs="Arial"/>
                <w:noProof/>
                <w:sz w:val="20"/>
                <w:szCs w:val="20"/>
                <w:lang w:val="lt-LT"/>
              </w:rPr>
              <w:t>8.</w:t>
            </w:r>
          </w:p>
        </w:tc>
        <w:tc>
          <w:tcPr>
            <w:tcW w:w="3328" w:type="dxa"/>
            <w:vMerge w:val="restart"/>
            <w:shd w:val="clear" w:color="auto" w:fill="auto"/>
          </w:tcPr>
          <w:p w14:paraId="592F066D" w14:textId="347F36E8"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Už Sutarties vykdymą atsakingi asmenys</w:t>
            </w:r>
          </w:p>
        </w:tc>
        <w:tc>
          <w:tcPr>
            <w:tcW w:w="2282" w:type="dxa"/>
            <w:shd w:val="clear" w:color="auto" w:fill="auto"/>
          </w:tcPr>
          <w:p w14:paraId="35471005" w14:textId="6C99FCC1" w:rsidR="006D5CF8" w:rsidRPr="009930E4" w:rsidRDefault="006D5CF8" w:rsidP="006D5CF8">
            <w:pPr>
              <w:tabs>
                <w:tab w:val="left" w:pos="0"/>
              </w:tabs>
              <w:rPr>
                <w:rFonts w:ascii="Arial" w:hAnsi="Arial" w:cs="Arial"/>
                <w:noProof/>
                <w:sz w:val="20"/>
                <w:szCs w:val="20"/>
                <w:lang w:val="lt-LT"/>
              </w:rPr>
            </w:pPr>
            <w:r w:rsidRPr="009930E4">
              <w:rPr>
                <w:rFonts w:ascii="Arial" w:hAnsi="Arial" w:cs="Arial"/>
                <w:noProof/>
                <w:sz w:val="20"/>
                <w:szCs w:val="20"/>
                <w:lang w:val="lt-LT"/>
              </w:rPr>
              <w:t>Pardavėjo atstovas:</w:t>
            </w:r>
          </w:p>
        </w:tc>
        <w:tc>
          <w:tcPr>
            <w:tcW w:w="4147" w:type="dxa"/>
            <w:gridSpan w:val="2"/>
            <w:shd w:val="clear" w:color="auto" w:fill="auto"/>
          </w:tcPr>
          <w:p w14:paraId="73237B17" w14:textId="27F253F0" w:rsidR="006D5CF8" w:rsidRPr="009930E4" w:rsidRDefault="006D5CF8" w:rsidP="006D5CF8">
            <w:pPr>
              <w:tabs>
                <w:tab w:val="left" w:pos="313"/>
              </w:tabs>
              <w:rPr>
                <w:rFonts w:ascii="Arial" w:hAnsi="Arial" w:cs="Arial"/>
                <w:noProof/>
                <w:sz w:val="20"/>
                <w:szCs w:val="20"/>
                <w:lang w:val="lt-LT"/>
              </w:rPr>
            </w:pPr>
          </w:p>
        </w:tc>
      </w:tr>
      <w:tr w:rsidR="006D5CF8" w:rsidRPr="009930E4" w14:paraId="70A70A3C" w14:textId="77777777" w:rsidTr="003A7291">
        <w:trPr>
          <w:trHeight w:val="144"/>
        </w:trPr>
        <w:tc>
          <w:tcPr>
            <w:tcW w:w="495" w:type="dxa"/>
            <w:vMerge/>
          </w:tcPr>
          <w:p w14:paraId="2030736C" w14:textId="77777777" w:rsidR="006D5CF8" w:rsidRPr="009930E4" w:rsidRDefault="006D5CF8" w:rsidP="006D5CF8">
            <w:pPr>
              <w:tabs>
                <w:tab w:val="left" w:pos="313"/>
              </w:tabs>
              <w:rPr>
                <w:rFonts w:ascii="Arial" w:hAnsi="Arial" w:cs="Arial"/>
                <w:noProof/>
                <w:sz w:val="20"/>
                <w:szCs w:val="20"/>
                <w:lang w:val="lt-LT"/>
              </w:rPr>
            </w:pPr>
          </w:p>
        </w:tc>
        <w:tc>
          <w:tcPr>
            <w:tcW w:w="3328" w:type="dxa"/>
            <w:vMerge/>
            <w:shd w:val="clear" w:color="auto" w:fill="auto"/>
          </w:tcPr>
          <w:p w14:paraId="49F36B59" w14:textId="75F3AC93" w:rsidR="006D5CF8" w:rsidRPr="009930E4" w:rsidRDefault="006D5CF8" w:rsidP="006D5CF8">
            <w:pPr>
              <w:tabs>
                <w:tab w:val="left" w:pos="313"/>
              </w:tabs>
              <w:rPr>
                <w:rFonts w:ascii="Arial" w:hAnsi="Arial" w:cs="Arial"/>
                <w:noProof/>
                <w:sz w:val="20"/>
                <w:szCs w:val="20"/>
                <w:lang w:val="lt-LT"/>
              </w:rPr>
            </w:pPr>
          </w:p>
        </w:tc>
        <w:tc>
          <w:tcPr>
            <w:tcW w:w="2282" w:type="dxa"/>
            <w:shd w:val="clear" w:color="auto" w:fill="auto"/>
          </w:tcPr>
          <w:p w14:paraId="6CABF139" w14:textId="5CA043CB" w:rsidR="006D5CF8" w:rsidRPr="009930E4" w:rsidRDefault="006D5CF8" w:rsidP="006D5CF8">
            <w:pPr>
              <w:tabs>
                <w:tab w:val="left" w:pos="313"/>
              </w:tabs>
              <w:rPr>
                <w:rFonts w:ascii="Arial" w:hAnsi="Arial" w:cs="Arial"/>
                <w:noProof/>
                <w:sz w:val="20"/>
                <w:szCs w:val="20"/>
                <w:lang w:val="lt-LT"/>
              </w:rPr>
            </w:pPr>
            <w:r w:rsidRPr="009930E4">
              <w:rPr>
                <w:rFonts w:ascii="Arial" w:hAnsi="Arial" w:cs="Arial"/>
                <w:noProof/>
                <w:sz w:val="20"/>
                <w:szCs w:val="20"/>
                <w:lang w:val="lt-LT"/>
              </w:rPr>
              <w:t>Pirkėjo atstovas:</w:t>
            </w:r>
          </w:p>
        </w:tc>
        <w:tc>
          <w:tcPr>
            <w:tcW w:w="4147" w:type="dxa"/>
            <w:gridSpan w:val="2"/>
            <w:shd w:val="clear" w:color="auto" w:fill="auto"/>
          </w:tcPr>
          <w:p w14:paraId="1A6A074E" w14:textId="62648549" w:rsidR="006D5CF8" w:rsidRPr="009930E4" w:rsidRDefault="006D5CF8" w:rsidP="006D5CF8">
            <w:pPr>
              <w:tabs>
                <w:tab w:val="left" w:pos="313"/>
              </w:tabs>
              <w:rPr>
                <w:rFonts w:ascii="Arial" w:hAnsi="Arial" w:cs="Arial"/>
                <w:noProof/>
                <w:sz w:val="20"/>
                <w:szCs w:val="20"/>
                <w:lang w:val="lt-LT"/>
              </w:rPr>
            </w:pPr>
          </w:p>
        </w:tc>
      </w:tr>
      <w:tr w:rsidR="00B15F60" w:rsidRPr="009930E4" w14:paraId="4A7FE78C" w14:textId="77777777" w:rsidTr="003A7291">
        <w:trPr>
          <w:trHeight w:val="318"/>
        </w:trPr>
        <w:tc>
          <w:tcPr>
            <w:tcW w:w="495" w:type="dxa"/>
          </w:tcPr>
          <w:p w14:paraId="1953D810" w14:textId="7A8E103E" w:rsidR="00B15F60" w:rsidRPr="009930E4" w:rsidRDefault="00B15F60" w:rsidP="00B15F60">
            <w:pPr>
              <w:tabs>
                <w:tab w:val="left" w:pos="426"/>
                <w:tab w:val="left" w:pos="601"/>
              </w:tabs>
              <w:rPr>
                <w:rFonts w:ascii="Arial" w:hAnsi="Arial" w:cs="Arial"/>
                <w:noProof/>
                <w:sz w:val="20"/>
                <w:szCs w:val="20"/>
                <w:lang w:val="lt-LT"/>
              </w:rPr>
            </w:pPr>
            <w:r>
              <w:rPr>
                <w:rFonts w:ascii="Arial" w:hAnsi="Arial" w:cs="Arial"/>
                <w:noProof/>
                <w:sz w:val="20"/>
                <w:szCs w:val="20"/>
                <w:lang w:val="lt-LT"/>
              </w:rPr>
              <w:t>9.</w:t>
            </w:r>
          </w:p>
        </w:tc>
        <w:tc>
          <w:tcPr>
            <w:tcW w:w="3328" w:type="dxa"/>
            <w:shd w:val="clear" w:color="auto" w:fill="auto"/>
          </w:tcPr>
          <w:p w14:paraId="3D1A33E1" w14:textId="7DC8BEFC" w:rsidR="00B15F60" w:rsidRPr="009930E4" w:rsidRDefault="00B15F60" w:rsidP="00B15F60">
            <w:pPr>
              <w:tabs>
                <w:tab w:val="left" w:pos="426"/>
                <w:tab w:val="left" w:pos="601"/>
              </w:tabs>
              <w:rPr>
                <w:rFonts w:ascii="Arial" w:hAnsi="Arial" w:cs="Arial"/>
                <w:noProof/>
                <w:sz w:val="20"/>
                <w:szCs w:val="20"/>
                <w:lang w:val="lt-LT"/>
              </w:rPr>
            </w:pPr>
            <w:bookmarkStart w:id="3" w:name="_Hlk79735763"/>
            <w:r w:rsidRPr="009930E4">
              <w:rPr>
                <w:rFonts w:ascii="Arial" w:hAnsi="Arial" w:cs="Arial"/>
                <w:noProof/>
                <w:sz w:val="20"/>
                <w:szCs w:val="20"/>
                <w:lang w:val="lt-LT"/>
              </w:rPr>
              <w:t>Sutarties priedai:</w:t>
            </w:r>
          </w:p>
        </w:tc>
        <w:tc>
          <w:tcPr>
            <w:tcW w:w="6429" w:type="dxa"/>
            <w:gridSpan w:val="3"/>
            <w:shd w:val="clear" w:color="auto" w:fill="auto"/>
          </w:tcPr>
          <w:p w14:paraId="168DBADE" w14:textId="77777777" w:rsidR="00B15F60" w:rsidRPr="00B147CC" w:rsidRDefault="00B15F60" w:rsidP="00B15F60">
            <w:pPr>
              <w:tabs>
                <w:tab w:val="left" w:pos="567"/>
              </w:tabs>
              <w:contextualSpacing/>
              <w:jc w:val="both"/>
              <w:rPr>
                <w:rFonts w:ascii="Arial" w:hAnsi="Arial" w:cs="Arial"/>
                <w:noProof/>
                <w:sz w:val="20"/>
                <w:szCs w:val="20"/>
                <w:lang w:val="lt-LT"/>
              </w:rPr>
            </w:pPr>
            <w:r w:rsidRPr="7D1EB622">
              <w:rPr>
                <w:rFonts w:ascii="Arial" w:hAnsi="Arial" w:cs="Arial"/>
                <w:noProof/>
                <w:sz w:val="20"/>
                <w:szCs w:val="20"/>
                <w:lang w:val="lt-LT"/>
              </w:rPr>
              <w:t>1 priedas – Techninė specifikacija, 2 lapai;</w:t>
            </w:r>
          </w:p>
          <w:p w14:paraId="42F4F5A1" w14:textId="54C27388" w:rsidR="00B15F60" w:rsidRPr="009930E4" w:rsidRDefault="00B15F60" w:rsidP="00B15F60">
            <w:pPr>
              <w:tabs>
                <w:tab w:val="left" w:pos="567"/>
              </w:tabs>
              <w:spacing w:line="264" w:lineRule="auto"/>
              <w:contextualSpacing/>
              <w:jc w:val="both"/>
              <w:rPr>
                <w:rFonts w:ascii="Arial" w:hAnsi="Arial" w:cs="Arial"/>
                <w:noProof/>
                <w:sz w:val="20"/>
                <w:szCs w:val="20"/>
                <w:lang w:val="lt-LT"/>
              </w:rPr>
            </w:pPr>
            <w:r w:rsidRPr="00B147CC">
              <w:rPr>
                <w:rFonts w:ascii="Arial" w:hAnsi="Arial" w:cs="Arial"/>
                <w:noProof/>
                <w:sz w:val="20"/>
                <w:szCs w:val="20"/>
                <w:lang w:val="lt-LT"/>
              </w:rPr>
              <w:t xml:space="preserve">2 priedas – Pardavėjo pasiūlymas, </w:t>
            </w:r>
            <w:r>
              <w:rPr>
                <w:rFonts w:ascii="Arial" w:hAnsi="Arial" w:cs="Arial"/>
                <w:noProof/>
                <w:sz w:val="20"/>
                <w:szCs w:val="20"/>
                <w:lang w:val="lt-LT"/>
              </w:rPr>
              <w:t xml:space="preserve">x </w:t>
            </w:r>
            <w:r w:rsidRPr="00B147CC">
              <w:rPr>
                <w:rFonts w:ascii="Arial" w:hAnsi="Arial" w:cs="Arial"/>
                <w:noProof/>
                <w:sz w:val="20"/>
                <w:szCs w:val="20"/>
                <w:lang w:val="lt-LT"/>
              </w:rPr>
              <w:t xml:space="preserve">lapai. </w:t>
            </w:r>
          </w:p>
        </w:tc>
      </w:tr>
      <w:tr w:rsidR="00B15F60" w:rsidRPr="009930E4" w14:paraId="2C9640E5" w14:textId="77777777" w:rsidTr="003A7291">
        <w:trPr>
          <w:trHeight w:val="145"/>
        </w:trPr>
        <w:tc>
          <w:tcPr>
            <w:tcW w:w="495" w:type="dxa"/>
          </w:tcPr>
          <w:p w14:paraId="215F757C" w14:textId="3DC11EAC" w:rsidR="00B15F60" w:rsidRPr="009930E4" w:rsidRDefault="00B15F60" w:rsidP="00B15F60">
            <w:pPr>
              <w:spacing w:after="120"/>
              <w:rPr>
                <w:rFonts w:ascii="Arial" w:hAnsi="Arial" w:cs="Arial"/>
                <w:noProof/>
                <w:sz w:val="20"/>
                <w:szCs w:val="20"/>
                <w:lang w:val="lt-LT"/>
              </w:rPr>
            </w:pPr>
            <w:r>
              <w:rPr>
                <w:rFonts w:ascii="Arial" w:hAnsi="Arial" w:cs="Arial"/>
                <w:noProof/>
                <w:sz w:val="20"/>
                <w:szCs w:val="20"/>
                <w:lang w:val="lt-LT"/>
              </w:rPr>
              <w:t>10.</w:t>
            </w:r>
          </w:p>
        </w:tc>
        <w:tc>
          <w:tcPr>
            <w:tcW w:w="3328" w:type="dxa"/>
            <w:shd w:val="clear" w:color="auto" w:fill="auto"/>
          </w:tcPr>
          <w:p w14:paraId="5CA17705" w14:textId="4094A3DF" w:rsidR="00B15F60" w:rsidRPr="009930E4" w:rsidRDefault="00B15F60" w:rsidP="00B15F60">
            <w:pPr>
              <w:spacing w:after="120"/>
              <w:rPr>
                <w:rFonts w:ascii="Arial" w:hAnsi="Arial" w:cs="Arial"/>
                <w:noProof/>
                <w:sz w:val="20"/>
                <w:szCs w:val="20"/>
                <w:lang w:val="lt-LT"/>
              </w:rPr>
            </w:pPr>
            <w:r w:rsidRPr="009930E4">
              <w:rPr>
                <w:rFonts w:ascii="Arial" w:hAnsi="Arial" w:cs="Arial"/>
                <w:noProof/>
                <w:sz w:val="20"/>
                <w:szCs w:val="20"/>
                <w:lang w:val="lt-LT"/>
              </w:rPr>
              <w:t>Pirkėjo protokolai ar sprendimai:</w:t>
            </w:r>
          </w:p>
        </w:tc>
        <w:tc>
          <w:tcPr>
            <w:tcW w:w="6429" w:type="dxa"/>
            <w:gridSpan w:val="3"/>
            <w:shd w:val="clear" w:color="auto" w:fill="auto"/>
          </w:tcPr>
          <w:p w14:paraId="395FD5B5" w14:textId="2FAC5EA9" w:rsidR="00B15F60" w:rsidRPr="009930E4" w:rsidRDefault="00B15F60" w:rsidP="00B15F60">
            <w:pPr>
              <w:jc w:val="both"/>
              <w:rPr>
                <w:rFonts w:ascii="Arial" w:hAnsi="Arial" w:cs="Arial"/>
                <w:noProof/>
                <w:sz w:val="20"/>
                <w:szCs w:val="20"/>
                <w:lang w:val="lt-LT"/>
              </w:rPr>
            </w:pPr>
          </w:p>
        </w:tc>
      </w:tr>
      <w:tr w:rsidR="00B15F60" w:rsidRPr="009930E4" w14:paraId="5AAC2953" w14:textId="77777777" w:rsidTr="003A7291">
        <w:trPr>
          <w:trHeight w:val="145"/>
        </w:trPr>
        <w:tc>
          <w:tcPr>
            <w:tcW w:w="495" w:type="dxa"/>
          </w:tcPr>
          <w:p w14:paraId="14819456" w14:textId="2670A78C" w:rsidR="00B15F60" w:rsidRPr="009930E4" w:rsidRDefault="00B15F60" w:rsidP="00B15F60">
            <w:pPr>
              <w:spacing w:after="120"/>
              <w:ind w:left="-262"/>
              <w:jc w:val="center"/>
              <w:rPr>
                <w:rFonts w:ascii="Arial" w:hAnsi="Arial" w:cs="Arial"/>
                <w:noProof/>
                <w:sz w:val="20"/>
                <w:szCs w:val="20"/>
                <w:lang w:val="lt-LT"/>
              </w:rPr>
            </w:pPr>
            <w:r>
              <w:rPr>
                <w:rFonts w:ascii="Arial" w:hAnsi="Arial" w:cs="Arial"/>
                <w:noProof/>
                <w:sz w:val="20"/>
                <w:szCs w:val="20"/>
                <w:lang w:val="lt-LT"/>
              </w:rPr>
              <w:t>1  11.</w:t>
            </w:r>
          </w:p>
        </w:tc>
        <w:tc>
          <w:tcPr>
            <w:tcW w:w="3328" w:type="dxa"/>
            <w:shd w:val="clear" w:color="auto" w:fill="auto"/>
          </w:tcPr>
          <w:p w14:paraId="5341CA26" w14:textId="662AD6DC" w:rsidR="00B15F60" w:rsidRPr="009930E4" w:rsidRDefault="00B15F60" w:rsidP="00B15F60">
            <w:pPr>
              <w:spacing w:after="120"/>
              <w:ind w:left="-262"/>
              <w:rPr>
                <w:rFonts w:ascii="Arial" w:hAnsi="Arial" w:cs="Arial"/>
                <w:noProof/>
                <w:sz w:val="20"/>
                <w:szCs w:val="20"/>
                <w:lang w:val="lt-LT"/>
              </w:rPr>
            </w:pPr>
            <w:r w:rsidRPr="009930E4">
              <w:rPr>
                <w:rFonts w:ascii="Arial" w:hAnsi="Arial" w:cs="Arial"/>
                <w:noProof/>
                <w:sz w:val="20"/>
                <w:szCs w:val="20"/>
                <w:lang w:val="lt-LT"/>
              </w:rPr>
              <w:t xml:space="preserve">     Kitos sąlygos:</w:t>
            </w:r>
          </w:p>
        </w:tc>
        <w:tc>
          <w:tcPr>
            <w:tcW w:w="6429" w:type="dxa"/>
            <w:gridSpan w:val="3"/>
            <w:shd w:val="clear" w:color="auto" w:fill="auto"/>
          </w:tcPr>
          <w:p w14:paraId="34549944" w14:textId="359A04C3" w:rsidR="00437293" w:rsidRPr="0041279A" w:rsidRDefault="00FB33EA" w:rsidP="00437293">
            <w:pPr>
              <w:tabs>
                <w:tab w:val="left" w:pos="1134"/>
              </w:tabs>
              <w:jc w:val="both"/>
              <w:rPr>
                <w:rFonts w:ascii="Arial" w:hAnsi="Arial" w:cs="Arial"/>
                <w:sz w:val="20"/>
                <w:szCs w:val="20"/>
                <w:lang w:val="lt-LT"/>
              </w:rPr>
            </w:pPr>
            <w:r>
              <w:rPr>
                <w:rFonts w:ascii="Arial" w:hAnsi="Arial" w:cs="Arial"/>
                <w:noProof/>
                <w:sz w:val="20"/>
                <w:szCs w:val="20"/>
                <w:lang w:val="lt-LT"/>
              </w:rPr>
              <w:t xml:space="preserve">1. </w:t>
            </w:r>
            <w:r w:rsidR="00437293">
              <w:rPr>
                <w:rFonts w:ascii="Arial" w:hAnsi="Arial" w:cs="Arial"/>
                <w:noProof/>
                <w:sz w:val="20"/>
                <w:szCs w:val="20"/>
                <w:lang w:val="lt-LT"/>
              </w:rPr>
              <w:t xml:space="preserve">Taikomas </w:t>
            </w:r>
            <w:r w:rsidR="00437293" w:rsidRPr="0041279A">
              <w:rPr>
                <w:rFonts w:ascii="Arial" w:hAnsi="Arial" w:cs="Arial"/>
                <w:sz w:val="20"/>
                <w:szCs w:val="20"/>
                <w:lang w:val="lt-LT"/>
              </w:rPr>
              <w:t>aplinkos apsaugos kriterijus, susijęs su pirkimo objektu ir taikomas vienas iš numatytų aplinkosauginių principų produkto gyvavimo ciklo etape, t. y. perkamos prekės yra tvirtos, ilgaamžės ir funkcionalios (vadovaujantis Lietuvos Respublikos aplinkos ministro 2011 m. birželio 28 d. įsakymu Nr. D1-508 patvirtinto Aplinkos apsaugos kriterijų, vykdant žaliuosius pirkimus, taikymo tvarkos aprašo 4.4.4.4. p.).</w:t>
            </w:r>
          </w:p>
          <w:p w14:paraId="1DF4FD75" w14:textId="156E9842" w:rsidR="00B15F60" w:rsidRPr="001458A9" w:rsidRDefault="00FB33EA" w:rsidP="00FB33EA">
            <w:pPr>
              <w:jc w:val="both"/>
              <w:rPr>
                <w:rFonts w:ascii="Arial" w:hAnsi="Arial" w:cs="Arial"/>
                <w:noProof/>
                <w:sz w:val="20"/>
                <w:szCs w:val="20"/>
                <w:lang w:val="lt-LT"/>
              </w:rPr>
            </w:pPr>
            <w:r>
              <w:rPr>
                <w:rFonts w:ascii="Arial" w:hAnsi="Arial" w:cs="Arial"/>
                <w:sz w:val="20"/>
                <w:szCs w:val="20"/>
                <w:lang w:val="lt-LT"/>
              </w:rPr>
              <w:t>2. Netaikomi Sutarties Bendrosios dalies sąlygų 2.5.1 - 2.5.</w:t>
            </w:r>
            <w:r w:rsidR="00D5526D">
              <w:rPr>
                <w:rFonts w:ascii="Arial" w:hAnsi="Arial" w:cs="Arial"/>
                <w:sz w:val="20"/>
                <w:szCs w:val="20"/>
                <w:lang w:val="lt-LT"/>
              </w:rPr>
              <w:t>7</w:t>
            </w:r>
            <w:r>
              <w:rPr>
                <w:rFonts w:ascii="Arial" w:hAnsi="Arial" w:cs="Arial"/>
                <w:sz w:val="20"/>
                <w:szCs w:val="20"/>
                <w:lang w:val="lt-LT"/>
              </w:rPr>
              <w:t xml:space="preserve"> punktai</w:t>
            </w:r>
          </w:p>
        </w:tc>
      </w:tr>
      <w:bookmarkEnd w:id="2"/>
      <w:bookmarkEnd w:id="3"/>
    </w:tbl>
    <w:p w14:paraId="186F866F" w14:textId="77777777" w:rsidR="00C125AE" w:rsidRPr="009930E4" w:rsidRDefault="00C125AE" w:rsidP="006409CF">
      <w:pPr>
        <w:jc w:val="center"/>
        <w:rPr>
          <w:rFonts w:ascii="Arial" w:hAnsi="Arial" w:cs="Arial"/>
          <w:b/>
          <w:bCs/>
          <w:noProof/>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lastRenderedPageBreak/>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Pirkėjas laikys, kad PVM sąskaita faktūra nėra gauta, o apmokėjimo terminai bus skaičiuojami tik nuo 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1A10CC">
        <w:rPr>
          <w:rFonts w:ascii="Arial" w:hAnsi="Arial" w:cs="Arial"/>
          <w:noProof/>
          <w:sz w:val="20"/>
          <w:szCs w:val="20"/>
          <w:lang w:val="en-US"/>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šalims pasirašius Sutartį - nuo Sutarties pasirašymo dienos (vėliausios Šalies parašo data),</w:t>
      </w:r>
      <w:r w:rsidRPr="00D91AF6">
        <w:rPr>
          <w:rFonts w:ascii="Arial" w:hAnsi="Arial" w:cs="Arial"/>
          <w:noProof/>
          <w:sz w:val="20"/>
          <w:szCs w:val="20"/>
        </w:rPr>
        <w:br/>
        <w:t>arba</w:t>
      </w:r>
    </w:p>
    <w:p w14:paraId="220773B0"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D91AF6">
        <w:rPr>
          <w:rFonts w:ascii="Arial" w:hAnsi="Arial" w:cs="Arial"/>
          <w:noProof/>
          <w:sz w:val="20"/>
          <w:szCs w:val="20"/>
        </w:rPr>
        <w:t>jei reikalaujamas Sutarties įvykdymo užtikrinimas – šalims pasirašius Sutartį ir Rangovui</w:t>
      </w:r>
      <w:r w:rsidRPr="00D91AF6">
        <w:rPr>
          <w:rFonts w:ascii="Arial" w:hAnsi="Arial" w:cs="Arial"/>
          <w:noProof/>
          <w:sz w:val="20"/>
          <w:szCs w:val="20"/>
        </w:rPr>
        <w:br/>
        <w:t>pateikus Užtikrinimą. Sutarties įsigaliojimo data yra laikoma Sutarties Užtikrinimo pateikimo diena.</w:t>
      </w:r>
    </w:p>
    <w:p w14:paraId="12EDE774" w14:textId="77777777" w:rsidR="0088064B" w:rsidRPr="00D91AF6" w:rsidRDefault="0088064B" w:rsidP="0088064B">
      <w:pPr>
        <w:tabs>
          <w:tab w:val="left" w:pos="709"/>
        </w:tabs>
        <w:spacing w:after="120"/>
        <w:ind w:left="720"/>
        <w:jc w:val="both"/>
        <w:rPr>
          <w:rFonts w:ascii="Arial" w:hAnsi="Arial" w:cs="Arial"/>
          <w:noProof/>
          <w:sz w:val="20"/>
          <w:szCs w:val="20"/>
          <w:lang w:val="lt-LT"/>
        </w:rPr>
      </w:pPr>
      <w:r w:rsidRPr="00D91AF6">
        <w:rPr>
          <w:rFonts w:ascii="Arial" w:hAnsi="Arial" w:cs="Arial"/>
          <w:noProof/>
          <w:sz w:val="20"/>
          <w:szCs w:val="20"/>
        </w:rPr>
        <w:t>Rangovui nepasirašius Sutarties ar nepateikus Užtikrinimo nustatytais terminais Sutartis neįsigalioja</w:t>
      </w:r>
      <w:r>
        <w:rPr>
          <w:rFonts w:ascii="Arial" w:hAnsi="Arial" w:cs="Arial"/>
          <w:noProof/>
          <w:sz w:val="20"/>
          <w:szCs w:val="20"/>
        </w:rPr>
        <w:t>.</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6DF3DBA5"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įrašyti</w:t>
            </w: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28CD26CB" w14:textId="4A0D1812" w:rsidR="0034788C" w:rsidRPr="00643E8E"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Generalinis direktorius Tomas Garasimavičius</w:t>
            </w:r>
          </w:p>
          <w:p w14:paraId="61560D84" w14:textId="53FEB2D4"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Vardas pavardė, pareigos </w:t>
            </w:r>
          </w:p>
          <w:p w14:paraId="6D1F3ED0" w14:textId="77777777" w:rsidR="00633268" w:rsidRPr="009930E4" w:rsidRDefault="00633268" w:rsidP="008348CD">
            <w:pPr>
              <w:jc w:val="both"/>
              <w:rPr>
                <w:rFonts w:ascii="Arial" w:hAnsi="Arial" w:cs="Arial"/>
                <w:bCs/>
                <w:noProof/>
                <w:sz w:val="20"/>
                <w:szCs w:val="20"/>
                <w:lang w:val="lt-LT"/>
              </w:rPr>
            </w:pPr>
          </w:p>
          <w:p w14:paraId="3D515DA4" w14:textId="65FD8F53" w:rsidR="0034788C" w:rsidRPr="009930E4" w:rsidRDefault="0034788C" w:rsidP="008348CD">
            <w:pPr>
              <w:jc w:val="both"/>
              <w:rPr>
                <w:rFonts w:ascii="Arial" w:hAnsi="Arial" w:cs="Arial"/>
                <w:bCs/>
                <w:noProof/>
                <w:sz w:val="20"/>
                <w:szCs w:val="20"/>
                <w:lang w:val="lt-LT"/>
              </w:rPr>
            </w:pPr>
          </w:p>
          <w:p w14:paraId="4B705245" w14:textId="77777777" w:rsidR="00493AB3" w:rsidRPr="009930E4" w:rsidRDefault="00493AB3" w:rsidP="008348CD">
            <w:pPr>
              <w:jc w:val="both"/>
              <w:rPr>
                <w:rFonts w:ascii="Arial" w:hAnsi="Arial" w:cs="Arial"/>
                <w:bCs/>
                <w:noProof/>
                <w:sz w:val="20"/>
                <w:szCs w:val="20"/>
                <w:lang w:val="lt-LT"/>
              </w:rPr>
            </w:pPr>
          </w:p>
          <w:p w14:paraId="1DA56D1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158A8839" w14:textId="7F07B424" w:rsidR="00C66CCE"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C66CCE" w:rsidRPr="009930E4">
              <w:rPr>
                <w:rFonts w:ascii="Arial" w:hAnsi="Arial" w:cs="Arial"/>
                <w:bCs/>
                <w:noProof/>
                <w:sz w:val="20"/>
                <w:szCs w:val="20"/>
                <w:lang w:val="lt-LT"/>
              </w:rPr>
              <w:t>_____________________________</w:t>
            </w:r>
          </w:p>
          <w:p w14:paraId="7A676BE1" w14:textId="4ED9182A" w:rsidR="0034788C" w:rsidRPr="009930E4" w:rsidRDefault="00C66CCE" w:rsidP="008348CD">
            <w:pPr>
              <w:jc w:val="both"/>
              <w:rPr>
                <w:rFonts w:ascii="Arial" w:hAnsi="Arial" w:cs="Arial"/>
                <w:bCs/>
                <w:noProof/>
                <w:sz w:val="20"/>
                <w:szCs w:val="20"/>
                <w:lang w:val="lt-LT"/>
              </w:rPr>
            </w:pPr>
            <w:r w:rsidRPr="009930E4">
              <w:rPr>
                <w:rFonts w:ascii="Arial" w:hAnsi="Arial" w:cs="Arial"/>
                <w:bCs/>
                <w:noProof/>
                <w:sz w:val="20"/>
                <w:szCs w:val="20"/>
                <w:lang w:val="lt-LT"/>
              </w:rPr>
              <w:t xml:space="preserve">            </w:t>
            </w:r>
            <w:r w:rsidR="0034788C" w:rsidRPr="009930E4">
              <w:rPr>
                <w:rFonts w:ascii="Arial" w:hAnsi="Arial" w:cs="Arial"/>
                <w:bCs/>
                <w:noProof/>
                <w:sz w:val="20"/>
                <w:szCs w:val="20"/>
                <w:lang w:val="lt-LT"/>
              </w:rPr>
              <w:t xml:space="preserve">   Vardas pavardė, pareigos </w:t>
            </w:r>
          </w:p>
          <w:p w14:paraId="6CA29B49" w14:textId="779706C8" w:rsidR="0034788C" w:rsidRPr="009930E4" w:rsidRDefault="0034788C" w:rsidP="008348CD">
            <w:pPr>
              <w:jc w:val="both"/>
              <w:rPr>
                <w:rFonts w:ascii="Arial" w:hAnsi="Arial" w:cs="Arial"/>
                <w:bCs/>
                <w:noProof/>
                <w:sz w:val="20"/>
                <w:szCs w:val="20"/>
                <w:lang w:val="lt-LT"/>
              </w:rPr>
            </w:pPr>
          </w:p>
          <w:p w14:paraId="77EC1DDD" w14:textId="3842A730" w:rsidR="00493AB3" w:rsidRPr="009930E4" w:rsidRDefault="00493AB3" w:rsidP="008348CD">
            <w:pPr>
              <w:jc w:val="both"/>
              <w:rPr>
                <w:rFonts w:ascii="Arial" w:hAnsi="Arial" w:cs="Arial"/>
                <w:bCs/>
                <w:noProof/>
                <w:sz w:val="20"/>
                <w:szCs w:val="20"/>
                <w:lang w:val="lt-LT"/>
              </w:rPr>
            </w:pPr>
          </w:p>
          <w:p w14:paraId="7014B8AC" w14:textId="77777777" w:rsidR="00493AB3" w:rsidRPr="009930E4" w:rsidRDefault="00493AB3" w:rsidP="008348CD">
            <w:pPr>
              <w:jc w:val="both"/>
              <w:rPr>
                <w:rFonts w:ascii="Arial" w:hAnsi="Arial" w:cs="Arial"/>
                <w:bCs/>
                <w:noProof/>
                <w:sz w:val="20"/>
                <w:szCs w:val="20"/>
                <w:lang w:val="lt-LT"/>
              </w:rPr>
            </w:pPr>
          </w:p>
          <w:p w14:paraId="352C25CC" w14:textId="77777777" w:rsidR="0034788C" w:rsidRPr="009930E4" w:rsidRDefault="0034788C" w:rsidP="008348CD">
            <w:pPr>
              <w:jc w:val="both"/>
              <w:rPr>
                <w:rFonts w:ascii="Arial" w:hAnsi="Arial" w:cs="Arial"/>
                <w:bCs/>
                <w:noProof/>
                <w:sz w:val="20"/>
                <w:szCs w:val="20"/>
                <w:lang w:val="lt-LT"/>
              </w:rPr>
            </w:pPr>
            <w:r w:rsidRPr="009930E4">
              <w:rPr>
                <w:rFonts w:ascii="Arial" w:hAnsi="Arial" w:cs="Arial"/>
                <w:bCs/>
                <w:noProof/>
                <w:sz w:val="20"/>
                <w:szCs w:val="20"/>
                <w:lang w:val="lt-LT"/>
              </w:rPr>
              <w:t>Data: _________________________</w:t>
            </w:r>
          </w:p>
        </w:tc>
      </w:tr>
      <w:bookmarkEnd w:id="13"/>
      <w:permEnd w:id="356129253"/>
    </w:tbl>
    <w:p w14:paraId="48F4C133" w14:textId="77777777" w:rsidR="00A65CB2" w:rsidRPr="009930E4" w:rsidRDefault="00A65CB2" w:rsidP="00125AAA">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EFD0" w14:textId="77777777" w:rsidR="00B85C6A" w:rsidRDefault="00B85C6A" w:rsidP="00EE5E64">
      <w:r>
        <w:separator/>
      </w:r>
    </w:p>
  </w:endnote>
  <w:endnote w:type="continuationSeparator" w:id="0">
    <w:p w14:paraId="6C7F4F55" w14:textId="77777777" w:rsidR="00B85C6A" w:rsidRDefault="00B85C6A" w:rsidP="00EE5E64">
      <w:r>
        <w:continuationSeparator/>
      </w:r>
    </w:p>
  </w:endnote>
  <w:endnote w:type="continuationNotice" w:id="1">
    <w:p w14:paraId="60AC0ACF" w14:textId="77777777" w:rsidR="00B85C6A" w:rsidRDefault="00B85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default"/>
    <w:sig w:usb0="00000007" w:usb1="00000000" w:usb2="00000000" w:usb3="00000000" w:csb0="00000081"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0C93" w14:textId="77777777" w:rsidR="00B85C6A" w:rsidRDefault="00B85C6A" w:rsidP="00EE5E64">
      <w:r>
        <w:separator/>
      </w:r>
    </w:p>
  </w:footnote>
  <w:footnote w:type="continuationSeparator" w:id="0">
    <w:p w14:paraId="2761991D" w14:textId="77777777" w:rsidR="00B85C6A" w:rsidRDefault="00B85C6A" w:rsidP="00EE5E64">
      <w:r>
        <w:continuationSeparator/>
      </w:r>
    </w:p>
  </w:footnote>
  <w:footnote w:type="continuationNotice" w:id="1">
    <w:p w14:paraId="1BAA9E96" w14:textId="77777777" w:rsidR="00B85C6A" w:rsidRDefault="00B85C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5"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8" w15:restartNumberingAfterBreak="0">
    <w:nsid w:val="378F3747"/>
    <w:multiLevelType w:val="multilevel"/>
    <w:tmpl w:val="4D02DAA4"/>
    <w:numStyleLink w:val="KE-number"/>
  </w:abstractNum>
  <w:abstractNum w:abstractNumId="1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1"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3"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8"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0"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29"/>
  </w:num>
  <w:num w:numId="2" w16cid:durableId="1091968225">
    <w:abstractNumId w:val="6"/>
  </w:num>
  <w:num w:numId="3" w16cid:durableId="1294748412">
    <w:abstractNumId w:val="8"/>
  </w:num>
  <w:num w:numId="4" w16cid:durableId="991835445">
    <w:abstractNumId w:val="32"/>
  </w:num>
  <w:num w:numId="5" w16cid:durableId="293606806">
    <w:abstractNumId w:val="23"/>
  </w:num>
  <w:num w:numId="6" w16cid:durableId="987396739">
    <w:abstractNumId w:val="7"/>
  </w:num>
  <w:num w:numId="7" w16cid:durableId="1219584480">
    <w:abstractNumId w:val="5"/>
  </w:num>
  <w:num w:numId="8" w16cid:durableId="1937904802">
    <w:abstractNumId w:val="19"/>
  </w:num>
  <w:num w:numId="9" w16cid:durableId="1498498445">
    <w:abstractNumId w:val="16"/>
  </w:num>
  <w:num w:numId="10" w16cid:durableId="2036998380">
    <w:abstractNumId w:val="2"/>
  </w:num>
  <w:num w:numId="11" w16cid:durableId="1913273109">
    <w:abstractNumId w:val="25"/>
  </w:num>
  <w:num w:numId="12" w16cid:durableId="790900088">
    <w:abstractNumId w:val="26"/>
  </w:num>
  <w:num w:numId="13" w16cid:durableId="229535618">
    <w:abstractNumId w:val="27"/>
  </w:num>
  <w:num w:numId="14" w16cid:durableId="607006351">
    <w:abstractNumId w:val="10"/>
  </w:num>
  <w:num w:numId="15" w16cid:durableId="1196774763">
    <w:abstractNumId w:val="12"/>
  </w:num>
  <w:num w:numId="16" w16cid:durableId="1012801083">
    <w:abstractNumId w:val="11"/>
  </w:num>
  <w:num w:numId="17" w16cid:durableId="262421422">
    <w:abstractNumId w:val="31"/>
  </w:num>
  <w:num w:numId="18" w16cid:durableId="466123324">
    <w:abstractNumId w:val="21"/>
  </w:num>
  <w:num w:numId="19" w16cid:durableId="1664041688">
    <w:abstractNumId w:val="0"/>
  </w:num>
  <w:num w:numId="20" w16cid:durableId="1588272537">
    <w:abstractNumId w:val="13"/>
  </w:num>
  <w:num w:numId="21" w16cid:durableId="1498421131">
    <w:abstractNumId w:val="28"/>
  </w:num>
  <w:num w:numId="22" w16cid:durableId="692808188">
    <w:abstractNumId w:val="4"/>
  </w:num>
  <w:num w:numId="23" w16cid:durableId="1328053265">
    <w:abstractNumId w:val="14"/>
  </w:num>
  <w:num w:numId="24" w16cid:durableId="1136289315">
    <w:abstractNumId w:val="18"/>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0"/>
  </w:num>
  <w:num w:numId="26" w16cid:durableId="692656998">
    <w:abstractNumId w:val="24"/>
  </w:num>
  <w:num w:numId="27" w16cid:durableId="938178554">
    <w:abstractNumId w:val="20"/>
  </w:num>
  <w:num w:numId="28" w16cid:durableId="132799801">
    <w:abstractNumId w:val="1"/>
  </w:num>
  <w:num w:numId="29" w16cid:durableId="1884293946">
    <w:abstractNumId w:val="9"/>
  </w:num>
  <w:num w:numId="30" w16cid:durableId="1372268202">
    <w:abstractNumId w:val="15"/>
  </w:num>
  <w:num w:numId="31" w16cid:durableId="142356497">
    <w:abstractNumId w:val="3"/>
  </w:num>
  <w:num w:numId="32" w16cid:durableId="1845971583">
    <w:abstractNumId w:val="22"/>
  </w:num>
  <w:num w:numId="33" w16cid:durableId="1954088681">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Y3eFXzeIGXZZNhzLPhUzR7OlVRGFx6TJLuiIE61052KXsztwYmdIMns7pdL04zdMrbg5KY8pBZVMhoVa8KkWA==" w:salt="jswV/3Zof9vW23j3qKSjB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73D2"/>
    <w:rsid w:val="00017671"/>
    <w:rsid w:val="0002317C"/>
    <w:rsid w:val="000263D1"/>
    <w:rsid w:val="00026957"/>
    <w:rsid w:val="000317AB"/>
    <w:rsid w:val="000333DA"/>
    <w:rsid w:val="00033C67"/>
    <w:rsid w:val="00034483"/>
    <w:rsid w:val="00036F81"/>
    <w:rsid w:val="0004151F"/>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739F"/>
    <w:rsid w:val="00090C1E"/>
    <w:rsid w:val="0009196C"/>
    <w:rsid w:val="00091B55"/>
    <w:rsid w:val="00096651"/>
    <w:rsid w:val="000979FE"/>
    <w:rsid w:val="000A2C42"/>
    <w:rsid w:val="000A2D8D"/>
    <w:rsid w:val="000A7831"/>
    <w:rsid w:val="000A7CED"/>
    <w:rsid w:val="000A7F77"/>
    <w:rsid w:val="000B3041"/>
    <w:rsid w:val="000B3818"/>
    <w:rsid w:val="000B6A04"/>
    <w:rsid w:val="000B6A1D"/>
    <w:rsid w:val="000B6D92"/>
    <w:rsid w:val="000C0E0B"/>
    <w:rsid w:val="000C1EBD"/>
    <w:rsid w:val="000C7D8D"/>
    <w:rsid w:val="000D00A7"/>
    <w:rsid w:val="000D00BE"/>
    <w:rsid w:val="000D0DE4"/>
    <w:rsid w:val="000D1323"/>
    <w:rsid w:val="000D2028"/>
    <w:rsid w:val="000D7F4F"/>
    <w:rsid w:val="000E244F"/>
    <w:rsid w:val="000E43A1"/>
    <w:rsid w:val="000E6473"/>
    <w:rsid w:val="000F19FC"/>
    <w:rsid w:val="000F218A"/>
    <w:rsid w:val="000F4576"/>
    <w:rsid w:val="000F5201"/>
    <w:rsid w:val="0010125D"/>
    <w:rsid w:val="00103801"/>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900CE"/>
    <w:rsid w:val="001905CF"/>
    <w:rsid w:val="00191BE0"/>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341D"/>
    <w:rsid w:val="002635DB"/>
    <w:rsid w:val="002651B9"/>
    <w:rsid w:val="0026561C"/>
    <w:rsid w:val="00270FCA"/>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9056B"/>
    <w:rsid w:val="00290E88"/>
    <w:rsid w:val="00294D10"/>
    <w:rsid w:val="00296F7A"/>
    <w:rsid w:val="00297BD7"/>
    <w:rsid w:val="002A2E57"/>
    <w:rsid w:val="002A7281"/>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6FF5"/>
    <w:rsid w:val="003305B0"/>
    <w:rsid w:val="0033275A"/>
    <w:rsid w:val="0033346F"/>
    <w:rsid w:val="00334535"/>
    <w:rsid w:val="00334B4B"/>
    <w:rsid w:val="00334FC6"/>
    <w:rsid w:val="00337672"/>
    <w:rsid w:val="00337750"/>
    <w:rsid w:val="00337FFB"/>
    <w:rsid w:val="0033F9F8"/>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62A5"/>
    <w:rsid w:val="003C1F3E"/>
    <w:rsid w:val="003C2C39"/>
    <w:rsid w:val="003C2EC0"/>
    <w:rsid w:val="003C335F"/>
    <w:rsid w:val="003C3C61"/>
    <w:rsid w:val="003C44BF"/>
    <w:rsid w:val="003C4EF8"/>
    <w:rsid w:val="003C57A3"/>
    <w:rsid w:val="003C6426"/>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395A"/>
    <w:rsid w:val="003F4073"/>
    <w:rsid w:val="003F6C82"/>
    <w:rsid w:val="003F7442"/>
    <w:rsid w:val="00403343"/>
    <w:rsid w:val="0040488B"/>
    <w:rsid w:val="00406BF5"/>
    <w:rsid w:val="0041408F"/>
    <w:rsid w:val="00421198"/>
    <w:rsid w:val="00421E9B"/>
    <w:rsid w:val="004232DD"/>
    <w:rsid w:val="00423D6B"/>
    <w:rsid w:val="00426D6A"/>
    <w:rsid w:val="00434756"/>
    <w:rsid w:val="00436E41"/>
    <w:rsid w:val="00437293"/>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A5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25D70"/>
    <w:rsid w:val="00530342"/>
    <w:rsid w:val="0053037B"/>
    <w:rsid w:val="00534E0A"/>
    <w:rsid w:val="00535C36"/>
    <w:rsid w:val="00542B43"/>
    <w:rsid w:val="005505B4"/>
    <w:rsid w:val="005507E3"/>
    <w:rsid w:val="005528CF"/>
    <w:rsid w:val="00552EB7"/>
    <w:rsid w:val="00554197"/>
    <w:rsid w:val="00554FE9"/>
    <w:rsid w:val="00562AC6"/>
    <w:rsid w:val="00564150"/>
    <w:rsid w:val="00570300"/>
    <w:rsid w:val="00572F18"/>
    <w:rsid w:val="005756B9"/>
    <w:rsid w:val="00577D0F"/>
    <w:rsid w:val="00580536"/>
    <w:rsid w:val="00582000"/>
    <w:rsid w:val="0058677E"/>
    <w:rsid w:val="0059284D"/>
    <w:rsid w:val="005A04AB"/>
    <w:rsid w:val="005A07DC"/>
    <w:rsid w:val="005A1A31"/>
    <w:rsid w:val="005A2AAC"/>
    <w:rsid w:val="005A2C4E"/>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F27CA"/>
    <w:rsid w:val="005F3ED7"/>
    <w:rsid w:val="006008B1"/>
    <w:rsid w:val="0060482A"/>
    <w:rsid w:val="006060F8"/>
    <w:rsid w:val="0060617E"/>
    <w:rsid w:val="00606276"/>
    <w:rsid w:val="0060658D"/>
    <w:rsid w:val="00607CF7"/>
    <w:rsid w:val="00611710"/>
    <w:rsid w:val="006118D5"/>
    <w:rsid w:val="0062180B"/>
    <w:rsid w:val="00623534"/>
    <w:rsid w:val="006246CC"/>
    <w:rsid w:val="00624DB6"/>
    <w:rsid w:val="00625758"/>
    <w:rsid w:val="0062776A"/>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1D9D"/>
    <w:rsid w:val="0069248E"/>
    <w:rsid w:val="00692839"/>
    <w:rsid w:val="0069481D"/>
    <w:rsid w:val="00695BE2"/>
    <w:rsid w:val="006967B7"/>
    <w:rsid w:val="006A1A9F"/>
    <w:rsid w:val="006A37B0"/>
    <w:rsid w:val="006A3A3C"/>
    <w:rsid w:val="006A563B"/>
    <w:rsid w:val="006A6C62"/>
    <w:rsid w:val="006B129C"/>
    <w:rsid w:val="006B3036"/>
    <w:rsid w:val="006B5B3A"/>
    <w:rsid w:val="006B666B"/>
    <w:rsid w:val="006B7B4A"/>
    <w:rsid w:val="006B7BC5"/>
    <w:rsid w:val="006C3140"/>
    <w:rsid w:val="006C317F"/>
    <w:rsid w:val="006D047F"/>
    <w:rsid w:val="006D4B36"/>
    <w:rsid w:val="006D5CF8"/>
    <w:rsid w:val="006D615B"/>
    <w:rsid w:val="006D7F0B"/>
    <w:rsid w:val="006E2455"/>
    <w:rsid w:val="006E3778"/>
    <w:rsid w:val="006F1C5F"/>
    <w:rsid w:val="006F3531"/>
    <w:rsid w:val="006F3C41"/>
    <w:rsid w:val="006F4484"/>
    <w:rsid w:val="006F49C3"/>
    <w:rsid w:val="006F787B"/>
    <w:rsid w:val="006F7FAE"/>
    <w:rsid w:val="007003C5"/>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6DDE"/>
    <w:rsid w:val="00727434"/>
    <w:rsid w:val="00736C85"/>
    <w:rsid w:val="00741380"/>
    <w:rsid w:val="007433F2"/>
    <w:rsid w:val="007441E0"/>
    <w:rsid w:val="0075293D"/>
    <w:rsid w:val="00762480"/>
    <w:rsid w:val="00762534"/>
    <w:rsid w:val="007649C8"/>
    <w:rsid w:val="00764FF9"/>
    <w:rsid w:val="00766A7C"/>
    <w:rsid w:val="00770E33"/>
    <w:rsid w:val="007752A7"/>
    <w:rsid w:val="0077754E"/>
    <w:rsid w:val="0078120C"/>
    <w:rsid w:val="00782C07"/>
    <w:rsid w:val="00782D9B"/>
    <w:rsid w:val="00792705"/>
    <w:rsid w:val="007927E2"/>
    <w:rsid w:val="0079633D"/>
    <w:rsid w:val="007A12F1"/>
    <w:rsid w:val="007A14DC"/>
    <w:rsid w:val="007A3341"/>
    <w:rsid w:val="007A5039"/>
    <w:rsid w:val="007A5601"/>
    <w:rsid w:val="007B056A"/>
    <w:rsid w:val="007B2A79"/>
    <w:rsid w:val="007B2EB3"/>
    <w:rsid w:val="007B5723"/>
    <w:rsid w:val="007B5B56"/>
    <w:rsid w:val="007B5BC9"/>
    <w:rsid w:val="007B649B"/>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7AC"/>
    <w:rsid w:val="00827172"/>
    <w:rsid w:val="00827666"/>
    <w:rsid w:val="00827AA7"/>
    <w:rsid w:val="00827CC6"/>
    <w:rsid w:val="00830B9D"/>
    <w:rsid w:val="00832CB8"/>
    <w:rsid w:val="008348CD"/>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72"/>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5C54"/>
    <w:rsid w:val="009567F9"/>
    <w:rsid w:val="00956819"/>
    <w:rsid w:val="00957AC3"/>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C5B"/>
    <w:rsid w:val="009B287E"/>
    <w:rsid w:val="009B36E2"/>
    <w:rsid w:val="009D2B2C"/>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506A8"/>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7A49"/>
    <w:rsid w:val="00AC036D"/>
    <w:rsid w:val="00AC14E0"/>
    <w:rsid w:val="00AC30CE"/>
    <w:rsid w:val="00AC3DBD"/>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5F60"/>
    <w:rsid w:val="00B1731B"/>
    <w:rsid w:val="00B177D8"/>
    <w:rsid w:val="00B17F30"/>
    <w:rsid w:val="00B2023F"/>
    <w:rsid w:val="00B208C7"/>
    <w:rsid w:val="00B21DC3"/>
    <w:rsid w:val="00B23B8E"/>
    <w:rsid w:val="00B27089"/>
    <w:rsid w:val="00B27FAB"/>
    <w:rsid w:val="00B323DF"/>
    <w:rsid w:val="00B3286B"/>
    <w:rsid w:val="00B32CB5"/>
    <w:rsid w:val="00B41376"/>
    <w:rsid w:val="00B46D68"/>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5C6A"/>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72A4"/>
    <w:rsid w:val="00BE7898"/>
    <w:rsid w:val="00BF0E5C"/>
    <w:rsid w:val="00BF1CC7"/>
    <w:rsid w:val="00BF40C5"/>
    <w:rsid w:val="00BF745E"/>
    <w:rsid w:val="00BF76A7"/>
    <w:rsid w:val="00BF7F97"/>
    <w:rsid w:val="00C00ACC"/>
    <w:rsid w:val="00C00AFE"/>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60127"/>
    <w:rsid w:val="00C62784"/>
    <w:rsid w:val="00C63625"/>
    <w:rsid w:val="00C6483A"/>
    <w:rsid w:val="00C667CB"/>
    <w:rsid w:val="00C66CCE"/>
    <w:rsid w:val="00C7438D"/>
    <w:rsid w:val="00C74C42"/>
    <w:rsid w:val="00C76AAC"/>
    <w:rsid w:val="00C76EF8"/>
    <w:rsid w:val="00C801FB"/>
    <w:rsid w:val="00C82596"/>
    <w:rsid w:val="00C87E1A"/>
    <w:rsid w:val="00C904BE"/>
    <w:rsid w:val="00C90594"/>
    <w:rsid w:val="00C90D24"/>
    <w:rsid w:val="00CA0490"/>
    <w:rsid w:val="00CA11E9"/>
    <w:rsid w:val="00CA49FD"/>
    <w:rsid w:val="00CA4E8E"/>
    <w:rsid w:val="00CB3BCD"/>
    <w:rsid w:val="00CB76D3"/>
    <w:rsid w:val="00CC0C04"/>
    <w:rsid w:val="00CC12BE"/>
    <w:rsid w:val="00CC2A46"/>
    <w:rsid w:val="00CC3D84"/>
    <w:rsid w:val="00CD5E09"/>
    <w:rsid w:val="00CD7A32"/>
    <w:rsid w:val="00CE4454"/>
    <w:rsid w:val="00CE457F"/>
    <w:rsid w:val="00CF12C2"/>
    <w:rsid w:val="00CF4219"/>
    <w:rsid w:val="00CF4BF7"/>
    <w:rsid w:val="00CF53F1"/>
    <w:rsid w:val="00CF599A"/>
    <w:rsid w:val="00CF66AE"/>
    <w:rsid w:val="00D0306A"/>
    <w:rsid w:val="00D03085"/>
    <w:rsid w:val="00D10778"/>
    <w:rsid w:val="00D12C86"/>
    <w:rsid w:val="00D13236"/>
    <w:rsid w:val="00D13771"/>
    <w:rsid w:val="00D14D89"/>
    <w:rsid w:val="00D1652C"/>
    <w:rsid w:val="00D17F70"/>
    <w:rsid w:val="00D220C7"/>
    <w:rsid w:val="00D25A58"/>
    <w:rsid w:val="00D25CF6"/>
    <w:rsid w:val="00D27613"/>
    <w:rsid w:val="00D31656"/>
    <w:rsid w:val="00D43145"/>
    <w:rsid w:val="00D46712"/>
    <w:rsid w:val="00D5526D"/>
    <w:rsid w:val="00D55B9B"/>
    <w:rsid w:val="00D5776D"/>
    <w:rsid w:val="00D57E70"/>
    <w:rsid w:val="00D6021E"/>
    <w:rsid w:val="00D61653"/>
    <w:rsid w:val="00D62CC0"/>
    <w:rsid w:val="00D6337A"/>
    <w:rsid w:val="00D657F3"/>
    <w:rsid w:val="00D67230"/>
    <w:rsid w:val="00D67BB4"/>
    <w:rsid w:val="00D7029F"/>
    <w:rsid w:val="00D73BCE"/>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E6197"/>
    <w:rsid w:val="00DE76C6"/>
    <w:rsid w:val="00DE7CBB"/>
    <w:rsid w:val="00DF17EE"/>
    <w:rsid w:val="00DF1D0B"/>
    <w:rsid w:val="00DF1DD8"/>
    <w:rsid w:val="00DF25BC"/>
    <w:rsid w:val="00E003BA"/>
    <w:rsid w:val="00E00AE5"/>
    <w:rsid w:val="00E01F72"/>
    <w:rsid w:val="00E02789"/>
    <w:rsid w:val="00E02DD6"/>
    <w:rsid w:val="00E030E7"/>
    <w:rsid w:val="00E04431"/>
    <w:rsid w:val="00E10AAF"/>
    <w:rsid w:val="00E127FD"/>
    <w:rsid w:val="00E12D21"/>
    <w:rsid w:val="00E130BB"/>
    <w:rsid w:val="00E131AD"/>
    <w:rsid w:val="00E13D66"/>
    <w:rsid w:val="00E14A95"/>
    <w:rsid w:val="00E15568"/>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60DD1"/>
    <w:rsid w:val="00E60F57"/>
    <w:rsid w:val="00E61870"/>
    <w:rsid w:val="00E62CCF"/>
    <w:rsid w:val="00E71262"/>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7C63"/>
    <w:rsid w:val="00EB0A04"/>
    <w:rsid w:val="00EB3A92"/>
    <w:rsid w:val="00EB66E2"/>
    <w:rsid w:val="00EC153B"/>
    <w:rsid w:val="00EC2BAB"/>
    <w:rsid w:val="00EC345E"/>
    <w:rsid w:val="00EC4173"/>
    <w:rsid w:val="00EC5D76"/>
    <w:rsid w:val="00EC72E2"/>
    <w:rsid w:val="00EC7361"/>
    <w:rsid w:val="00ED0550"/>
    <w:rsid w:val="00ED17A4"/>
    <w:rsid w:val="00ED23DB"/>
    <w:rsid w:val="00ED2941"/>
    <w:rsid w:val="00ED29F6"/>
    <w:rsid w:val="00ED2F97"/>
    <w:rsid w:val="00ED4795"/>
    <w:rsid w:val="00ED4FB3"/>
    <w:rsid w:val="00EE5E64"/>
    <w:rsid w:val="00EE7B6B"/>
    <w:rsid w:val="00EF2ADB"/>
    <w:rsid w:val="00EF7EF0"/>
    <w:rsid w:val="00F02A09"/>
    <w:rsid w:val="00F02F52"/>
    <w:rsid w:val="00F04435"/>
    <w:rsid w:val="00F053B9"/>
    <w:rsid w:val="00F11922"/>
    <w:rsid w:val="00F1281B"/>
    <w:rsid w:val="00F150BA"/>
    <w:rsid w:val="00F156FB"/>
    <w:rsid w:val="00F16E68"/>
    <w:rsid w:val="00F30D93"/>
    <w:rsid w:val="00F325CB"/>
    <w:rsid w:val="00F32B2F"/>
    <w:rsid w:val="00F32E10"/>
    <w:rsid w:val="00F334CF"/>
    <w:rsid w:val="00F3516C"/>
    <w:rsid w:val="00F35B8E"/>
    <w:rsid w:val="00F35B99"/>
    <w:rsid w:val="00F35F36"/>
    <w:rsid w:val="00F37ACE"/>
    <w:rsid w:val="00F44A66"/>
    <w:rsid w:val="00F45F06"/>
    <w:rsid w:val="00F46E21"/>
    <w:rsid w:val="00F47509"/>
    <w:rsid w:val="00F50156"/>
    <w:rsid w:val="00F509E0"/>
    <w:rsid w:val="00F52B6B"/>
    <w:rsid w:val="00F57517"/>
    <w:rsid w:val="00F605FE"/>
    <w:rsid w:val="00F627C9"/>
    <w:rsid w:val="00F65511"/>
    <w:rsid w:val="00F6563D"/>
    <w:rsid w:val="00F701B0"/>
    <w:rsid w:val="00F71870"/>
    <w:rsid w:val="00F71924"/>
    <w:rsid w:val="00F80EEE"/>
    <w:rsid w:val="00F869A3"/>
    <w:rsid w:val="00F90D50"/>
    <w:rsid w:val="00F90FA1"/>
    <w:rsid w:val="00F94677"/>
    <w:rsid w:val="00F95A9D"/>
    <w:rsid w:val="00F96B42"/>
    <w:rsid w:val="00F970DD"/>
    <w:rsid w:val="00FA5F76"/>
    <w:rsid w:val="00FA7340"/>
    <w:rsid w:val="00FA77C3"/>
    <w:rsid w:val="00FA7D81"/>
    <w:rsid w:val="00FB0921"/>
    <w:rsid w:val="00FB0E35"/>
    <w:rsid w:val="00FB33EA"/>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00e1a-2d5f-426d-bfd7-ae0c27f56d88">
      <Terms xmlns="http://schemas.microsoft.com/office/infopath/2007/PartnerControls"/>
    </lcf76f155ced4ddcb4097134ff3c332f>
    <TaxCatchAll xmlns="14fcd852-7054-4158-b8a7-f114193d56b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7704A8616585E44A1FD446CC2A5C59B" ma:contentTypeVersion="15" ma:contentTypeDescription="Kurkite naują dokumentą." ma:contentTypeScope="" ma:versionID="d2cec5876b544d6d66aac4c483aa1b11">
  <xsd:schema xmlns:xsd="http://www.w3.org/2001/XMLSchema" xmlns:xs="http://www.w3.org/2001/XMLSchema" xmlns:p="http://schemas.microsoft.com/office/2006/metadata/properties" xmlns:ns2="ba300e1a-2d5f-426d-bfd7-ae0c27f56d88" xmlns:ns3="14fcd852-7054-4158-b8a7-f114193d56be" targetNamespace="http://schemas.microsoft.com/office/2006/metadata/properties" ma:root="true" ma:fieldsID="2927ab18793635a1769ec96b8c4c211d" ns2:_="" ns3:_="">
    <xsd:import namespace="ba300e1a-2d5f-426d-bfd7-ae0c27f56d88"/>
    <xsd:import namespace="14fcd852-7054-4158-b8a7-f114193d56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00e1a-2d5f-426d-bfd7-ae0c27f56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cd852-7054-4158-b8a7-f114193d56be"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ccb7b1cf-fa8c-4028-bd82-52e7a34e41e4}" ma:internalName="TaxCatchAll" ma:showField="CatchAllData" ma:web="14fcd852-7054-4158-b8a7-f114193d56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ba300e1a-2d5f-426d-bfd7-ae0c27f56d88"/>
    <ds:schemaRef ds:uri="14fcd852-7054-4158-b8a7-f114193d56be"/>
  </ds:schemaRefs>
</ds:datastoreItem>
</file>

<file path=customXml/itemProps4.xml><?xml version="1.0" encoding="utf-8"?>
<ds:datastoreItem xmlns:ds="http://schemas.openxmlformats.org/officeDocument/2006/customXml" ds:itemID="{4F28375E-A304-4519-B240-1AD0B7FE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00e1a-2d5f-426d-bfd7-ae0c27f56d88"/>
    <ds:schemaRef ds:uri="14fcd852-7054-4158-b8a7-f114193d56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3052</Words>
  <Characters>21367</Characters>
  <Application>Microsoft Office Word</Application>
  <DocSecurity>8</DocSecurity>
  <Lines>178</Lines>
  <Paragraphs>48</Paragraphs>
  <ScaleCrop>false</ScaleCrop>
  <Company/>
  <LinksUpToDate>false</LinksUpToDate>
  <CharactersWithSpaces>24371</CharactersWithSpaces>
  <SharedDoc>false</SharedDoc>
  <HLinks>
    <vt:vector size="12" baseType="variant">
      <vt:variant>
        <vt:i4>1376332</vt:i4>
      </vt:variant>
      <vt:variant>
        <vt:i4>3</vt:i4>
      </vt:variant>
      <vt:variant>
        <vt:i4>0</vt:i4>
      </vt:variant>
      <vt:variant>
        <vt:i4>5</vt:i4>
      </vt:variant>
      <vt:variant>
        <vt:lpwstr>https://euc-word-edit.officeapps.live.com/AppData/Local/Microsoft/Windows/INetCache/Content.Outlook/YG1QCGS4/www.kaunoenergija.lt</vt:lpwstr>
      </vt:variant>
      <vt:variant>
        <vt:lpwstr/>
      </vt:variant>
      <vt:variant>
        <vt:i4>786466</vt:i4>
      </vt:variant>
      <vt:variant>
        <vt:i4>0</vt:i4>
      </vt:variant>
      <vt:variant>
        <vt:i4>0</vt:i4>
      </vt:variant>
      <vt:variant>
        <vt:i4>5</vt:i4>
      </vt:variant>
      <vt:variant>
        <vt:lpwstr>https://osp.stat.gov.lt/statistiniu-rodikliu-analize?indicator=S7R261</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Jolita Buškevičienė</cp:lastModifiedBy>
  <cp:revision>17</cp:revision>
  <cp:lastPrinted>2022-05-09T19:00:00Z</cp:lastPrinted>
  <dcterms:created xsi:type="dcterms:W3CDTF">2025-06-27T06:14:00Z</dcterms:created>
  <dcterms:modified xsi:type="dcterms:W3CDTF">2025-07-01T12:40:00Z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0x01010047704A8616585E44A1FD446CC2A5C59B</vt:lpwstr>
  </property>
  <property fmtid="{D5CDD505-2E9C-101B-9397-08002B2CF9AE}" pid="3" name="_dlc_DocIdItemGuid">
    <vt:lpwstr>0ccb7663-c98f-4b88-b745-b3ad31bc25b6</vt:lpwstr>
  </property>
  <property fmtid="{D5CDD505-2E9C-101B-9397-08002B2CF9AE}" pid="4" name="MediaServiceImageTags">
    <vt:lpwstr/>
  </property>
</Properties>
</file>