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uppressAutoHyphens w:val="true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ascii="Times New Roman" w:hAnsi="Times New Roman" w:cstheme="minorHAnsi"/>
          <w:sz w:val="23"/>
          <w:szCs w:val="23"/>
        </w:rPr>
        <w:t>Pirkimo sąlygų priedas „</w:t>
      </w:r>
      <w:r>
        <w:rPr>
          <w:rFonts w:cs="Calibri" w:ascii="Times New Roman" w:hAnsi="Times New Roman" w:cstheme="minorHAnsi"/>
          <w:u w:val="single"/>
        </w:rPr>
        <w:t>Nacionalinio saugumo reikalavimų atitikties deklaracijos forma</w:t>
      </w:r>
      <w:r>
        <w:rPr>
          <w:rFonts w:cs="Calibri" w:ascii="Calibri" w:hAnsi="Calibri" w:asciiTheme="minorHAnsi" w:cstheme="minorHAnsi" w:hAnsiTheme="minorHAnsi"/>
          <w:u w:val="single"/>
        </w:rPr>
        <w:t>“</w:t>
      </w:r>
      <w:r>
        <w:rPr>
          <w:rFonts w:cs="Calibri" w:ascii="Calibri" w:hAnsi="Calibri" w:asciiTheme="minorHAnsi" w:cstheme="minorHAnsi" w:hAnsiTheme="minorHAnsi"/>
          <w:sz w:val="23"/>
          <w:szCs w:val="23"/>
        </w:rPr>
        <w:t xml:space="preserve"> </w:t>
      </w:r>
    </w:p>
    <w:p>
      <w:pPr>
        <w:pStyle w:val="Normal"/>
        <w:tabs>
          <w:tab w:val="clear" w:pos="720"/>
          <w:tab w:val="left" w:pos="5103" w:leader="none"/>
        </w:tabs>
        <w:suppressAutoHyphens w:val="true"/>
        <w:jc w:val="right"/>
        <w:textAlignment w:val="baseline"/>
        <w:rPr/>
      </w:pPr>
      <w:r>
        <w:rPr/>
      </w:r>
    </w:p>
    <w:p>
      <w:pPr>
        <w:pStyle w:val="Normal"/>
        <w:shd w:val="clear" w:color="auto" w:fill="FFFFFF"/>
        <w:suppressAutoHyphens w:val="true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hd w:val="clear" w:color="auto" w:fill="FFFFFF"/>
        <w:suppressAutoHyphens w:val="true"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>
      <w:pPr>
        <w:pStyle w:val="Normal"/>
        <w:widowControl w:val="false"/>
        <w:tabs>
          <w:tab w:val="clear" w:pos="720"/>
          <w:tab w:val="right" w:pos="9071" w:leader="underscore"/>
        </w:tabs>
        <w:suppressAutoHyphens w:val="true"/>
        <w:textAlignment w:val="baseline"/>
        <w:rPr/>
      </w:pPr>
      <w:r>
        <w:rPr>
          <w:rFonts w:eastAsia="Calibri"/>
        </w:rPr>
        <w:tab/>
      </w:r>
    </w:p>
    <w:p>
      <w:pPr>
        <w:pStyle w:val="Normal"/>
        <w:shd w:val="clear" w:color="auto" w:fill="FFFFFF"/>
        <w:suppressAutoHyphens w:val="true"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>
      <w:pPr>
        <w:pStyle w:val="Normal"/>
        <w:widowControl w:val="false"/>
        <w:tabs>
          <w:tab w:val="clear" w:pos="720"/>
          <w:tab w:val="right" w:pos="9071" w:leader="underscore"/>
        </w:tabs>
        <w:suppressAutoHyphens w:val="true"/>
        <w:textAlignment w:val="baseline"/>
        <w:rPr>
          <w:rFonts w:eastAsia="Calibri"/>
        </w:rPr>
      </w:pPr>
      <w:r>
        <w:rPr>
          <w:rFonts w:eastAsia="Calibri"/>
        </w:rPr>
        <w:tab/>
      </w:r>
    </w:p>
    <w:p>
      <w:pPr>
        <w:pStyle w:val="Normal"/>
        <w:suppressAutoHyphens w:val="true"/>
        <w:jc w:val="center"/>
        <w:textAlignment w:val="baseline"/>
        <w:rPr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>
      <w:pPr>
        <w:pStyle w:val="Normal"/>
        <w:widowControl w:val="false"/>
        <w:tabs>
          <w:tab w:val="clear" w:pos="720"/>
          <w:tab w:val="right" w:pos="9071" w:leader="underscore"/>
        </w:tabs>
        <w:suppressAutoHyphens w:val="true"/>
        <w:jc w:val="center"/>
        <w:textAlignment w:val="baseline"/>
        <w:rPr>
          <w:rFonts w:eastAsia="Calibri"/>
          <w:b/>
          <w:bCs/>
          <w:sz w:val="20"/>
        </w:rPr>
      </w:pPr>
      <w:r>
        <w:rPr>
          <w:rFonts w:eastAsia="Calibri"/>
          <w:b/>
          <w:bCs/>
          <w:sz w:val="20"/>
        </w:rPr>
      </w:r>
    </w:p>
    <w:p>
      <w:pPr>
        <w:pStyle w:val="Normal"/>
        <w:widowControl w:val="false"/>
        <w:tabs>
          <w:tab w:val="clear" w:pos="720"/>
          <w:tab w:val="right" w:pos="9071" w:leader="underscore"/>
        </w:tabs>
        <w:suppressAutoHyphens w:val="true"/>
        <w:jc w:val="center"/>
        <w:textAlignment w:val="baseline"/>
        <w:rPr/>
      </w:pPr>
      <w:r>
        <w:rPr>
          <w:rFonts w:eastAsia="Calibri"/>
          <w:b/>
          <w:bCs/>
        </w:rPr>
        <w:t>NACIONALINIO SAUGUMO REIKALAVIMŲ ATITIKTIES DEKLARACIJA</w:t>
      </w:r>
    </w:p>
    <w:p>
      <w:pPr>
        <w:pStyle w:val="Normal"/>
        <w:widowControl w:val="false"/>
        <w:tabs>
          <w:tab w:val="clear" w:pos="720"/>
          <w:tab w:val="right" w:pos="9071" w:leader="underscore"/>
        </w:tabs>
        <w:suppressAutoHyphens w:val="true"/>
        <w:jc w:val="center"/>
        <w:textAlignment w:val="baseline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widowControl w:val="false"/>
        <w:tabs>
          <w:tab w:val="clear" w:pos="720"/>
          <w:tab w:val="right" w:pos="9071" w:leader="underscore"/>
        </w:tabs>
        <w:suppressAutoHyphens w:val="true"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>
      <w:pPr>
        <w:pStyle w:val="Normal"/>
        <w:widowControl w:val="false"/>
        <w:tabs>
          <w:tab w:val="clear" w:pos="720"/>
          <w:tab w:val="right" w:pos="9071" w:leader="underscore"/>
        </w:tabs>
        <w:suppressAutoHyphens w:val="true"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>
      <w:pPr>
        <w:pStyle w:val="Normal"/>
        <w:widowControl w:val="false"/>
        <w:tabs>
          <w:tab w:val="clear" w:pos="720"/>
          <w:tab w:val="right" w:pos="9071" w:leader="underscore"/>
        </w:tabs>
        <w:suppressAutoHyphens w:val="true"/>
        <w:jc w:val="center"/>
        <w:textAlignment w:val="baseline"/>
        <w:rPr/>
      </w:pPr>
      <w:r>
        <w:rPr>
          <w:rFonts w:eastAsia="Calibri"/>
          <w:i/>
          <w:iCs/>
          <w:sz w:val="20"/>
        </w:rPr>
        <w:t>(Sudarymo vieta)</w:t>
      </w:r>
    </w:p>
    <w:p>
      <w:pPr>
        <w:pStyle w:val="Normal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>
      <w:pPr>
        <w:pStyle w:val="Normal"/>
        <w:ind w:firstLine="318" w:left="960"/>
        <w:jc w:val="both"/>
        <w:rPr>
          <w:i/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>
      <w:pPr>
        <w:pStyle w:val="Normal"/>
        <w:ind w:firstLine="318" w:left="960"/>
        <w:jc w:val="both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Normal"/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>
      <w:pPr>
        <w:pStyle w:val="Normal"/>
        <w:ind w:firstLine="742" w:left="5640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>
      <w:pPr>
        <w:pStyle w:val="Normal"/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 xml:space="preserve">dalyvaujantis (-i) </w:t>
      </w:r>
      <w:r>
        <w:rPr>
          <w:color w:val="000000"/>
          <w:szCs w:val="24"/>
          <w:u w:val="single"/>
        </w:rPr>
        <w:t xml:space="preserve">Lietuvos Respublikos generalinės prokuratūros </w:t>
      </w:r>
      <w:r>
        <w:rPr>
          <w:color w:val="000000"/>
          <w:szCs w:val="24"/>
        </w:rPr>
        <w:t xml:space="preserve">vykdomame </w:t>
      </w:r>
      <w:r>
        <w:rPr>
          <w:color w:val="000000"/>
          <w:szCs w:val="24"/>
          <w:u w:val="single"/>
        </w:rPr>
        <w:t xml:space="preserve">Apsaugos paslaugų </w:t>
      </w:r>
      <w:r>
        <w:rPr>
          <w:color w:val="000000"/>
          <w:szCs w:val="24"/>
          <w:u w:val="single"/>
          <w:lang w:val="en-US"/>
        </w:rPr>
        <w:t xml:space="preserve">ir apsaugos </w:t>
      </w:r>
      <w:r>
        <w:rPr>
          <w:color w:val="000000"/>
          <w:szCs w:val="24"/>
          <w:u w:val="single"/>
          <w:lang w:val="lt-LT"/>
        </w:rPr>
        <w:t>sistemų priežiūros ir remonto paslaugų pirkime</w:t>
      </w:r>
      <w:r>
        <w:rPr>
          <w:color w:val="000000"/>
          <w:szCs w:val="24"/>
          <w:u w:val="single"/>
        </w:rPr>
        <w:t xml:space="preserve">, atliekamame </w:t>
      </w:r>
    </w:p>
    <w:p>
      <w:pPr>
        <w:pStyle w:val="Normal"/>
        <w:jc w:val="both"/>
        <w:rPr>
          <w:i/>
          <w:i/>
          <w:iCs/>
          <w:color w:val="000000"/>
          <w:sz w:val="20"/>
        </w:rPr>
      </w:pPr>
      <w:r>
        <w:rPr>
          <w:color w:val="000000"/>
          <w:szCs w:val="24"/>
        </w:rPr>
        <w:t xml:space="preserve">             </w:t>
      </w:r>
      <w:r>
        <w:rPr>
          <w:i/>
          <w:iCs/>
          <w:color w:val="000000"/>
          <w:sz w:val="20"/>
        </w:rPr>
        <w:t>(perkančiosios organizacijos pavadinimas)</w:t>
      </w:r>
    </w:p>
    <w:p>
      <w:pPr>
        <w:pStyle w:val="Normal"/>
        <w:jc w:val="both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Normal"/>
        <w:jc w:val="both"/>
        <w:rPr>
          <w:color w:val="000000"/>
          <w:szCs w:val="24"/>
        </w:rPr>
      </w:pPr>
      <w:r>
        <w:rPr>
          <w:color w:val="000000"/>
          <w:szCs w:val="24"/>
          <w:u w:val="single"/>
        </w:rPr>
        <w:t xml:space="preserve">  </w:t>
      </w:r>
      <w:r>
        <w:rPr>
          <w:color w:val="000000"/>
          <w:szCs w:val="24"/>
          <w:u w:val="single"/>
        </w:rPr>
        <w:t xml:space="preserve">skelbiamos apklausos būdu, CVP IS Nr. , paskelbto </w:t>
      </w:r>
      <w:r>
        <w:rPr>
          <w:color w:val="000000"/>
          <w:szCs w:val="24"/>
          <w:highlight w:val="lightGray"/>
          <w:u w:val="single"/>
        </w:rPr>
        <w:t>2025-</w:t>
      </w:r>
      <w:r>
        <w:rPr>
          <w:color w:val="000000"/>
          <w:szCs w:val="24"/>
          <w:u w:val="single"/>
        </w:rPr>
        <w:t xml:space="preserve">     </w:t>
      </w:r>
      <w:r>
        <w:rPr>
          <w:color w:val="000000"/>
          <w:szCs w:val="24"/>
        </w:rPr>
        <w:t>, atitinka toliau nurodomus</w:t>
      </w:r>
    </w:p>
    <w:p>
      <w:pPr>
        <w:pStyle w:val="Normal"/>
        <w:jc w:val="both"/>
        <w:rPr>
          <w:color w:val="000000"/>
          <w:szCs w:val="24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</w:p>
    <w:p>
      <w:pPr>
        <w:pStyle w:val="Normal"/>
        <w:jc w:val="both"/>
        <w:rPr>
          <w:color w:val="000000"/>
          <w:szCs w:val="24"/>
        </w:rPr>
      </w:pPr>
      <w:r>
        <w:rPr>
          <w:color w:val="000000"/>
          <w:szCs w:val="24"/>
        </w:rPr>
        <w:t>reikalavimus:</w:t>
      </w:r>
    </w:p>
    <w:p>
      <w:pPr>
        <w:pStyle w:val="Normal"/>
        <w:ind w:firstLine="636"/>
        <w:jc w:val="both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Normal"/>
        <w:widowControl w:val="false"/>
        <w:shd w:val="clear" w:color="auto" w:fill="FFFFFF"/>
        <w:suppressAutoHyphens w:val="true"/>
        <w:ind w:firstLine="567"/>
        <w:jc w:val="both"/>
        <w:textAlignment w:val="baseline"/>
        <w:rPr>
          <w:sz w:val="20"/>
          <w:shd w:fill="008000" w:val="clear"/>
        </w:rPr>
      </w:pPr>
      <w:r>
        <w:rPr>
          <w:sz w:val="20"/>
          <w:shd w:fill="008000" w:val="clear"/>
        </w:rPr>
      </w:r>
    </w:p>
    <w:p>
      <w:pPr>
        <w:pStyle w:val="Normal"/>
        <w:shd w:val="clear" w:color="auto" w:fill="FFFFFF"/>
        <w:ind w:firstLine="424"/>
        <w:rPr>
          <w:i/>
          <w:i/>
          <w:sz w:val="20"/>
        </w:rPr>
      </w:pPr>
      <w:r>
        <w:rPr>
          <w:i/>
          <w:sz w:val="20"/>
        </w:rPr>
      </w:r>
    </w:p>
    <w:tbl>
      <w:tblPr>
        <w:tblW w:w="99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2"/>
        <w:gridCol w:w="9573"/>
      </w:tblGrid>
      <w:tr>
        <w:trPr/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3" w:type="dxa"/>
            <w:vMerge w:val="restart"/>
            <w:tcBorders/>
          </w:tcPr>
          <w:p>
            <w:pPr>
              <w:pStyle w:val="Normal"/>
              <w:jc w:val="both"/>
              <w:rPr>
                <w:u w:val="single"/>
                <w:lang w:eastAsia="lt-LT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</w:rPr>
              <w:t>–</w:t>
            </w:r>
            <w:r>
              <w:rPr>
                <w:lang w:eastAsia="lt-LT"/>
              </w:rPr>
              <w:t xml:space="preserve"> vadovaujantis Lietuvos Respublikos viešųjų pirkimų, atliekamų gynybos ir saugumo srityje, įstatymo (toliau – GĮ) 40 straipsnio 9 dalies 2 punktu, </w:t>
            </w:r>
            <w:r>
              <w:rPr/>
              <w:t xml:space="preserve">paslaugų teikimas nebus vykdomas iš Lietuvos Respublikos viešųjų pirkimų įstatymo 92 straipsnio 14 dalyje numatytame sąraše nurodytų valstybių ar teritorijų. </w:t>
            </w:r>
            <w:r>
              <w:rPr>
                <w:lang w:eastAsia="lt-LT"/>
              </w:rPr>
              <w:t>(</w:t>
            </w:r>
            <w:r>
              <w:rPr>
                <w:u w:val="single"/>
                <w:lang w:eastAsia="lt-LT"/>
              </w:rPr>
              <w:t>pirkimo dokumentų 4.6 p.,)</w:t>
            </w:r>
          </w:p>
          <w:p>
            <w:pPr>
              <w:pStyle w:val="Normal"/>
              <w:shd w:val="clear" w:color="auto" w:fill="FFFFFF"/>
              <w:spacing w:lineRule="auto" w:line="276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  </w:t>
            </w:r>
            <w:r>
              <w:rPr>
                <w:i/>
                <w:sz w:val="20"/>
              </w:rPr>
              <w:t>(pirkimo dokumentų punktai)</w:t>
            </w:r>
          </w:p>
          <w:p>
            <w:pPr>
              <w:pStyle w:val="Normal"/>
              <w:shd w:val="clear" w:color="auto" w:fill="FFFFFF"/>
              <w:spacing w:lineRule="auto" w:line="276"/>
              <w:ind w:firstLine="3657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  <w:p>
            <w:pPr>
              <w:pStyle w:val="Normal"/>
              <w:spacing w:lineRule="auto" w:line="276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352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  <w:tc>
          <w:tcPr>
            <w:tcW w:w="9573" w:type="dxa"/>
            <w:vMerge w:val="continue"/>
            <w:tcBorders/>
            <w:vAlign w:val="center"/>
          </w:tcPr>
          <w:p>
            <w:pPr>
              <w:pStyle w:val="Normal"/>
              <w:spacing w:lineRule="auto" w:line="27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</w:tr>
      <w:tr>
        <w:trPr>
          <w:trHeight w:val="708" w:hRule="atLeast"/>
        </w:trPr>
        <w:tc>
          <w:tcPr>
            <w:tcW w:w="352" w:type="dxa"/>
            <w:tcBorders/>
          </w:tcPr>
          <w:p>
            <w:pPr>
              <w:pStyle w:val="Normal"/>
              <w:spacing w:lineRule="auto" w:line="27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  <w:tc>
          <w:tcPr>
            <w:tcW w:w="9573" w:type="dxa"/>
            <w:vMerge w:val="continue"/>
            <w:tcBorders/>
            <w:vAlign w:val="center"/>
          </w:tcPr>
          <w:p>
            <w:pPr>
              <w:pStyle w:val="Normal"/>
              <w:spacing w:lineRule="auto" w:line="27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</w:tr>
    </w:tbl>
    <w:p>
      <w:pPr>
        <w:pStyle w:val="Normal"/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>
      <w:pPr>
        <w:pStyle w:val="Normal"/>
        <w:shd w:val="clear" w:color="auto" w:fill="FFFFFF"/>
        <w:ind w:firstLine="720"/>
        <w:rPr>
          <w:szCs w:val="24"/>
        </w:rPr>
      </w:pPr>
      <w:r>
        <w:rPr>
          <w:szCs w:val="24"/>
        </w:rPr>
      </w:r>
    </w:p>
    <w:p>
      <w:pPr>
        <w:pStyle w:val="Normal"/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>
      <w:pPr>
        <w:pStyle w:val="Normal"/>
        <w:widowControl w:val="false"/>
        <w:shd w:val="clear" w:color="auto" w:fill="FFFFFF"/>
        <w:suppressAutoHyphens w:val="true"/>
        <w:jc w:val="both"/>
        <w:textAlignment w:val="baseline"/>
        <w:rPr>
          <w:color w:val="000000"/>
          <w:shd w:fill="00FF00" w:val="clear"/>
        </w:rPr>
      </w:pPr>
      <w:r>
        <w:rPr>
          <w:color w:val="000000"/>
          <w:shd w:fill="00FF00" w:val="clear"/>
        </w:rPr>
      </w:r>
    </w:p>
    <w:p>
      <w:pPr>
        <w:pStyle w:val="Normal"/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>
      <w:pPr>
        <w:pStyle w:val="Normal"/>
        <w:widowControl w:val="false"/>
        <w:suppressAutoHyphens w:val="true"/>
        <w:ind w:left="709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widowControl w:val="false"/>
        <w:suppressAutoHyphens w:val="true"/>
        <w:jc w:val="center"/>
        <w:textAlignment w:val="baseline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widowControl w:val="false"/>
        <w:suppressAutoHyphens w:val="true"/>
        <w:jc w:val="center"/>
        <w:textAlignment w:val="baseline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widowControl w:val="false"/>
        <w:suppressAutoHyphens w:val="true"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  <w:tab/>
        <w:t xml:space="preserve">                   ___________________</w:t>
      </w:r>
    </w:p>
    <w:p>
      <w:pPr>
        <w:pStyle w:val="Normal"/>
        <w:widowControl w:val="false"/>
        <w:suppressAutoHyphens w:val="true"/>
        <w:ind w:firstLine="471"/>
        <w:jc w:val="center"/>
        <w:textAlignment w:val="baseline"/>
        <w:rPr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>
      <w:type w:val="nextPage"/>
      <w:pgSz w:w="12240" w:h="15840"/>
      <w:pgMar w:left="1276" w:right="567" w:gutter="0" w:header="0" w:top="709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Times New Roman">
    <w:charset w:val="ba"/>
    <w:family w:val="roman"/>
    <w:pitch w:val="variable"/>
  </w:font>
  <w:font w:name="Liberation Sans">
    <w:altName w:val="Arial"/>
    <w:charset w:val="ba"/>
    <w:family w:val="swiss"/>
    <w:pitch w:val="variable"/>
  </w:font>
  <w:font w:name="Times New Roman">
    <w:charset w:val="01"/>
    <w:family w:val="roman"/>
    <w:pitch w:val="variable"/>
  </w:font>
  <w:font w:name="Calibri">
    <w:charset w:val="ba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96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lt-LT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lt-LT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Antrat">
    <w:name w:val="Antrašt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Lucida Sans"/>
    </w:rPr>
  </w:style>
  <w:style w:type="paragraph" w:styleId="Antratuser">
    <w:name w:val="Antrašt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odykluser">
    <w:name w:val="Rodyklė (user)"/>
    <w:basedOn w:val="Normal"/>
    <w:qFormat/>
    <w:pPr>
      <w:suppressLineNumbers/>
    </w:pPr>
    <w:rPr>
      <w:rFonts w:cs="Lucida Sans"/>
    </w:rPr>
  </w:style>
  <w:style w:type="paragraph" w:styleId="Revision">
    <w:name w:val="Revision"/>
    <w:semiHidden/>
    <w:qFormat/>
    <w:rsid w:val="00ea33b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lt-L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<Relationship Id="rId8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LibreOffice/25.2.3.2$Windows_X86_64 LibreOffice_project/bbb074479178df812d175f709636b368952c2ce3</Application>
  <AppVersion>15.0000</AppVersion>
  <Pages>1</Pages>
  <Words>264</Words>
  <Characters>2025</Characters>
  <CharactersWithSpaces>2472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2024-06-14T08:05:00Z</dcterms:created>
  <dc:creator>Laura Kuoraite</dc:creator>
  <dc:description/>
  <dc:language>lt-LT</dc:language>
  <cp:lastModifiedBy/>
  <cp:lastPrinted>2017-06-22T06:38:00Z</cp:lastPrinted>
  <dcterms:modified xsi:type="dcterms:W3CDTF">2025-07-01T18:35:27Z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