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633446"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633446">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8839BE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633446">
        <w:rPr>
          <w:rFonts w:cstheme="minorHAnsi"/>
          <w:b/>
          <w:bCs/>
          <w:sz w:val="22"/>
          <w:szCs w:val="22"/>
        </w:rPr>
        <w:t>NVP-73422 UNIVERSALUS ECHOSKOPAS“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50769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50769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50769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50769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50769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50769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11F3487E" w:rsidR="002E2126" w:rsidRPr="000918AC"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633446" w:rsidRPr="00E47E73" w14:paraId="6F1B9ABF" w14:textId="77777777" w:rsidTr="00892BC6">
        <w:tc>
          <w:tcPr>
            <w:tcW w:w="846" w:type="dxa"/>
            <w:shd w:val="clear" w:color="auto" w:fill="E7E6E6" w:themeFill="background2"/>
            <w:vAlign w:val="center"/>
          </w:tcPr>
          <w:p w14:paraId="2C0F2826"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3231" w:type="dxa"/>
            <w:shd w:val="clear" w:color="auto" w:fill="E7E6E6" w:themeFill="background2"/>
            <w:vAlign w:val="center"/>
          </w:tcPr>
          <w:p w14:paraId="5C8409D4"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9526" w:type="dxa"/>
            <w:shd w:val="clear" w:color="auto" w:fill="E7E6E6" w:themeFill="background2"/>
            <w:vAlign w:val="center"/>
          </w:tcPr>
          <w:p w14:paraId="5079E38E"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633446" w:rsidRPr="00E47E73" w14:paraId="0C9C8838" w14:textId="77777777" w:rsidTr="00892BC6">
        <w:tc>
          <w:tcPr>
            <w:tcW w:w="846" w:type="dxa"/>
            <w:vAlign w:val="center"/>
          </w:tcPr>
          <w:p w14:paraId="110C7B43"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3231" w:type="dxa"/>
            <w:shd w:val="clear" w:color="auto" w:fill="E7E6E6" w:themeFill="background2"/>
            <w:vAlign w:val="center"/>
          </w:tcPr>
          <w:p w14:paraId="26E18625" w14:textId="271D54AE"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Pr="008F7326">
              <w:rPr>
                <w:rFonts w:eastAsia="Times New Roman" w:cstheme="minorHAnsi"/>
                <w:sz w:val="22"/>
                <w:szCs w:val="22"/>
                <w:lang w:eastAsia="en-US"/>
              </w:rPr>
              <w:t xml:space="preserve"> </w:t>
            </w:r>
            <w:r w:rsidR="008F7326" w:rsidRPr="008F7326">
              <w:rPr>
                <w:sz w:val="22"/>
              </w:rPr>
              <w:t xml:space="preserve">Nuolatinės bangos </w:t>
            </w:r>
            <w:proofErr w:type="spellStart"/>
            <w:r w:rsidR="008F7326" w:rsidRPr="008F7326">
              <w:rPr>
                <w:sz w:val="22"/>
              </w:rPr>
              <w:t>doplerio</w:t>
            </w:r>
            <w:proofErr w:type="spellEnd"/>
            <w:r w:rsidR="008F7326" w:rsidRPr="008F7326">
              <w:rPr>
                <w:sz w:val="22"/>
              </w:rPr>
              <w:t xml:space="preserve"> režimas veikia su linijiniu davikliu</w:t>
            </w:r>
            <w:r w:rsidR="008F7326" w:rsidRPr="008F7326">
              <w:rPr>
                <w:rFonts w:eastAsia="Times New Roman"/>
                <w:spacing w:val="-2"/>
                <w:sz w:val="22"/>
              </w:rPr>
              <w:t xml:space="preserve"> ir </w:t>
            </w:r>
            <w:proofErr w:type="spellStart"/>
            <w:r w:rsidR="008F7326" w:rsidRPr="008F7326">
              <w:rPr>
                <w:rFonts w:eastAsia="Times New Roman"/>
                <w:spacing w:val="-2"/>
                <w:sz w:val="22"/>
              </w:rPr>
              <w:t>konveksiniu</w:t>
            </w:r>
            <w:proofErr w:type="spellEnd"/>
            <w:r w:rsidR="008F7326" w:rsidRPr="008F7326">
              <w:rPr>
                <w:rFonts w:eastAsia="Times New Roman"/>
                <w:spacing w:val="-2"/>
                <w:sz w:val="22"/>
              </w:rPr>
              <w:t xml:space="preserve"> davikliais</w:t>
            </w:r>
          </w:p>
        </w:tc>
        <w:tc>
          <w:tcPr>
            <w:tcW w:w="9526" w:type="dxa"/>
            <w:vAlign w:val="center"/>
          </w:tcPr>
          <w:p w14:paraId="34E3F3E3"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8101904"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63F0F388" w14:textId="77777777" w:rsidTr="00892BC6">
        <w:tc>
          <w:tcPr>
            <w:tcW w:w="846" w:type="dxa"/>
            <w:vAlign w:val="center"/>
          </w:tcPr>
          <w:p w14:paraId="6C22970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3231" w:type="dxa"/>
            <w:shd w:val="clear" w:color="auto" w:fill="E7E6E6" w:themeFill="background2"/>
            <w:vAlign w:val="center"/>
          </w:tcPr>
          <w:p w14:paraId="0DA4C2C0" w14:textId="755AA37C" w:rsidR="001470B9" w:rsidRPr="006122F8" w:rsidRDefault="00633446" w:rsidP="001470B9">
            <w:pPr>
              <w:spacing w:after="0" w:line="240" w:lineRule="auto"/>
              <w:jc w:val="both"/>
              <w:rPr>
                <w:sz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2</w:t>
            </w:r>
            <w:r w:rsidRPr="008F7326">
              <w:rPr>
                <w:rFonts w:eastAsia="Times New Roman" w:cstheme="minorHAnsi"/>
                <w:sz w:val="22"/>
                <w:szCs w:val="22"/>
                <w:lang w:eastAsia="en-US"/>
              </w:rPr>
              <w:t xml:space="preserve"> </w:t>
            </w:r>
            <w:r w:rsidR="001470B9" w:rsidRPr="006122F8">
              <w:rPr>
                <w:sz w:val="22"/>
              </w:rPr>
              <w:t xml:space="preserve">Dvigubų vartelių </w:t>
            </w:r>
            <w:proofErr w:type="spellStart"/>
            <w:r w:rsidR="001470B9" w:rsidRPr="006122F8">
              <w:rPr>
                <w:sz w:val="22"/>
              </w:rPr>
              <w:t>dopleris</w:t>
            </w:r>
            <w:proofErr w:type="spellEnd"/>
            <w:r w:rsidR="001470B9" w:rsidRPr="006122F8">
              <w:rPr>
                <w:sz w:val="22"/>
              </w:rPr>
              <w:t xml:space="preserve">: galimybė (realiuoju laiku) gauti vienu metu atvaizduojamus dviejų skirtingų taškų </w:t>
            </w:r>
            <w:proofErr w:type="spellStart"/>
            <w:r w:rsidR="001470B9" w:rsidRPr="006122F8">
              <w:rPr>
                <w:sz w:val="22"/>
              </w:rPr>
              <w:t>doplerio</w:t>
            </w:r>
            <w:proofErr w:type="spellEnd"/>
            <w:r w:rsidR="001470B9" w:rsidRPr="006122F8">
              <w:rPr>
                <w:sz w:val="22"/>
              </w:rPr>
              <w:t xml:space="preserve"> </w:t>
            </w:r>
            <w:r w:rsidR="001470B9" w:rsidRPr="006122F8">
              <w:rPr>
                <w:sz w:val="22"/>
              </w:rPr>
              <w:lastRenderedPageBreak/>
              <w:t xml:space="preserve">spektrus su automatiniu mėginio </w:t>
            </w:r>
            <w:proofErr w:type="spellStart"/>
            <w:r w:rsidR="001470B9" w:rsidRPr="006122F8">
              <w:rPr>
                <w:sz w:val="22"/>
              </w:rPr>
              <w:t>vartelio</w:t>
            </w:r>
            <w:proofErr w:type="spellEnd"/>
            <w:r w:rsidR="001470B9" w:rsidRPr="006122F8">
              <w:rPr>
                <w:sz w:val="22"/>
              </w:rPr>
              <w:t xml:space="preserve"> nustatymu kiekvienam </w:t>
            </w:r>
            <w:proofErr w:type="spellStart"/>
            <w:r w:rsidR="001470B9" w:rsidRPr="006122F8">
              <w:rPr>
                <w:sz w:val="22"/>
              </w:rPr>
              <w:t>varteliui</w:t>
            </w:r>
            <w:proofErr w:type="spellEnd"/>
            <w:r w:rsidR="001470B9" w:rsidRPr="006122F8">
              <w:rPr>
                <w:sz w:val="22"/>
              </w:rPr>
              <w:t>.</w:t>
            </w:r>
          </w:p>
          <w:p w14:paraId="060984E0" w14:textId="04CFE811" w:rsidR="00633446" w:rsidRPr="008F7326" w:rsidRDefault="001470B9" w:rsidP="001470B9">
            <w:pPr>
              <w:suppressAutoHyphens/>
              <w:spacing w:after="0" w:line="240" w:lineRule="auto"/>
              <w:jc w:val="both"/>
              <w:rPr>
                <w:rFonts w:eastAsia="Times New Roman" w:cstheme="minorHAnsi"/>
                <w:sz w:val="22"/>
                <w:szCs w:val="22"/>
                <w:lang w:eastAsia="en-US"/>
              </w:rPr>
            </w:pPr>
            <w:r w:rsidRPr="006122F8">
              <w:rPr>
                <w:sz w:val="22"/>
              </w:rPr>
              <w:t>Galimos atvaizdavimo kombinacijos:</w:t>
            </w:r>
            <w:r w:rsidRPr="006122F8">
              <w:rPr>
                <w:sz w:val="22"/>
              </w:rPr>
              <w:br/>
              <w:t xml:space="preserve">- pulsinės bangos ir pulsinės bangos atvaizdavimas (PW-PW); </w:t>
            </w:r>
            <w:r w:rsidRPr="006122F8">
              <w:rPr>
                <w:sz w:val="22"/>
              </w:rPr>
              <w:br/>
              <w:t xml:space="preserve">- audinių </w:t>
            </w:r>
            <w:proofErr w:type="spellStart"/>
            <w:r w:rsidRPr="006122F8">
              <w:rPr>
                <w:sz w:val="22"/>
              </w:rPr>
              <w:t>doplerio</w:t>
            </w:r>
            <w:proofErr w:type="spellEnd"/>
            <w:r w:rsidRPr="006122F8">
              <w:rPr>
                <w:sz w:val="22"/>
              </w:rPr>
              <w:t xml:space="preserve"> ir audinių </w:t>
            </w:r>
            <w:proofErr w:type="spellStart"/>
            <w:r w:rsidRPr="006122F8">
              <w:rPr>
                <w:sz w:val="22"/>
              </w:rPr>
              <w:t>doplerio</w:t>
            </w:r>
            <w:proofErr w:type="spellEnd"/>
            <w:r w:rsidRPr="006122F8">
              <w:rPr>
                <w:sz w:val="22"/>
              </w:rPr>
              <w:t xml:space="preserve"> atvaizdavimas (TDI-TDI); </w:t>
            </w:r>
            <w:r w:rsidRPr="006122F8">
              <w:rPr>
                <w:sz w:val="22"/>
              </w:rPr>
              <w:br/>
              <w:t xml:space="preserve">- pulsinės bangos ir audinių </w:t>
            </w:r>
            <w:proofErr w:type="spellStart"/>
            <w:r w:rsidRPr="006122F8">
              <w:rPr>
                <w:sz w:val="22"/>
              </w:rPr>
              <w:t>doplerio</w:t>
            </w:r>
            <w:proofErr w:type="spellEnd"/>
            <w:r w:rsidRPr="006122F8">
              <w:rPr>
                <w:sz w:val="22"/>
              </w:rPr>
              <w:t xml:space="preserve"> atvaizdavimas (PW-TDI)</w:t>
            </w:r>
          </w:p>
        </w:tc>
        <w:tc>
          <w:tcPr>
            <w:tcW w:w="9526" w:type="dxa"/>
            <w:vAlign w:val="center"/>
          </w:tcPr>
          <w:p w14:paraId="363B2CDD"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lastRenderedPageBreak/>
              <w:t>Taip / Ne (pasirinkti atsakymą)</w:t>
            </w:r>
          </w:p>
          <w:p w14:paraId="1734E990"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008B0999" w14:textId="77777777" w:rsidTr="00892BC6">
        <w:tc>
          <w:tcPr>
            <w:tcW w:w="846" w:type="dxa"/>
            <w:vAlign w:val="center"/>
          </w:tcPr>
          <w:p w14:paraId="2DBB876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3231" w:type="dxa"/>
            <w:shd w:val="clear" w:color="auto" w:fill="E7E6E6" w:themeFill="background2"/>
            <w:vAlign w:val="center"/>
          </w:tcPr>
          <w:p w14:paraId="0E46D3A3" w14:textId="313EB5C6"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3</w:t>
            </w:r>
            <w:r w:rsidRPr="008F7326">
              <w:rPr>
                <w:rFonts w:eastAsia="Times New Roman" w:cstheme="minorHAnsi"/>
                <w:sz w:val="22"/>
                <w:szCs w:val="22"/>
                <w:lang w:eastAsia="en-US"/>
              </w:rPr>
              <w:t xml:space="preserve"> </w:t>
            </w:r>
            <w:r w:rsidR="0036729B" w:rsidRPr="006122F8">
              <w:rPr>
                <w:color w:val="000000" w:themeColor="text1"/>
                <w:sz w:val="22"/>
              </w:rPr>
              <w:t>Dirbtiniu intelektu paremta funkcija pagerinanti signalo ir triukšmo santykį nepabloginant skiriamosios gebos, paryškinanti skirtingų struktūrų ribas, sumažinanti triukšmus, artefaktus</w:t>
            </w:r>
          </w:p>
        </w:tc>
        <w:tc>
          <w:tcPr>
            <w:tcW w:w="9526" w:type="dxa"/>
            <w:vAlign w:val="center"/>
          </w:tcPr>
          <w:p w14:paraId="4E31DDCB"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6A169CD2"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27912568" w14:textId="77777777" w:rsidTr="00892BC6">
        <w:tc>
          <w:tcPr>
            <w:tcW w:w="846" w:type="dxa"/>
            <w:vAlign w:val="center"/>
          </w:tcPr>
          <w:p w14:paraId="70FBD5DF"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3231" w:type="dxa"/>
            <w:shd w:val="clear" w:color="auto" w:fill="E7E6E6" w:themeFill="background2"/>
            <w:vAlign w:val="center"/>
          </w:tcPr>
          <w:p w14:paraId="53F18E6B" w14:textId="77777777" w:rsidR="00DA294C" w:rsidRPr="006122F8" w:rsidRDefault="00633446" w:rsidP="00DA294C">
            <w:pPr>
              <w:spacing w:after="0" w:line="240" w:lineRule="auto"/>
              <w:contextualSpacing/>
              <w:jc w:val="both"/>
              <w:rPr>
                <w:color w:val="000000" w:themeColor="text1"/>
                <w:sz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4</w:t>
            </w:r>
            <w:r w:rsidRPr="008F7326">
              <w:rPr>
                <w:rFonts w:eastAsia="Times New Roman" w:cstheme="minorHAnsi"/>
                <w:sz w:val="22"/>
                <w:szCs w:val="22"/>
                <w:lang w:eastAsia="en-US"/>
              </w:rPr>
              <w:t xml:space="preserve"> </w:t>
            </w:r>
            <w:r w:rsidR="00DA294C" w:rsidRPr="006122F8">
              <w:rPr>
                <w:rFonts w:eastAsia="Times New Roman"/>
                <w:sz w:val="22"/>
              </w:rPr>
              <w:t xml:space="preserve">Programinė įranga širdies </w:t>
            </w:r>
            <w:r w:rsidR="00DA294C">
              <w:rPr>
                <w:rFonts w:eastAsia="Times New Roman"/>
                <w:sz w:val="22"/>
              </w:rPr>
              <w:t>veiklos</w:t>
            </w:r>
            <w:r w:rsidR="00DA294C" w:rsidRPr="006122F8">
              <w:rPr>
                <w:rFonts w:eastAsia="Times New Roman"/>
                <w:sz w:val="22"/>
              </w:rPr>
              <w:t xml:space="preserve"> analizei:</w:t>
            </w:r>
          </w:p>
          <w:p w14:paraId="0848BB0F" w14:textId="4DD02BCB" w:rsidR="00633446" w:rsidRPr="008F7326" w:rsidRDefault="00DA294C" w:rsidP="00DA294C">
            <w:pPr>
              <w:suppressAutoHyphens/>
              <w:spacing w:after="0" w:line="240" w:lineRule="auto"/>
              <w:jc w:val="both"/>
              <w:rPr>
                <w:rFonts w:eastAsia="Times New Roman" w:cstheme="minorHAnsi"/>
                <w:sz w:val="22"/>
                <w:szCs w:val="22"/>
                <w:lang w:eastAsia="en-US"/>
              </w:rPr>
            </w:pPr>
            <w:r w:rsidRPr="006122F8">
              <w:rPr>
                <w:color w:val="000000" w:themeColor="text1"/>
                <w:sz w:val="22"/>
              </w:rPr>
              <w:t xml:space="preserve">- Automatizuotas </w:t>
            </w:r>
            <w:proofErr w:type="spellStart"/>
            <w:r w:rsidRPr="006122F8">
              <w:rPr>
                <w:color w:val="000000" w:themeColor="text1"/>
                <w:sz w:val="22"/>
              </w:rPr>
              <w:t>Simpson</w:t>
            </w:r>
            <w:proofErr w:type="spellEnd"/>
            <w:r w:rsidRPr="006122F8">
              <w:rPr>
                <w:color w:val="000000" w:themeColor="text1"/>
                <w:sz w:val="22"/>
              </w:rPr>
              <w:t xml:space="preserve"> metodas</w:t>
            </w:r>
            <w:r>
              <w:rPr>
                <w:color w:val="000000" w:themeColor="text1"/>
                <w:sz w:val="22"/>
              </w:rPr>
              <w:t xml:space="preserve">: </w:t>
            </w:r>
            <w:r w:rsidRPr="006122F8">
              <w:rPr>
                <w:color w:val="000000" w:themeColor="text1"/>
                <w:sz w:val="22"/>
              </w:rPr>
              <w:t>automatiškai nustato širdies ciklo pradžią ir pabaigą (ED/ES), apskaičiuoja globalinį išilginį deformacijos indeksą (GLS), išstūmimo frakciją bei kairiojo skilvelio tūrį</w:t>
            </w:r>
          </w:p>
        </w:tc>
        <w:tc>
          <w:tcPr>
            <w:tcW w:w="9526" w:type="dxa"/>
            <w:vAlign w:val="center"/>
          </w:tcPr>
          <w:p w14:paraId="693CF4CE"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iCs/>
                <w:color w:val="FF0000"/>
                <w:sz w:val="22"/>
                <w:szCs w:val="22"/>
                <w:lang w:eastAsia="en-US"/>
              </w:rPr>
              <w:t>Įrašyti reikšmę</w:t>
            </w:r>
          </w:p>
          <w:p w14:paraId="6288722D"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F0D359B"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33446">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33446">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w:t>
      </w:r>
      <w:r w:rsidRPr="00633446">
        <w:rPr>
          <w:rFonts w:eastAsia="Times New Roman" w:cstheme="minorHAnsi"/>
          <w:sz w:val="22"/>
          <w:szCs w:val="22"/>
          <w:lang w:eastAsia="en-US"/>
        </w:rPr>
        <w:t>siję su Prekių tiekimu.</w:t>
      </w:r>
    </w:p>
    <w:p w14:paraId="58EA3631" w14:textId="77777777"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33446">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491E9C6"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33446">
        <w:rPr>
          <w:rFonts w:eastAsia="Times New Roman" w:cstheme="minorHAnsi"/>
          <w:b/>
          <w:bCs/>
          <w:sz w:val="22"/>
          <w:szCs w:val="22"/>
        </w:rPr>
        <w:t>90 750,00</w:t>
      </w:r>
      <w:r w:rsidRPr="0063344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B65F594"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63344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633446" w:rsidRPr="005F3AFB" w14:paraId="3D2EE220" w14:textId="77777777" w:rsidTr="00892BC6">
        <w:tc>
          <w:tcPr>
            <w:tcW w:w="247" w:type="pct"/>
            <w:shd w:val="clear" w:color="auto" w:fill="E7E6E6" w:themeFill="background2"/>
            <w:vAlign w:val="center"/>
          </w:tcPr>
          <w:p w14:paraId="0F846C47"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Eil. Nr.</w:t>
            </w:r>
          </w:p>
        </w:tc>
        <w:tc>
          <w:tcPr>
            <w:tcW w:w="1212" w:type="pct"/>
            <w:shd w:val="clear" w:color="auto" w:fill="E7E6E6" w:themeFill="background2"/>
            <w:vAlign w:val="center"/>
          </w:tcPr>
          <w:p w14:paraId="663A8960"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Pavadinimas</w:t>
            </w:r>
          </w:p>
        </w:tc>
        <w:tc>
          <w:tcPr>
            <w:tcW w:w="560" w:type="pct"/>
            <w:shd w:val="clear" w:color="auto" w:fill="E7E6E6" w:themeFill="background2"/>
            <w:vAlign w:val="center"/>
          </w:tcPr>
          <w:p w14:paraId="6EB520CF" w14:textId="413F3736"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w:t>
            </w:r>
            <w:r w:rsidR="00E62010">
              <w:rPr>
                <w:rFonts w:asciiTheme="minorHAnsi" w:hAnsiTheme="minorHAnsi" w:cstheme="minorHAnsi"/>
                <w:b/>
                <w:bCs/>
              </w:rPr>
              <w:t>,</w:t>
            </w:r>
            <w:r>
              <w:rPr>
                <w:rFonts w:asciiTheme="minorHAnsi" w:hAnsiTheme="minorHAnsi" w:cstheme="minorHAnsi"/>
                <w:b/>
                <w:bCs/>
              </w:rPr>
              <w:t xml:space="preserve"> modelis</w:t>
            </w:r>
          </w:p>
        </w:tc>
        <w:tc>
          <w:tcPr>
            <w:tcW w:w="435" w:type="pct"/>
            <w:shd w:val="clear" w:color="auto" w:fill="E7E6E6" w:themeFill="background2"/>
            <w:vAlign w:val="center"/>
          </w:tcPr>
          <w:p w14:paraId="35B8857C"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Mato vnt.</w:t>
            </w:r>
          </w:p>
        </w:tc>
        <w:tc>
          <w:tcPr>
            <w:tcW w:w="917" w:type="pct"/>
            <w:shd w:val="clear" w:color="auto" w:fill="E7E6E6" w:themeFill="background2"/>
            <w:vAlign w:val="center"/>
          </w:tcPr>
          <w:p w14:paraId="02E5A943"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Kiekis (apimtis)</w:t>
            </w:r>
          </w:p>
        </w:tc>
        <w:tc>
          <w:tcPr>
            <w:tcW w:w="1628" w:type="pct"/>
            <w:gridSpan w:val="2"/>
            <w:shd w:val="clear" w:color="auto" w:fill="E7E6E6" w:themeFill="background2"/>
            <w:vAlign w:val="center"/>
          </w:tcPr>
          <w:p w14:paraId="3F9B2032"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Kaina Eur be PVM</w:t>
            </w:r>
          </w:p>
        </w:tc>
      </w:tr>
      <w:tr w:rsidR="00633446" w:rsidRPr="00F53542" w14:paraId="02D6E63C" w14:textId="77777777" w:rsidTr="00892BC6">
        <w:trPr>
          <w:trHeight w:val="161"/>
        </w:trPr>
        <w:tc>
          <w:tcPr>
            <w:tcW w:w="247" w:type="pct"/>
            <w:shd w:val="clear" w:color="auto" w:fill="E7E6E6" w:themeFill="background2"/>
          </w:tcPr>
          <w:p w14:paraId="4AA5CCCD" w14:textId="77777777" w:rsidR="00633446" w:rsidRPr="00F53542" w:rsidRDefault="00633446" w:rsidP="00892BC6">
            <w:pPr>
              <w:jc w:val="center"/>
              <w:rPr>
                <w:rFonts w:cstheme="minorHAnsi"/>
                <w:i/>
                <w:iCs/>
              </w:rPr>
            </w:pPr>
            <w:r w:rsidRPr="00F53542">
              <w:rPr>
                <w:rFonts w:cstheme="minorHAnsi"/>
                <w:i/>
                <w:iCs/>
              </w:rPr>
              <w:t>1</w:t>
            </w:r>
          </w:p>
        </w:tc>
        <w:tc>
          <w:tcPr>
            <w:tcW w:w="1212" w:type="pct"/>
            <w:shd w:val="clear" w:color="auto" w:fill="E7E6E6" w:themeFill="background2"/>
          </w:tcPr>
          <w:p w14:paraId="55AEB2E2" w14:textId="77777777" w:rsidR="00633446" w:rsidRPr="00F53542" w:rsidRDefault="00633446" w:rsidP="00892BC6">
            <w:pPr>
              <w:jc w:val="center"/>
              <w:rPr>
                <w:rFonts w:cstheme="minorHAnsi"/>
                <w:i/>
                <w:iCs/>
              </w:rPr>
            </w:pPr>
            <w:r w:rsidRPr="00F53542">
              <w:rPr>
                <w:rFonts w:cstheme="minorHAnsi"/>
                <w:i/>
                <w:iCs/>
              </w:rPr>
              <w:t>2</w:t>
            </w:r>
          </w:p>
        </w:tc>
        <w:tc>
          <w:tcPr>
            <w:tcW w:w="560" w:type="pct"/>
            <w:shd w:val="clear" w:color="auto" w:fill="E7E6E6" w:themeFill="background2"/>
          </w:tcPr>
          <w:p w14:paraId="2A115CD9" w14:textId="77777777" w:rsidR="00633446" w:rsidRPr="00F53542" w:rsidRDefault="00633446" w:rsidP="00892BC6">
            <w:pPr>
              <w:jc w:val="center"/>
              <w:rPr>
                <w:rFonts w:cstheme="minorHAnsi"/>
                <w:i/>
                <w:iCs/>
              </w:rPr>
            </w:pPr>
            <w:r w:rsidRPr="00F53542">
              <w:rPr>
                <w:rFonts w:cstheme="minorHAnsi"/>
                <w:i/>
                <w:iCs/>
              </w:rPr>
              <w:t>3</w:t>
            </w:r>
          </w:p>
        </w:tc>
        <w:tc>
          <w:tcPr>
            <w:tcW w:w="435" w:type="pct"/>
            <w:shd w:val="clear" w:color="auto" w:fill="E7E6E6" w:themeFill="background2"/>
          </w:tcPr>
          <w:p w14:paraId="7723B504" w14:textId="77777777" w:rsidR="00633446" w:rsidRPr="00F53542" w:rsidRDefault="00633446" w:rsidP="00892BC6">
            <w:pPr>
              <w:jc w:val="center"/>
              <w:rPr>
                <w:rFonts w:cstheme="minorHAnsi"/>
                <w:i/>
                <w:iCs/>
              </w:rPr>
            </w:pPr>
            <w:r w:rsidRPr="00F53542">
              <w:rPr>
                <w:rFonts w:cstheme="minorHAnsi"/>
                <w:i/>
                <w:iCs/>
              </w:rPr>
              <w:t>4</w:t>
            </w:r>
          </w:p>
        </w:tc>
        <w:tc>
          <w:tcPr>
            <w:tcW w:w="917" w:type="pct"/>
            <w:shd w:val="clear" w:color="auto" w:fill="E7E6E6" w:themeFill="background2"/>
          </w:tcPr>
          <w:p w14:paraId="2FE43F88" w14:textId="77777777" w:rsidR="00633446" w:rsidRPr="00F53542" w:rsidRDefault="00633446" w:rsidP="00892BC6">
            <w:pPr>
              <w:jc w:val="center"/>
              <w:rPr>
                <w:rFonts w:cstheme="minorHAnsi"/>
                <w:i/>
                <w:iCs/>
              </w:rPr>
            </w:pPr>
            <w:r w:rsidRPr="00F53542">
              <w:rPr>
                <w:rFonts w:cstheme="minorHAnsi"/>
                <w:i/>
                <w:iCs/>
              </w:rPr>
              <w:t>5</w:t>
            </w:r>
          </w:p>
        </w:tc>
        <w:tc>
          <w:tcPr>
            <w:tcW w:w="1628" w:type="pct"/>
            <w:gridSpan w:val="2"/>
            <w:shd w:val="clear" w:color="auto" w:fill="E7E6E6" w:themeFill="background2"/>
          </w:tcPr>
          <w:p w14:paraId="62661F98" w14:textId="77777777" w:rsidR="00633446" w:rsidRPr="00F53542" w:rsidRDefault="00633446" w:rsidP="00892BC6">
            <w:pPr>
              <w:jc w:val="center"/>
              <w:rPr>
                <w:rFonts w:cstheme="minorHAnsi"/>
                <w:i/>
                <w:iCs/>
              </w:rPr>
            </w:pPr>
            <w:r w:rsidRPr="00F53542">
              <w:rPr>
                <w:rFonts w:cstheme="minorHAnsi"/>
                <w:i/>
                <w:iCs/>
              </w:rPr>
              <w:t>6</w:t>
            </w:r>
          </w:p>
        </w:tc>
      </w:tr>
      <w:tr w:rsidR="00633446" w:rsidRPr="00C45894" w14:paraId="008C9ADA" w14:textId="77777777" w:rsidTr="00892BC6">
        <w:tc>
          <w:tcPr>
            <w:tcW w:w="247" w:type="pct"/>
            <w:shd w:val="clear" w:color="auto" w:fill="E7E6E6" w:themeFill="background2"/>
            <w:vAlign w:val="center"/>
          </w:tcPr>
          <w:p w14:paraId="094B4160"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212" w:type="pct"/>
            <w:shd w:val="clear" w:color="auto" w:fill="E7E6E6" w:themeFill="background2"/>
          </w:tcPr>
          <w:p w14:paraId="2717AE7C" w14:textId="7D6567CA" w:rsidR="00633446" w:rsidRPr="00B676AA" w:rsidRDefault="00633446" w:rsidP="00892BC6">
            <w:pPr>
              <w:jc w:val="both"/>
              <w:rPr>
                <w:rFonts w:asciiTheme="minorHAnsi" w:hAnsiTheme="minorHAnsi" w:cstheme="minorHAnsi"/>
              </w:rPr>
            </w:pPr>
            <w:r>
              <w:rPr>
                <w:rFonts w:asciiTheme="minorHAnsi" w:hAnsiTheme="minorHAnsi" w:cstheme="minorHAnsi"/>
                <w:sz w:val="22"/>
                <w:szCs w:val="22"/>
              </w:rPr>
              <w:t>Universalus echoskopas</w:t>
            </w:r>
          </w:p>
        </w:tc>
        <w:tc>
          <w:tcPr>
            <w:tcW w:w="560" w:type="pct"/>
            <w:shd w:val="clear" w:color="auto" w:fill="auto"/>
          </w:tcPr>
          <w:p w14:paraId="528D94C4" w14:textId="77777777" w:rsidR="00633446" w:rsidRPr="00B676AA" w:rsidRDefault="00633446" w:rsidP="00892BC6">
            <w:pPr>
              <w:jc w:val="both"/>
              <w:rPr>
                <w:rFonts w:asciiTheme="minorHAnsi" w:hAnsiTheme="minorHAnsi" w:cstheme="minorHAnsi"/>
              </w:rPr>
            </w:pPr>
          </w:p>
        </w:tc>
        <w:tc>
          <w:tcPr>
            <w:tcW w:w="435" w:type="pct"/>
            <w:shd w:val="clear" w:color="auto" w:fill="E7E6E6" w:themeFill="background2"/>
            <w:vAlign w:val="center"/>
          </w:tcPr>
          <w:p w14:paraId="1C9109F8"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vnt.</w:t>
            </w:r>
          </w:p>
        </w:tc>
        <w:tc>
          <w:tcPr>
            <w:tcW w:w="917" w:type="pct"/>
            <w:shd w:val="clear" w:color="auto" w:fill="E7E6E6" w:themeFill="background2"/>
            <w:vAlign w:val="center"/>
          </w:tcPr>
          <w:p w14:paraId="03383A53"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628" w:type="pct"/>
            <w:gridSpan w:val="2"/>
          </w:tcPr>
          <w:p w14:paraId="1F2243B8" w14:textId="77777777" w:rsidR="00633446" w:rsidRPr="00B676AA" w:rsidRDefault="00633446" w:rsidP="00892BC6">
            <w:pPr>
              <w:jc w:val="both"/>
              <w:rPr>
                <w:rFonts w:asciiTheme="minorHAnsi" w:hAnsiTheme="minorHAnsi" w:cstheme="minorHAnsi"/>
              </w:rPr>
            </w:pPr>
          </w:p>
        </w:tc>
      </w:tr>
      <w:tr w:rsidR="00633446" w:rsidRPr="00C45894" w14:paraId="508C5783" w14:textId="77777777" w:rsidTr="00892BC6">
        <w:tc>
          <w:tcPr>
            <w:tcW w:w="247" w:type="pct"/>
            <w:tcBorders>
              <w:left w:val="nil"/>
              <w:bottom w:val="nil"/>
              <w:right w:val="nil"/>
            </w:tcBorders>
            <w:shd w:val="clear" w:color="auto" w:fill="auto"/>
          </w:tcPr>
          <w:p w14:paraId="2D1D5FBC" w14:textId="77777777" w:rsidR="00633446" w:rsidRPr="00B676AA" w:rsidRDefault="00633446" w:rsidP="00892BC6">
            <w:pPr>
              <w:jc w:val="both"/>
              <w:rPr>
                <w:rFonts w:cstheme="minorHAnsi"/>
              </w:rPr>
            </w:pPr>
          </w:p>
        </w:tc>
        <w:tc>
          <w:tcPr>
            <w:tcW w:w="1212" w:type="pct"/>
            <w:tcBorders>
              <w:left w:val="nil"/>
              <w:bottom w:val="nil"/>
              <w:right w:val="nil"/>
            </w:tcBorders>
            <w:shd w:val="clear" w:color="auto" w:fill="auto"/>
          </w:tcPr>
          <w:p w14:paraId="5AEE6E29" w14:textId="77777777" w:rsidR="00633446" w:rsidRPr="00B676AA" w:rsidRDefault="00633446" w:rsidP="00892BC6">
            <w:pPr>
              <w:jc w:val="both"/>
              <w:rPr>
                <w:rFonts w:cstheme="minorHAnsi"/>
              </w:rPr>
            </w:pPr>
          </w:p>
        </w:tc>
        <w:tc>
          <w:tcPr>
            <w:tcW w:w="560" w:type="pct"/>
            <w:tcBorders>
              <w:left w:val="nil"/>
              <w:bottom w:val="nil"/>
              <w:right w:val="nil"/>
            </w:tcBorders>
            <w:shd w:val="clear" w:color="auto" w:fill="auto"/>
          </w:tcPr>
          <w:p w14:paraId="08050F73" w14:textId="77777777" w:rsidR="00633446" w:rsidRPr="00B676AA" w:rsidRDefault="00633446" w:rsidP="00892BC6">
            <w:pPr>
              <w:jc w:val="both"/>
              <w:rPr>
                <w:rFonts w:cstheme="minorHAnsi"/>
              </w:rPr>
            </w:pPr>
          </w:p>
        </w:tc>
        <w:tc>
          <w:tcPr>
            <w:tcW w:w="435" w:type="pct"/>
            <w:tcBorders>
              <w:left w:val="nil"/>
              <w:bottom w:val="nil"/>
            </w:tcBorders>
            <w:shd w:val="clear" w:color="auto" w:fill="auto"/>
          </w:tcPr>
          <w:p w14:paraId="452E63D4" w14:textId="77777777" w:rsidR="00633446" w:rsidRPr="00B676AA" w:rsidRDefault="00633446" w:rsidP="00892BC6">
            <w:pPr>
              <w:jc w:val="both"/>
              <w:rPr>
                <w:rFonts w:cstheme="minorHAnsi"/>
              </w:rPr>
            </w:pPr>
          </w:p>
        </w:tc>
        <w:tc>
          <w:tcPr>
            <w:tcW w:w="917" w:type="pct"/>
            <w:shd w:val="clear" w:color="auto" w:fill="E7E6E6" w:themeFill="background2"/>
            <w:vAlign w:val="center"/>
          </w:tcPr>
          <w:p w14:paraId="1FB88692" w14:textId="77777777" w:rsidR="00633446" w:rsidRPr="009D6D3E" w:rsidRDefault="00633446" w:rsidP="00892BC6">
            <w:pPr>
              <w:jc w:val="right"/>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6" w:type="pct"/>
          </w:tcPr>
          <w:p w14:paraId="050F5E9E" w14:textId="77777777" w:rsidR="00633446" w:rsidRPr="009D6D3E" w:rsidRDefault="00633446" w:rsidP="00892BC6">
            <w:pPr>
              <w:rPr>
                <w:rFonts w:cstheme="minorHAnsi"/>
                <w:i/>
                <w:iCs/>
              </w:rPr>
            </w:pPr>
            <w:r>
              <w:rPr>
                <w:rFonts w:cstheme="minorHAnsi"/>
                <w:i/>
                <w:iCs/>
              </w:rPr>
              <w:t>[Tiekėjas nurodo PVM procentinį tarifą]</w:t>
            </w:r>
          </w:p>
        </w:tc>
        <w:tc>
          <w:tcPr>
            <w:tcW w:w="942" w:type="pct"/>
          </w:tcPr>
          <w:p w14:paraId="39AD8321" w14:textId="77777777" w:rsidR="00633446" w:rsidRPr="009D6D3E" w:rsidRDefault="00633446" w:rsidP="00892BC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33446" w:rsidRPr="00C45894" w14:paraId="5FB4B568" w14:textId="77777777" w:rsidTr="00892BC6">
        <w:tc>
          <w:tcPr>
            <w:tcW w:w="247" w:type="pct"/>
            <w:tcBorders>
              <w:top w:val="nil"/>
              <w:left w:val="nil"/>
              <w:bottom w:val="nil"/>
              <w:right w:val="nil"/>
            </w:tcBorders>
            <w:shd w:val="clear" w:color="auto" w:fill="auto"/>
          </w:tcPr>
          <w:p w14:paraId="33062437" w14:textId="77777777" w:rsidR="00633446" w:rsidRPr="00B676AA" w:rsidRDefault="00633446" w:rsidP="00892BC6">
            <w:pPr>
              <w:jc w:val="both"/>
              <w:rPr>
                <w:rFonts w:cstheme="minorHAnsi"/>
              </w:rPr>
            </w:pPr>
          </w:p>
        </w:tc>
        <w:tc>
          <w:tcPr>
            <w:tcW w:w="1212" w:type="pct"/>
            <w:tcBorders>
              <w:top w:val="nil"/>
              <w:left w:val="nil"/>
              <w:bottom w:val="nil"/>
              <w:right w:val="nil"/>
            </w:tcBorders>
            <w:shd w:val="clear" w:color="auto" w:fill="auto"/>
          </w:tcPr>
          <w:p w14:paraId="0DA833D7" w14:textId="77777777" w:rsidR="00633446" w:rsidRPr="00B676AA" w:rsidRDefault="00633446" w:rsidP="00892BC6">
            <w:pPr>
              <w:jc w:val="both"/>
              <w:rPr>
                <w:rFonts w:cstheme="minorHAnsi"/>
              </w:rPr>
            </w:pPr>
          </w:p>
        </w:tc>
        <w:tc>
          <w:tcPr>
            <w:tcW w:w="560" w:type="pct"/>
            <w:tcBorders>
              <w:top w:val="nil"/>
              <w:left w:val="nil"/>
              <w:bottom w:val="nil"/>
              <w:right w:val="nil"/>
            </w:tcBorders>
            <w:shd w:val="clear" w:color="auto" w:fill="auto"/>
          </w:tcPr>
          <w:p w14:paraId="08D97B20" w14:textId="77777777" w:rsidR="00633446" w:rsidRPr="00B676AA" w:rsidRDefault="00633446" w:rsidP="00892BC6">
            <w:pPr>
              <w:jc w:val="both"/>
              <w:rPr>
                <w:rFonts w:cstheme="minorHAnsi"/>
              </w:rPr>
            </w:pPr>
          </w:p>
        </w:tc>
        <w:tc>
          <w:tcPr>
            <w:tcW w:w="435" w:type="pct"/>
            <w:tcBorders>
              <w:top w:val="nil"/>
              <w:left w:val="nil"/>
              <w:bottom w:val="nil"/>
            </w:tcBorders>
            <w:shd w:val="clear" w:color="auto" w:fill="auto"/>
          </w:tcPr>
          <w:p w14:paraId="1A55410F" w14:textId="77777777" w:rsidR="00633446" w:rsidRPr="00B676AA" w:rsidRDefault="00633446" w:rsidP="00892BC6">
            <w:pPr>
              <w:jc w:val="both"/>
              <w:rPr>
                <w:rFonts w:cstheme="minorHAnsi"/>
              </w:rPr>
            </w:pPr>
          </w:p>
        </w:tc>
        <w:tc>
          <w:tcPr>
            <w:tcW w:w="1603" w:type="pct"/>
            <w:gridSpan w:val="2"/>
            <w:shd w:val="clear" w:color="auto" w:fill="E7E6E6" w:themeFill="background2"/>
            <w:vAlign w:val="center"/>
          </w:tcPr>
          <w:p w14:paraId="53ADAC66" w14:textId="77777777" w:rsidR="00633446" w:rsidRDefault="00633446" w:rsidP="00892BC6">
            <w:pPr>
              <w:jc w:val="right"/>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2" w:type="pct"/>
          </w:tcPr>
          <w:p w14:paraId="48BB97A0" w14:textId="77777777" w:rsidR="00633446" w:rsidRDefault="00633446" w:rsidP="00892BC6">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A56ED25" w14:textId="77777777" w:rsidR="00633446" w:rsidRDefault="00633446">
            <w:pPr>
              <w:jc w:val="both"/>
              <w:rPr>
                <w:rFonts w:asciiTheme="minorHAnsi" w:eastAsia="Times New Roman" w:cstheme="minorHAnsi"/>
                <w:sz w:val="22"/>
                <w:szCs w:val="22"/>
              </w:rPr>
            </w:pPr>
          </w:p>
          <w:p w14:paraId="440AD2C0" w14:textId="0859B4B7" w:rsidR="002E2126" w:rsidRPr="00A06A43" w:rsidRDefault="0063344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63344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633446">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633446">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 xml:space="preserve">šis reikalavimas netaikomas </w:t>
            </w:r>
            <w:proofErr w:type="spellStart"/>
            <w:r w:rsidR="00633446" w:rsidRPr="00633446">
              <w:rPr>
                <w:rFonts w:asciiTheme="minorHAnsi" w:cstheme="minorHAnsi"/>
                <w:bCs/>
              </w:rPr>
              <w:t>kvazisubtiekėjams</w:t>
            </w:r>
            <w:proofErr w:type="spellEnd"/>
            <w:r w:rsidRPr="00695A7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778D613"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62CF3CC" w:rsidR="002E2126" w:rsidRPr="0017201B" w:rsidRDefault="008624ED" w:rsidP="00633446">
            <w:pPr>
              <w:pStyle w:val="Sraopastraipa"/>
              <w:spacing w:line="20" w:lineRule="atLeast"/>
              <w:ind w:left="32"/>
              <w:jc w:val="both"/>
              <w:rPr>
                <w:rFonts w:asciiTheme="minorHAnsi" w:cstheme="minorHAnsi"/>
              </w:rPr>
            </w:pPr>
            <w:r>
              <w:rPr>
                <w:rFonts w:asciiTheme="minorHAnsi" w:cstheme="minorHAnsi"/>
              </w:rPr>
              <w:t>D</w:t>
            </w:r>
            <w:r w:rsidR="00633446" w:rsidRPr="0017201B">
              <w:rPr>
                <w:rFonts w:asciiTheme="minorHAnsi" w:cstheme="minorHAnsi"/>
              </w:rPr>
              <w:t>etalūs siūlomų prekių techninių charakteristikų aprašymai (originalūs prekių katalogai, ar jų dalys ar kiti lygiaverčiai gamintojo parengti dokumentai, kuriose aprašomos siūlomos prekės)</w:t>
            </w:r>
            <w:r w:rsidR="0017201B" w:rsidRPr="0017201B">
              <w:rPr>
                <w:rFonts w:asciiTheme="minorHAnsi" w:cstheme="minorHAnsi"/>
              </w:rPr>
              <w:t xml:space="preserve"> lietuvių kalba</w:t>
            </w:r>
            <w:r w:rsidR="00633446" w:rsidRPr="0017201B">
              <w:rPr>
                <w:rFonts w:asciiTheme="minorHAnsi" w:cstheme="minorHAnsi"/>
              </w:rPr>
              <w:t>, įrodantys, kad siūlomos prekės atitinka techninės 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17201B" w:rsidRDefault="002E2126">
            <w:pPr>
              <w:rPr>
                <w:rFonts w:cstheme="minorHAnsi"/>
              </w:rPr>
            </w:pPr>
            <w:r w:rsidRPr="0017201B">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4C87BB1" w:rsidR="002E2126" w:rsidRPr="00695A7A" w:rsidRDefault="00633446" w:rsidP="00633446">
            <w:pPr>
              <w:jc w:val="both"/>
              <w:rPr>
                <w:rFonts w:asciiTheme="minorHAnsi" w:cstheme="minorHAnsi"/>
                <w:bCs/>
                <w:iCs/>
                <w:color w:val="00B050"/>
              </w:rPr>
            </w:pPr>
            <w:r w:rsidRPr="0017201B">
              <w:rPr>
                <w:rFonts w:asciiTheme="minorHAnsi" w:cstheme="minorHAnsi"/>
                <w:bCs/>
                <w:iCs/>
              </w:rPr>
              <w:t xml:space="preserve">CE sertifikatai arba lygiaverčiai dokumentai, patvirtinantys, kad tiekėjo </w:t>
            </w:r>
            <w:r w:rsidR="00317993" w:rsidRPr="0017201B">
              <w:rPr>
                <w:rFonts w:asciiTheme="minorHAnsi" w:cstheme="minorHAnsi"/>
                <w:bCs/>
                <w:iCs/>
              </w:rPr>
              <w:t>siūlom</w:t>
            </w:r>
            <w:r w:rsidR="00317993">
              <w:rPr>
                <w:rFonts w:asciiTheme="minorHAnsi" w:cstheme="minorHAnsi"/>
                <w:bCs/>
                <w:iCs/>
              </w:rPr>
              <w:t>a</w:t>
            </w:r>
            <w:r w:rsidRPr="0017201B">
              <w:rPr>
                <w:rFonts w:asciiTheme="minorHAnsi" w:cstheme="minorHAnsi"/>
                <w:bCs/>
                <w:iCs/>
              </w:rPr>
              <w:t xml:space="preserve"> įranga atitinka Medicinos priemonių reglamentui (2017/745/ES) ir </w:t>
            </w:r>
            <w:proofErr w:type="spellStart"/>
            <w:r w:rsidRPr="0017201B">
              <w:rPr>
                <w:rFonts w:asciiTheme="minorHAnsi" w:cstheme="minorHAnsi"/>
                <w:bCs/>
                <w:iCs/>
              </w:rPr>
              <w:t>In</w:t>
            </w:r>
            <w:proofErr w:type="spellEnd"/>
            <w:r w:rsidRPr="0017201B">
              <w:rPr>
                <w:rFonts w:asciiTheme="minorHAnsi" w:cstheme="minorHAnsi"/>
                <w:bCs/>
                <w:iCs/>
              </w:rPr>
              <w:t xml:space="preserve"> </w:t>
            </w:r>
            <w:proofErr w:type="spellStart"/>
            <w:r w:rsidRPr="0017201B">
              <w:rPr>
                <w:rFonts w:asciiTheme="minorHAnsi" w:cstheme="minorHAnsi"/>
                <w:bCs/>
                <w:iCs/>
              </w:rPr>
              <w:t>vitro</w:t>
            </w:r>
            <w:proofErr w:type="spellEnd"/>
            <w:r w:rsidRPr="0017201B">
              <w:rPr>
                <w:rFonts w:asciiTheme="minorHAnsi" w:cstheme="minorHAnsi"/>
                <w:bCs/>
                <w:iCs/>
              </w:rPr>
              <w:t xml:space="preserve"> diagnostikos medicinos priemonių reglamentui (2017/746/ES), nustatytus reikalavimus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643811" w:rsidRPr="001B11D7" w14:paraId="4FC8DA82"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49E81" w14:textId="56CC20A4" w:rsidR="00643811" w:rsidRPr="0017201B" w:rsidRDefault="00643811">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D25E9" w14:textId="7ABC426F" w:rsidR="00A53477" w:rsidRPr="00507694" w:rsidRDefault="00A53477" w:rsidP="00A53477">
            <w:pPr>
              <w:jc w:val="both"/>
              <w:rPr>
                <w:rFonts w:asciiTheme="minorHAnsi" w:cstheme="minorHAnsi"/>
                <w:szCs w:val="24"/>
              </w:rPr>
            </w:pPr>
            <w:r w:rsidRPr="000D0568">
              <w:rPr>
                <w:rFonts w:cstheme="minorHAnsi"/>
                <w:szCs w:val="24"/>
              </w:rPr>
              <w:t xml:space="preserve">Dokumentai, </w:t>
            </w:r>
            <w:r w:rsidRPr="000D0568">
              <w:rPr>
                <w:rFonts w:cstheme="minorHAnsi"/>
                <w:szCs w:val="24"/>
              </w:rPr>
              <w:t>į</w:t>
            </w:r>
            <w:r w:rsidRPr="000D0568">
              <w:rPr>
                <w:rFonts w:cstheme="minorHAnsi"/>
                <w:szCs w:val="24"/>
              </w:rPr>
              <w:t>rodantys, kad Tiek</w:t>
            </w:r>
            <w:r w:rsidRPr="000D0568">
              <w:rPr>
                <w:rFonts w:cstheme="minorHAnsi"/>
                <w:szCs w:val="24"/>
              </w:rPr>
              <w:t>ė</w:t>
            </w:r>
            <w:r w:rsidRPr="000D0568">
              <w:rPr>
                <w:rFonts w:cstheme="minorHAnsi"/>
                <w:szCs w:val="24"/>
              </w:rPr>
              <w:t>jas yra si</w:t>
            </w:r>
            <w:r w:rsidRPr="000D0568">
              <w:rPr>
                <w:rFonts w:cstheme="minorHAnsi"/>
                <w:szCs w:val="24"/>
              </w:rPr>
              <w:t>ū</w:t>
            </w:r>
            <w:r w:rsidRPr="000D0568">
              <w:rPr>
                <w:rFonts w:cstheme="minorHAnsi"/>
                <w:szCs w:val="24"/>
              </w:rPr>
              <w:t xml:space="preserve">lomos </w:t>
            </w:r>
            <w:r w:rsidRPr="000D0568">
              <w:rPr>
                <w:rFonts w:cstheme="minorHAnsi"/>
                <w:szCs w:val="24"/>
              </w:rPr>
              <w:t>į</w:t>
            </w:r>
            <w:r w:rsidRPr="000D0568">
              <w:rPr>
                <w:rFonts w:cstheme="minorHAnsi"/>
                <w:szCs w:val="24"/>
              </w:rPr>
              <w:t>rangos gamintojas arba oficialus si</w:t>
            </w:r>
            <w:r w:rsidRPr="000D0568">
              <w:rPr>
                <w:rFonts w:cstheme="minorHAnsi"/>
                <w:szCs w:val="24"/>
              </w:rPr>
              <w:t>ū</w:t>
            </w:r>
            <w:r w:rsidRPr="000D0568">
              <w:rPr>
                <w:rFonts w:cstheme="minorHAnsi"/>
                <w:szCs w:val="24"/>
              </w:rPr>
              <w:t xml:space="preserve">lomos </w:t>
            </w:r>
            <w:r w:rsidRPr="000D0568">
              <w:rPr>
                <w:rFonts w:cstheme="minorHAnsi"/>
                <w:szCs w:val="24"/>
              </w:rPr>
              <w:t>į</w:t>
            </w:r>
            <w:r w:rsidRPr="000D0568">
              <w:rPr>
                <w:rFonts w:cstheme="minorHAnsi"/>
                <w:szCs w:val="24"/>
              </w:rPr>
              <w:t xml:space="preserve">rangos gamintojo </w:t>
            </w:r>
            <w:r w:rsidRPr="000D0568">
              <w:rPr>
                <w:rFonts w:cstheme="minorHAnsi"/>
                <w:szCs w:val="24"/>
              </w:rPr>
              <w:t>į</w:t>
            </w:r>
            <w:r w:rsidRPr="000D0568">
              <w:rPr>
                <w:rFonts w:cstheme="minorHAnsi"/>
                <w:szCs w:val="24"/>
              </w:rPr>
              <w:t>galiotasis atstovas, arba turi ra</w:t>
            </w:r>
            <w:r w:rsidRPr="000D0568">
              <w:rPr>
                <w:rFonts w:cstheme="minorHAnsi"/>
                <w:szCs w:val="24"/>
              </w:rPr>
              <w:t>š</w:t>
            </w:r>
            <w:r w:rsidRPr="000D0568">
              <w:rPr>
                <w:rFonts w:cstheme="minorHAnsi"/>
                <w:szCs w:val="24"/>
              </w:rPr>
              <w:t>ytin</w:t>
            </w:r>
            <w:r w:rsidRPr="000D0568">
              <w:rPr>
                <w:rFonts w:cstheme="minorHAnsi"/>
                <w:szCs w:val="24"/>
              </w:rPr>
              <w:t>į</w:t>
            </w:r>
            <w:r w:rsidRPr="000D0568">
              <w:rPr>
                <w:rFonts w:cstheme="minorHAnsi"/>
                <w:szCs w:val="24"/>
              </w:rPr>
              <w:t xml:space="preserve"> susitarim</w:t>
            </w:r>
            <w:r w:rsidRPr="000D0568">
              <w:rPr>
                <w:rFonts w:cstheme="minorHAnsi"/>
                <w:szCs w:val="24"/>
              </w:rPr>
              <w:t>ą</w:t>
            </w:r>
            <w:r w:rsidRPr="000D0568">
              <w:rPr>
                <w:rFonts w:cstheme="minorHAnsi"/>
                <w:szCs w:val="24"/>
              </w:rPr>
              <w:t xml:space="preserve"> su tokiu </w:t>
            </w:r>
            <w:r w:rsidRPr="000D0568">
              <w:rPr>
                <w:rFonts w:cstheme="minorHAnsi"/>
                <w:szCs w:val="24"/>
              </w:rPr>
              <w:t>į</w:t>
            </w:r>
            <w:r w:rsidRPr="000D0568">
              <w:rPr>
                <w:rFonts w:cstheme="minorHAnsi"/>
                <w:szCs w:val="24"/>
              </w:rPr>
              <w:t>galiotuoju atstovu d</w:t>
            </w:r>
            <w:r w:rsidRPr="000D0568">
              <w:rPr>
                <w:rFonts w:cstheme="minorHAnsi"/>
                <w:szCs w:val="24"/>
              </w:rPr>
              <w:t>ė</w:t>
            </w:r>
            <w:r w:rsidRPr="000D0568">
              <w:rPr>
                <w:rFonts w:cstheme="minorHAnsi"/>
                <w:szCs w:val="24"/>
              </w:rPr>
              <w:t xml:space="preserve">l prekybos </w:t>
            </w:r>
            <w:r w:rsidR="003A3AE9" w:rsidRPr="000D0568">
              <w:rPr>
                <w:rFonts w:cstheme="minorHAnsi"/>
                <w:szCs w:val="24"/>
              </w:rPr>
              <w:t>si</w:t>
            </w:r>
            <w:r w:rsidR="003A3AE9" w:rsidRPr="000D0568">
              <w:rPr>
                <w:rFonts w:cstheme="minorHAnsi"/>
                <w:szCs w:val="24"/>
              </w:rPr>
              <w:t>ū</w:t>
            </w:r>
            <w:r w:rsidR="003A3AE9" w:rsidRPr="000D0568">
              <w:rPr>
                <w:rFonts w:cstheme="minorHAnsi"/>
                <w:szCs w:val="24"/>
              </w:rPr>
              <w:t>loma</w:t>
            </w:r>
            <w:r w:rsidRPr="000D0568">
              <w:rPr>
                <w:rFonts w:cstheme="minorHAnsi"/>
                <w:szCs w:val="24"/>
              </w:rPr>
              <w:t xml:space="preserve"> </w:t>
            </w:r>
            <w:r w:rsidRPr="000D0568">
              <w:rPr>
                <w:rFonts w:cstheme="minorHAnsi"/>
                <w:szCs w:val="24"/>
              </w:rPr>
              <w:t>į</w:t>
            </w:r>
            <w:r w:rsidRPr="000D0568">
              <w:rPr>
                <w:rFonts w:cstheme="minorHAnsi"/>
                <w:szCs w:val="24"/>
              </w:rPr>
              <w:t>ranga</w:t>
            </w:r>
          </w:p>
          <w:p w14:paraId="461173F5" w14:textId="77777777" w:rsidR="00643811" w:rsidRPr="0017201B" w:rsidRDefault="00643811" w:rsidP="00633446">
            <w:pPr>
              <w:jc w:val="both"/>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6794" w14:textId="77777777" w:rsidR="00643811" w:rsidRPr="00A855F1" w:rsidRDefault="0064381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46FFC" w14:textId="77777777" w:rsidR="00643811" w:rsidRPr="00A855F1" w:rsidRDefault="00643811">
            <w:pPr>
              <w:jc w:val="both"/>
              <w:rPr>
                <w:rFonts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2A3E0F24" w:rsidR="002E2126" w:rsidRDefault="00A47490">
            <w:pPr>
              <w:rPr>
                <w:rFonts w:cstheme="minorHAnsi"/>
              </w:rPr>
            </w:pPr>
            <w:r>
              <w:rPr>
                <w:rFonts w:cstheme="minorHAnsi"/>
              </w:rPr>
              <w:t>9</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2E2126" w:rsidRPr="00D37642" w:rsidRDefault="00633446">
            <w:pPr>
              <w:rPr>
                <w:rFonts w:asciiTheme="minorHAnsi" w:cstheme="minorHAnsi"/>
                <w:color w:val="00B050"/>
              </w:rPr>
            </w:pPr>
            <w:r w:rsidRPr="0088717D">
              <w:rPr>
                <w:rFonts w:asciiTheme="minorHAnsi" w:cstheme="minorHAnsi"/>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3CB2901A"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633446">
        <w:rPr>
          <w:rFonts w:eastAsia="Times New Roman" w:cstheme="minorHAnsi"/>
          <w:sz w:val="22"/>
          <w:szCs w:val="22"/>
          <w:lang w:eastAsia="en-US"/>
        </w:rPr>
        <w:t xml:space="preserve"> </w:t>
      </w:r>
      <w:r w:rsidR="00633446">
        <w:rPr>
          <w:rFonts w:cstheme="minorHAnsi"/>
          <w:sz w:val="22"/>
          <w:szCs w:val="22"/>
        </w:rPr>
        <w:t>1 500,00</w:t>
      </w:r>
      <w:r w:rsidR="00633446" w:rsidRPr="00775E70">
        <w:rPr>
          <w:rFonts w:cstheme="minorHAnsi"/>
          <w:sz w:val="22"/>
          <w:szCs w:val="22"/>
        </w:rPr>
        <w:t xml:space="preserve"> </w:t>
      </w:r>
      <w:r w:rsidR="00633446" w:rsidRPr="00775E70">
        <w:rPr>
          <w:rFonts w:cstheme="minorHAnsi"/>
          <w:b/>
          <w:bCs/>
          <w:sz w:val="22"/>
          <w:szCs w:val="22"/>
        </w:rPr>
        <w:t>bauda</w:t>
      </w:r>
      <w:r w:rsidR="00633446">
        <w:rPr>
          <w:rFonts w:cstheme="minorHAnsi"/>
          <w:b/>
          <w:bCs/>
          <w:sz w:val="22"/>
          <w:szCs w:val="22"/>
        </w:rPr>
        <w:t>.</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63344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1872" w14:textId="77777777" w:rsidR="007C3E4B" w:rsidRDefault="007C3E4B" w:rsidP="00D05666">
      <w:r>
        <w:separator/>
      </w:r>
    </w:p>
  </w:endnote>
  <w:endnote w:type="continuationSeparator" w:id="0">
    <w:p w14:paraId="781EE66C" w14:textId="77777777" w:rsidR="007C3E4B" w:rsidRDefault="007C3E4B" w:rsidP="00D05666">
      <w:r>
        <w:continuationSeparator/>
      </w:r>
    </w:p>
  </w:endnote>
  <w:endnote w:type="continuationNotice" w:id="1">
    <w:p w14:paraId="0340E955" w14:textId="77777777" w:rsidR="007C3E4B" w:rsidRDefault="007C3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2D61" w14:textId="77777777" w:rsidR="007C3E4B" w:rsidRDefault="007C3E4B" w:rsidP="00D05666">
      <w:r>
        <w:separator/>
      </w:r>
    </w:p>
  </w:footnote>
  <w:footnote w:type="continuationSeparator" w:id="0">
    <w:p w14:paraId="63F7D87B" w14:textId="77777777" w:rsidR="007C3E4B" w:rsidRDefault="007C3E4B" w:rsidP="00D05666">
      <w:r>
        <w:continuationSeparator/>
      </w:r>
    </w:p>
  </w:footnote>
  <w:footnote w:type="continuationNotice" w:id="1">
    <w:p w14:paraId="3F3DCCCD" w14:textId="77777777" w:rsidR="007C3E4B" w:rsidRDefault="007C3E4B">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E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568"/>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ACA"/>
    <w:rsid w:val="00143338"/>
    <w:rsid w:val="00143940"/>
    <w:rsid w:val="001439F7"/>
    <w:rsid w:val="00143DC3"/>
    <w:rsid w:val="0014414A"/>
    <w:rsid w:val="001446C7"/>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9AF"/>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993"/>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9B"/>
    <w:rsid w:val="00370489"/>
    <w:rsid w:val="00370682"/>
    <w:rsid w:val="00370A49"/>
    <w:rsid w:val="003713E4"/>
    <w:rsid w:val="00371433"/>
    <w:rsid w:val="00371D24"/>
    <w:rsid w:val="0037309E"/>
    <w:rsid w:val="00373245"/>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778"/>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1A"/>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3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477"/>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B6B"/>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19E"/>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9035</Words>
  <Characters>5151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1581</cp:revision>
  <cp:lastPrinted>2025-03-01T05:45:00Z</cp:lastPrinted>
  <dcterms:created xsi:type="dcterms:W3CDTF">2024-11-29T23:07:00Z</dcterms:created>
  <dcterms:modified xsi:type="dcterms:W3CDTF">2025-06-16T12:02:00Z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