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73D9A290" w14:textId="77777777" w:rsidR="0024121E" w:rsidRDefault="00623B5C"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p>
        <w:p w14:paraId="259CECAF" w14:textId="38822531" w:rsidR="00623B5C" w:rsidRPr="00623B5C" w:rsidRDefault="00623B5C"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w:t>
          </w:r>
          <w:r w:rsidR="0024121E" w:rsidRPr="0024121E">
            <w:rPr>
              <w:rFonts w:asciiTheme="majorBidi" w:hAnsiTheme="majorBidi" w:cstheme="majorBidi"/>
              <w:b/>
              <w:sz w:val="28"/>
              <w:szCs w:val="28"/>
            </w:rPr>
            <w:t>ANTISEPTIKŲ IR DEZINFEKUOJANČIŲ MEDŽIAGŲ (DEZINFEKANTŲ)</w:t>
          </w:r>
          <w:r w:rsidRPr="0024121E">
            <w:rPr>
              <w:rFonts w:asciiTheme="majorBidi" w:hAnsiTheme="majorBidi" w:cstheme="majorBidi"/>
              <w:b/>
              <w:sz w:val="28"/>
              <w:szCs w:val="28"/>
            </w:rPr>
            <w:t>“</w:t>
          </w:r>
        </w:p>
        <w:p w14:paraId="1030AF6C" w14:textId="77777777" w:rsidR="00623B5C" w:rsidRPr="00623B5C" w:rsidRDefault="00623B5C" w:rsidP="00623B5C">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36C67E67" w14:textId="77777777" w:rsidR="00623B5C" w:rsidRPr="00623B5C" w:rsidRDefault="00623B5C" w:rsidP="00623B5C">
          <w:pPr>
            <w:spacing w:after="0" w:line="240" w:lineRule="auto"/>
            <w:contextualSpacing/>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623B5C"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5C459CAD" w14:textId="21B3F0C1" w:rsidR="00EE2832" w:rsidRDefault="00623B5C">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00EE2832" w:rsidRPr="00DD7D7F">
                  <w:rPr>
                    <w:rStyle w:val="Hipersaitas"/>
                  </w:rPr>
                  <w:t>1.</w:t>
                </w:r>
                <w:r w:rsidR="00EE2832">
                  <w:rPr>
                    <w:rFonts w:asciiTheme="minorHAnsi" w:hAnsiTheme="minorHAnsi" w:cstheme="minorBidi"/>
                    <w:b w:val="0"/>
                    <w:bCs w:val="0"/>
                    <w:kern w:val="2"/>
                    <w:sz w:val="24"/>
                    <w:szCs w:val="24"/>
                    <w14:ligatures w14:val="standardContextual"/>
                  </w:rPr>
                  <w:tab/>
                </w:r>
                <w:r w:rsidR="00EE2832" w:rsidRPr="00DD7D7F">
                  <w:rPr>
                    <w:rStyle w:val="Hipersaitas"/>
                  </w:rPr>
                  <w:t>Sąvokos ir sutrumpinimai</w:t>
                </w:r>
                <w:r w:rsidR="00EE2832">
                  <w:rPr>
                    <w:webHidden/>
                  </w:rPr>
                  <w:tab/>
                </w:r>
                <w:r w:rsidR="00EE2832">
                  <w:rPr>
                    <w:webHidden/>
                  </w:rPr>
                  <w:fldChar w:fldCharType="begin"/>
                </w:r>
                <w:r w:rsidR="00EE2832">
                  <w:rPr>
                    <w:webHidden/>
                  </w:rPr>
                  <w:instrText xml:space="preserve"> PAGEREF _Toc185245955 \h </w:instrText>
                </w:r>
                <w:r w:rsidR="00EE2832">
                  <w:rPr>
                    <w:webHidden/>
                  </w:rPr>
                </w:r>
                <w:r w:rsidR="00EE2832">
                  <w:rPr>
                    <w:webHidden/>
                  </w:rPr>
                  <w:fldChar w:fldCharType="separate"/>
                </w:r>
                <w:r w:rsidR="000C78EC">
                  <w:rPr>
                    <w:webHidden/>
                  </w:rPr>
                  <w:t>2</w:t>
                </w:r>
                <w:r w:rsidR="00EE2832">
                  <w:rPr>
                    <w:webHidden/>
                  </w:rPr>
                  <w:fldChar w:fldCharType="end"/>
                </w:r>
              </w:hyperlink>
            </w:p>
            <w:p w14:paraId="7598875D" w14:textId="5FB250F0" w:rsidR="00EE2832" w:rsidRDefault="00EE2832">
              <w:pPr>
                <w:pStyle w:val="Turinys1"/>
                <w:rPr>
                  <w:rFonts w:asciiTheme="minorHAnsi" w:hAnsiTheme="minorHAnsi" w:cstheme="minorBidi"/>
                  <w:b w:val="0"/>
                  <w:bCs w:val="0"/>
                  <w:kern w:val="2"/>
                  <w:sz w:val="24"/>
                  <w:szCs w:val="24"/>
                  <w14:ligatures w14:val="standardContextual"/>
                </w:rPr>
              </w:pPr>
              <w:hyperlink w:anchor="_Toc185245956" w:history="1">
                <w:r w:rsidRPr="00DD7D7F">
                  <w:rPr>
                    <w:rStyle w:val="Hipersaitas"/>
                  </w:rPr>
                  <w:t>2.</w:t>
                </w:r>
                <w:r>
                  <w:rPr>
                    <w:rFonts w:asciiTheme="minorHAnsi" w:hAnsiTheme="minorHAnsi" w:cstheme="minorBidi"/>
                    <w:b w:val="0"/>
                    <w:bCs w:val="0"/>
                    <w:kern w:val="2"/>
                    <w:sz w:val="24"/>
                    <w:szCs w:val="24"/>
                    <w14:ligatures w14:val="standardContextual"/>
                  </w:rPr>
                  <w:tab/>
                </w:r>
                <w:r w:rsidRPr="00DD7D7F">
                  <w:rPr>
                    <w:rStyle w:val="Hipersaitas"/>
                  </w:rPr>
                  <w:t>Bendrosios nuostatos</w:t>
                </w:r>
                <w:r>
                  <w:rPr>
                    <w:webHidden/>
                  </w:rPr>
                  <w:tab/>
                </w:r>
                <w:r>
                  <w:rPr>
                    <w:webHidden/>
                  </w:rPr>
                  <w:fldChar w:fldCharType="begin"/>
                </w:r>
                <w:r>
                  <w:rPr>
                    <w:webHidden/>
                  </w:rPr>
                  <w:instrText xml:space="preserve"> PAGEREF _Toc185245956 \h </w:instrText>
                </w:r>
                <w:r>
                  <w:rPr>
                    <w:webHidden/>
                  </w:rPr>
                </w:r>
                <w:r>
                  <w:rPr>
                    <w:webHidden/>
                  </w:rPr>
                  <w:fldChar w:fldCharType="separate"/>
                </w:r>
                <w:r w:rsidR="000C78EC">
                  <w:rPr>
                    <w:webHidden/>
                  </w:rPr>
                  <w:t>2</w:t>
                </w:r>
                <w:r>
                  <w:rPr>
                    <w:webHidden/>
                  </w:rPr>
                  <w:fldChar w:fldCharType="end"/>
                </w:r>
              </w:hyperlink>
            </w:p>
            <w:p w14:paraId="778DF7EA" w14:textId="7A94C705" w:rsidR="00EE2832" w:rsidRDefault="00EE2832">
              <w:pPr>
                <w:pStyle w:val="Turinys1"/>
                <w:rPr>
                  <w:rFonts w:asciiTheme="minorHAnsi" w:hAnsiTheme="minorHAnsi" w:cstheme="minorBidi"/>
                  <w:b w:val="0"/>
                  <w:bCs w:val="0"/>
                  <w:kern w:val="2"/>
                  <w:sz w:val="24"/>
                  <w:szCs w:val="24"/>
                  <w14:ligatures w14:val="standardContextual"/>
                </w:rPr>
              </w:pPr>
              <w:hyperlink w:anchor="_Toc185245957" w:history="1">
                <w:r w:rsidRPr="00DD7D7F">
                  <w:rPr>
                    <w:rStyle w:val="Hipersaitas"/>
                  </w:rPr>
                  <w:t>3.</w:t>
                </w:r>
                <w:r>
                  <w:rPr>
                    <w:rFonts w:asciiTheme="minorHAnsi" w:hAnsiTheme="minorHAnsi" w:cstheme="minorBidi"/>
                    <w:b w:val="0"/>
                    <w:bCs w:val="0"/>
                    <w:kern w:val="2"/>
                    <w:sz w:val="24"/>
                    <w:szCs w:val="24"/>
                    <w14:ligatures w14:val="standardContextual"/>
                  </w:rPr>
                  <w:tab/>
                </w:r>
                <w:r w:rsidRPr="00DD7D7F">
                  <w:rPr>
                    <w:rStyle w:val="Hipersaitas"/>
                  </w:rPr>
                  <w:t>Pirkimo objektas</w:t>
                </w:r>
                <w:r>
                  <w:rPr>
                    <w:webHidden/>
                  </w:rPr>
                  <w:tab/>
                </w:r>
                <w:r>
                  <w:rPr>
                    <w:webHidden/>
                  </w:rPr>
                  <w:fldChar w:fldCharType="begin"/>
                </w:r>
                <w:r>
                  <w:rPr>
                    <w:webHidden/>
                  </w:rPr>
                  <w:instrText xml:space="preserve"> PAGEREF _Toc185245957 \h </w:instrText>
                </w:r>
                <w:r>
                  <w:rPr>
                    <w:webHidden/>
                  </w:rPr>
                </w:r>
                <w:r>
                  <w:rPr>
                    <w:webHidden/>
                  </w:rPr>
                  <w:fldChar w:fldCharType="separate"/>
                </w:r>
                <w:r w:rsidR="000C78EC">
                  <w:rPr>
                    <w:webHidden/>
                  </w:rPr>
                  <w:t>3</w:t>
                </w:r>
                <w:r>
                  <w:rPr>
                    <w:webHidden/>
                  </w:rPr>
                  <w:fldChar w:fldCharType="end"/>
                </w:r>
              </w:hyperlink>
            </w:p>
            <w:p w14:paraId="1C6CB309" w14:textId="120FE53A" w:rsidR="00EE2832" w:rsidRDefault="00EE2832">
              <w:pPr>
                <w:pStyle w:val="Turinys1"/>
                <w:rPr>
                  <w:rFonts w:asciiTheme="minorHAnsi" w:hAnsiTheme="minorHAnsi" w:cstheme="minorBidi"/>
                  <w:b w:val="0"/>
                  <w:bCs w:val="0"/>
                  <w:kern w:val="2"/>
                  <w:sz w:val="24"/>
                  <w:szCs w:val="24"/>
                  <w14:ligatures w14:val="standardContextual"/>
                </w:rPr>
              </w:pPr>
              <w:hyperlink w:anchor="_Toc185245958" w:history="1">
                <w:r w:rsidRPr="00DD7D7F">
                  <w:rPr>
                    <w:rStyle w:val="Hipersaitas"/>
                  </w:rPr>
                  <w:t>4.</w:t>
                </w:r>
                <w:r>
                  <w:rPr>
                    <w:rFonts w:asciiTheme="minorHAnsi" w:hAnsiTheme="minorHAnsi" w:cstheme="minorBidi"/>
                    <w:b w:val="0"/>
                    <w:bCs w:val="0"/>
                    <w:kern w:val="2"/>
                    <w:sz w:val="24"/>
                    <w:szCs w:val="24"/>
                    <w14:ligatures w14:val="standardContextual"/>
                  </w:rPr>
                  <w:tab/>
                </w:r>
                <w:r w:rsidRPr="00DD7D7F">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_Toc185245958 \h </w:instrText>
                </w:r>
                <w:r>
                  <w:rPr>
                    <w:webHidden/>
                  </w:rPr>
                </w:r>
                <w:r>
                  <w:rPr>
                    <w:webHidden/>
                  </w:rPr>
                  <w:fldChar w:fldCharType="separate"/>
                </w:r>
                <w:r w:rsidR="000C78EC">
                  <w:rPr>
                    <w:webHidden/>
                  </w:rPr>
                  <w:t>4</w:t>
                </w:r>
                <w:r>
                  <w:rPr>
                    <w:webHidden/>
                  </w:rPr>
                  <w:fldChar w:fldCharType="end"/>
                </w:r>
              </w:hyperlink>
            </w:p>
            <w:p w14:paraId="111D30D2" w14:textId="03A462E5" w:rsidR="00EE2832" w:rsidRDefault="00EE2832">
              <w:pPr>
                <w:pStyle w:val="Turinys1"/>
                <w:rPr>
                  <w:rFonts w:asciiTheme="minorHAnsi" w:hAnsiTheme="minorHAnsi" w:cstheme="minorBidi"/>
                  <w:b w:val="0"/>
                  <w:bCs w:val="0"/>
                  <w:kern w:val="2"/>
                  <w:sz w:val="24"/>
                  <w:szCs w:val="24"/>
                  <w14:ligatures w14:val="standardContextual"/>
                </w:rPr>
              </w:pPr>
              <w:hyperlink w:anchor="_Toc185245959" w:history="1">
                <w:r w:rsidRPr="00DD7D7F">
                  <w:rPr>
                    <w:rStyle w:val="Hipersaitas"/>
                  </w:rPr>
                  <w:t>5.</w:t>
                </w:r>
                <w:r>
                  <w:rPr>
                    <w:rFonts w:asciiTheme="minorHAnsi" w:hAnsiTheme="minorHAnsi" w:cstheme="minorBidi"/>
                    <w:b w:val="0"/>
                    <w:bCs w:val="0"/>
                    <w:kern w:val="2"/>
                    <w:sz w:val="24"/>
                    <w:szCs w:val="24"/>
                    <w14:ligatures w14:val="standardContextual"/>
                  </w:rPr>
                  <w:tab/>
                </w:r>
                <w:r w:rsidRPr="00DD7D7F">
                  <w:rPr>
                    <w:rStyle w:val="Hipersaitas"/>
                  </w:rPr>
                  <w:t>Pirkimo dokumentų paaiškinimai ir patikslinimai</w:t>
                </w:r>
                <w:r>
                  <w:rPr>
                    <w:webHidden/>
                  </w:rPr>
                  <w:tab/>
                </w:r>
                <w:r>
                  <w:rPr>
                    <w:webHidden/>
                  </w:rPr>
                  <w:fldChar w:fldCharType="begin"/>
                </w:r>
                <w:r>
                  <w:rPr>
                    <w:webHidden/>
                  </w:rPr>
                  <w:instrText xml:space="preserve"> PAGEREF _Toc185245959 \h </w:instrText>
                </w:r>
                <w:r>
                  <w:rPr>
                    <w:webHidden/>
                  </w:rPr>
                </w:r>
                <w:r>
                  <w:rPr>
                    <w:webHidden/>
                  </w:rPr>
                  <w:fldChar w:fldCharType="separate"/>
                </w:r>
                <w:r w:rsidR="000C78EC">
                  <w:rPr>
                    <w:webHidden/>
                  </w:rPr>
                  <w:t>4</w:t>
                </w:r>
                <w:r>
                  <w:rPr>
                    <w:webHidden/>
                  </w:rPr>
                  <w:fldChar w:fldCharType="end"/>
                </w:r>
              </w:hyperlink>
            </w:p>
            <w:p w14:paraId="27E6A5E2" w14:textId="776D2681" w:rsidR="00EE2832" w:rsidRDefault="00EE2832">
              <w:pPr>
                <w:pStyle w:val="Turinys1"/>
                <w:rPr>
                  <w:rFonts w:asciiTheme="minorHAnsi" w:hAnsiTheme="minorHAnsi" w:cstheme="minorBidi"/>
                  <w:b w:val="0"/>
                  <w:bCs w:val="0"/>
                  <w:kern w:val="2"/>
                  <w:sz w:val="24"/>
                  <w:szCs w:val="24"/>
                  <w14:ligatures w14:val="standardContextual"/>
                </w:rPr>
              </w:pPr>
              <w:hyperlink w:anchor="_Toc185245960" w:history="1">
                <w:r w:rsidRPr="00DD7D7F">
                  <w:rPr>
                    <w:rStyle w:val="Hipersaitas"/>
                  </w:rPr>
                  <w:t>6.</w:t>
                </w:r>
                <w:r>
                  <w:rPr>
                    <w:rFonts w:asciiTheme="minorHAnsi" w:hAnsiTheme="minorHAnsi" w:cstheme="minorBidi"/>
                    <w:b w:val="0"/>
                    <w:bCs w:val="0"/>
                    <w:kern w:val="2"/>
                    <w:sz w:val="24"/>
                    <w:szCs w:val="24"/>
                    <w14:ligatures w14:val="standardContextual"/>
                  </w:rPr>
                  <w:tab/>
                </w:r>
                <w:r w:rsidRPr="00DD7D7F">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_Toc185245960 \h </w:instrText>
                </w:r>
                <w:r>
                  <w:rPr>
                    <w:webHidden/>
                  </w:rPr>
                </w:r>
                <w:r>
                  <w:rPr>
                    <w:webHidden/>
                  </w:rPr>
                  <w:fldChar w:fldCharType="separate"/>
                </w:r>
                <w:r w:rsidR="000C78EC">
                  <w:rPr>
                    <w:webHidden/>
                  </w:rPr>
                  <w:t>5</w:t>
                </w:r>
                <w:r>
                  <w:rPr>
                    <w:webHidden/>
                  </w:rPr>
                  <w:fldChar w:fldCharType="end"/>
                </w:r>
              </w:hyperlink>
            </w:p>
            <w:p w14:paraId="56768E6A" w14:textId="7A5B6FD1" w:rsidR="00EE2832" w:rsidRDefault="00EE2832">
              <w:pPr>
                <w:pStyle w:val="Turinys1"/>
                <w:rPr>
                  <w:rFonts w:asciiTheme="minorHAnsi" w:hAnsiTheme="minorHAnsi" w:cstheme="minorBidi"/>
                  <w:b w:val="0"/>
                  <w:bCs w:val="0"/>
                  <w:kern w:val="2"/>
                  <w:sz w:val="24"/>
                  <w:szCs w:val="24"/>
                  <w14:ligatures w14:val="standardContextual"/>
                </w:rPr>
              </w:pPr>
              <w:hyperlink w:anchor="_Toc185245961" w:history="1">
                <w:r w:rsidRPr="00DD7D7F">
                  <w:rPr>
                    <w:rStyle w:val="Hipersaitas"/>
                  </w:rPr>
                  <w:t>7.</w:t>
                </w:r>
                <w:r>
                  <w:rPr>
                    <w:rFonts w:asciiTheme="minorHAnsi" w:hAnsiTheme="minorHAnsi" w:cstheme="minorBidi"/>
                    <w:b w:val="0"/>
                    <w:bCs w:val="0"/>
                    <w:kern w:val="2"/>
                    <w:sz w:val="24"/>
                    <w:szCs w:val="24"/>
                    <w14:ligatures w14:val="standardContextual"/>
                  </w:rPr>
                  <w:tab/>
                </w:r>
                <w:r w:rsidRPr="00DD7D7F">
                  <w:rPr>
                    <w:rStyle w:val="Hipersaitas"/>
                  </w:rPr>
                  <w:t>Tiekėjo deklaracijos pateikimo tvarka ir pateikiamos informacijos patvirtinimo priemonės</w:t>
                </w:r>
                <w:r>
                  <w:rPr>
                    <w:webHidden/>
                  </w:rPr>
                  <w:tab/>
                </w:r>
                <w:r>
                  <w:rPr>
                    <w:webHidden/>
                  </w:rPr>
                  <w:fldChar w:fldCharType="begin"/>
                </w:r>
                <w:r>
                  <w:rPr>
                    <w:webHidden/>
                  </w:rPr>
                  <w:instrText xml:space="preserve"> PAGEREF _Toc185245961 \h </w:instrText>
                </w:r>
                <w:r>
                  <w:rPr>
                    <w:webHidden/>
                  </w:rPr>
                </w:r>
                <w:r>
                  <w:rPr>
                    <w:webHidden/>
                  </w:rPr>
                  <w:fldChar w:fldCharType="separate"/>
                </w:r>
                <w:r w:rsidR="000C78EC">
                  <w:rPr>
                    <w:webHidden/>
                  </w:rPr>
                  <w:t>5</w:t>
                </w:r>
                <w:r>
                  <w:rPr>
                    <w:webHidden/>
                  </w:rPr>
                  <w:fldChar w:fldCharType="end"/>
                </w:r>
              </w:hyperlink>
            </w:p>
            <w:p w14:paraId="1D426502" w14:textId="4809A3C6" w:rsidR="00EE2832" w:rsidRDefault="00EE2832">
              <w:pPr>
                <w:pStyle w:val="Turinys1"/>
                <w:rPr>
                  <w:rFonts w:asciiTheme="minorHAnsi" w:hAnsiTheme="minorHAnsi" w:cstheme="minorBidi"/>
                  <w:b w:val="0"/>
                  <w:bCs w:val="0"/>
                  <w:kern w:val="2"/>
                  <w:sz w:val="24"/>
                  <w:szCs w:val="24"/>
                  <w14:ligatures w14:val="standardContextual"/>
                </w:rPr>
              </w:pPr>
              <w:hyperlink w:anchor="_Toc185245962" w:history="1">
                <w:r w:rsidRPr="00DD7D7F">
                  <w:rPr>
                    <w:rStyle w:val="Hipersaitas"/>
                  </w:rPr>
                  <w:t>8.</w:t>
                </w:r>
                <w:r>
                  <w:rPr>
                    <w:rFonts w:asciiTheme="minorHAnsi" w:hAnsiTheme="minorHAnsi" w:cstheme="minorBidi"/>
                    <w:b w:val="0"/>
                    <w:bCs w:val="0"/>
                    <w:kern w:val="2"/>
                    <w:sz w:val="24"/>
                    <w:szCs w:val="24"/>
                    <w14:ligatures w14:val="standardContextual"/>
                  </w:rPr>
                  <w:tab/>
                </w:r>
                <w:r w:rsidRPr="00DD7D7F">
                  <w:rPr>
                    <w:rStyle w:val="Hipersaitas"/>
                  </w:rPr>
                  <w:t>Rėmimasis ūkio subjektų pajėgumais</w:t>
                </w:r>
                <w:r>
                  <w:rPr>
                    <w:webHidden/>
                  </w:rPr>
                  <w:tab/>
                </w:r>
                <w:r>
                  <w:rPr>
                    <w:webHidden/>
                  </w:rPr>
                  <w:fldChar w:fldCharType="begin"/>
                </w:r>
                <w:r>
                  <w:rPr>
                    <w:webHidden/>
                  </w:rPr>
                  <w:instrText xml:space="preserve"> PAGEREF _Toc185245962 \h </w:instrText>
                </w:r>
                <w:r>
                  <w:rPr>
                    <w:webHidden/>
                  </w:rPr>
                </w:r>
                <w:r>
                  <w:rPr>
                    <w:webHidden/>
                  </w:rPr>
                  <w:fldChar w:fldCharType="separate"/>
                </w:r>
                <w:r w:rsidR="000C78EC">
                  <w:rPr>
                    <w:webHidden/>
                  </w:rPr>
                  <w:t>6</w:t>
                </w:r>
                <w:r>
                  <w:rPr>
                    <w:webHidden/>
                  </w:rPr>
                  <w:fldChar w:fldCharType="end"/>
                </w:r>
              </w:hyperlink>
            </w:p>
            <w:p w14:paraId="1729B1CE" w14:textId="4B1E254F" w:rsidR="00EE2832" w:rsidRDefault="00EE2832">
              <w:pPr>
                <w:pStyle w:val="Turinys1"/>
                <w:rPr>
                  <w:rFonts w:asciiTheme="minorHAnsi" w:hAnsiTheme="minorHAnsi" w:cstheme="minorBidi"/>
                  <w:b w:val="0"/>
                  <w:bCs w:val="0"/>
                  <w:kern w:val="2"/>
                  <w:sz w:val="24"/>
                  <w:szCs w:val="24"/>
                  <w14:ligatures w14:val="standardContextual"/>
                </w:rPr>
              </w:pPr>
              <w:hyperlink w:anchor="_Toc185245963" w:history="1">
                <w:r w:rsidRPr="00DD7D7F">
                  <w:rPr>
                    <w:rStyle w:val="Hipersaitas"/>
                  </w:rPr>
                  <w:t>9.</w:t>
                </w:r>
                <w:r>
                  <w:rPr>
                    <w:rFonts w:asciiTheme="minorHAnsi" w:hAnsiTheme="minorHAnsi" w:cstheme="minorBidi"/>
                    <w:b w:val="0"/>
                    <w:bCs w:val="0"/>
                    <w:kern w:val="2"/>
                    <w:sz w:val="24"/>
                    <w:szCs w:val="24"/>
                    <w14:ligatures w14:val="standardContextual"/>
                  </w:rPr>
                  <w:tab/>
                </w:r>
                <w:r w:rsidRPr="00DD7D7F">
                  <w:rPr>
                    <w:rStyle w:val="Hipersaitas"/>
                  </w:rPr>
                  <w:t>Subtiekėjų pasitelkimas</w:t>
                </w:r>
                <w:r>
                  <w:rPr>
                    <w:webHidden/>
                  </w:rPr>
                  <w:tab/>
                </w:r>
                <w:r>
                  <w:rPr>
                    <w:webHidden/>
                  </w:rPr>
                  <w:fldChar w:fldCharType="begin"/>
                </w:r>
                <w:r>
                  <w:rPr>
                    <w:webHidden/>
                  </w:rPr>
                  <w:instrText xml:space="preserve"> PAGEREF _Toc185245963 \h </w:instrText>
                </w:r>
                <w:r>
                  <w:rPr>
                    <w:webHidden/>
                  </w:rPr>
                </w:r>
                <w:r>
                  <w:rPr>
                    <w:webHidden/>
                  </w:rPr>
                  <w:fldChar w:fldCharType="separate"/>
                </w:r>
                <w:r w:rsidR="000C78EC">
                  <w:rPr>
                    <w:webHidden/>
                  </w:rPr>
                  <w:t>6</w:t>
                </w:r>
                <w:r>
                  <w:rPr>
                    <w:webHidden/>
                  </w:rPr>
                  <w:fldChar w:fldCharType="end"/>
                </w:r>
              </w:hyperlink>
            </w:p>
            <w:p w14:paraId="3596E887" w14:textId="38529301" w:rsidR="00EE2832" w:rsidRDefault="00EE2832">
              <w:pPr>
                <w:pStyle w:val="Turinys1"/>
                <w:rPr>
                  <w:rFonts w:asciiTheme="minorHAnsi" w:hAnsiTheme="minorHAnsi" w:cstheme="minorBidi"/>
                  <w:b w:val="0"/>
                  <w:bCs w:val="0"/>
                  <w:kern w:val="2"/>
                  <w:sz w:val="24"/>
                  <w:szCs w:val="24"/>
                  <w14:ligatures w14:val="standardContextual"/>
                </w:rPr>
              </w:pPr>
              <w:hyperlink w:anchor="_Toc185245964" w:history="1">
                <w:r w:rsidRPr="00DD7D7F">
                  <w:rPr>
                    <w:rStyle w:val="Hipersaitas"/>
                  </w:rPr>
                  <w:t>10.</w:t>
                </w:r>
                <w:r>
                  <w:rPr>
                    <w:rFonts w:asciiTheme="minorHAnsi" w:hAnsiTheme="minorHAnsi" w:cstheme="minorBidi"/>
                    <w:b w:val="0"/>
                    <w:bCs w:val="0"/>
                    <w:kern w:val="2"/>
                    <w:sz w:val="24"/>
                    <w:szCs w:val="24"/>
                    <w14:ligatures w14:val="standardContextual"/>
                  </w:rPr>
                  <w:tab/>
                </w:r>
                <w:r w:rsidRPr="00DD7D7F">
                  <w:rPr>
                    <w:rStyle w:val="Hipersaitas"/>
                  </w:rPr>
                  <w:t>Tiekėjų grupės dalyvavimas</w:t>
                </w:r>
                <w:r>
                  <w:rPr>
                    <w:webHidden/>
                  </w:rPr>
                  <w:tab/>
                </w:r>
                <w:r>
                  <w:rPr>
                    <w:webHidden/>
                  </w:rPr>
                  <w:fldChar w:fldCharType="begin"/>
                </w:r>
                <w:r>
                  <w:rPr>
                    <w:webHidden/>
                  </w:rPr>
                  <w:instrText xml:space="preserve"> PAGEREF _Toc185245964 \h </w:instrText>
                </w:r>
                <w:r>
                  <w:rPr>
                    <w:webHidden/>
                  </w:rPr>
                </w:r>
                <w:r>
                  <w:rPr>
                    <w:webHidden/>
                  </w:rPr>
                  <w:fldChar w:fldCharType="separate"/>
                </w:r>
                <w:r w:rsidR="000C78EC">
                  <w:rPr>
                    <w:webHidden/>
                  </w:rPr>
                  <w:t>7</w:t>
                </w:r>
                <w:r>
                  <w:rPr>
                    <w:webHidden/>
                  </w:rPr>
                  <w:fldChar w:fldCharType="end"/>
                </w:r>
              </w:hyperlink>
            </w:p>
            <w:p w14:paraId="796361D3" w14:textId="62190B4D" w:rsidR="00EE2832" w:rsidRDefault="00EE2832">
              <w:pPr>
                <w:pStyle w:val="Turinys1"/>
                <w:rPr>
                  <w:rFonts w:asciiTheme="minorHAnsi" w:hAnsiTheme="minorHAnsi" w:cstheme="minorBidi"/>
                  <w:b w:val="0"/>
                  <w:bCs w:val="0"/>
                  <w:kern w:val="2"/>
                  <w:sz w:val="24"/>
                  <w:szCs w:val="24"/>
                  <w14:ligatures w14:val="standardContextual"/>
                </w:rPr>
              </w:pPr>
              <w:hyperlink w:anchor="_Toc185245965" w:history="1">
                <w:r w:rsidRPr="00DD7D7F">
                  <w:rPr>
                    <w:rStyle w:val="Hipersaitas"/>
                  </w:rPr>
                  <w:t>11.</w:t>
                </w:r>
                <w:r>
                  <w:rPr>
                    <w:rFonts w:asciiTheme="minorHAnsi" w:hAnsiTheme="minorHAnsi" w:cstheme="minorBidi"/>
                    <w:b w:val="0"/>
                    <w:bCs w:val="0"/>
                    <w:kern w:val="2"/>
                    <w:sz w:val="24"/>
                    <w:szCs w:val="24"/>
                    <w14:ligatures w14:val="standardContextual"/>
                  </w:rPr>
                  <w:tab/>
                </w:r>
                <w:r w:rsidRPr="00DD7D7F">
                  <w:rPr>
                    <w:rStyle w:val="Hipersaitas"/>
                  </w:rPr>
                  <w:t>Reikalavimai pasiūlymų rengimui ir pateikimui</w:t>
                </w:r>
                <w:r>
                  <w:rPr>
                    <w:webHidden/>
                  </w:rPr>
                  <w:tab/>
                </w:r>
                <w:r>
                  <w:rPr>
                    <w:webHidden/>
                  </w:rPr>
                  <w:fldChar w:fldCharType="begin"/>
                </w:r>
                <w:r>
                  <w:rPr>
                    <w:webHidden/>
                  </w:rPr>
                  <w:instrText xml:space="preserve"> PAGEREF _Toc185245965 \h </w:instrText>
                </w:r>
                <w:r>
                  <w:rPr>
                    <w:webHidden/>
                  </w:rPr>
                </w:r>
                <w:r>
                  <w:rPr>
                    <w:webHidden/>
                  </w:rPr>
                  <w:fldChar w:fldCharType="separate"/>
                </w:r>
                <w:r w:rsidR="000C78EC">
                  <w:rPr>
                    <w:webHidden/>
                  </w:rPr>
                  <w:t>7</w:t>
                </w:r>
                <w:r>
                  <w:rPr>
                    <w:webHidden/>
                  </w:rPr>
                  <w:fldChar w:fldCharType="end"/>
                </w:r>
              </w:hyperlink>
            </w:p>
            <w:p w14:paraId="74ACD33C" w14:textId="16D9CAA9" w:rsidR="00EE2832" w:rsidRDefault="00EE2832">
              <w:pPr>
                <w:pStyle w:val="Turinys1"/>
                <w:rPr>
                  <w:rFonts w:asciiTheme="minorHAnsi" w:hAnsiTheme="minorHAnsi" w:cstheme="minorBidi"/>
                  <w:b w:val="0"/>
                  <w:bCs w:val="0"/>
                  <w:kern w:val="2"/>
                  <w:sz w:val="24"/>
                  <w:szCs w:val="24"/>
                  <w14:ligatures w14:val="standardContextual"/>
                </w:rPr>
              </w:pPr>
              <w:hyperlink w:anchor="_Toc185245966" w:history="1">
                <w:r w:rsidRPr="00DD7D7F">
                  <w:rPr>
                    <w:rStyle w:val="Hipersaitas"/>
                  </w:rPr>
                  <w:t>12.</w:t>
                </w:r>
                <w:r>
                  <w:rPr>
                    <w:rFonts w:asciiTheme="minorHAnsi" w:hAnsiTheme="minorHAnsi" w:cstheme="minorBidi"/>
                    <w:b w:val="0"/>
                    <w:bCs w:val="0"/>
                    <w:kern w:val="2"/>
                    <w:sz w:val="24"/>
                    <w:szCs w:val="24"/>
                    <w14:ligatures w14:val="standardContextual"/>
                  </w:rPr>
                  <w:tab/>
                </w:r>
                <w:r w:rsidRPr="00DD7D7F">
                  <w:rPr>
                    <w:rStyle w:val="Hipersaitas"/>
                  </w:rPr>
                  <w:t>Susipažinimas su pasiūlymais</w:t>
                </w:r>
                <w:r>
                  <w:rPr>
                    <w:webHidden/>
                  </w:rPr>
                  <w:tab/>
                </w:r>
                <w:r>
                  <w:rPr>
                    <w:webHidden/>
                  </w:rPr>
                  <w:fldChar w:fldCharType="begin"/>
                </w:r>
                <w:r>
                  <w:rPr>
                    <w:webHidden/>
                  </w:rPr>
                  <w:instrText xml:space="preserve"> PAGEREF _Toc185245966 \h </w:instrText>
                </w:r>
                <w:r>
                  <w:rPr>
                    <w:webHidden/>
                  </w:rPr>
                </w:r>
                <w:r>
                  <w:rPr>
                    <w:webHidden/>
                  </w:rPr>
                  <w:fldChar w:fldCharType="separate"/>
                </w:r>
                <w:r w:rsidR="000C78EC">
                  <w:rPr>
                    <w:webHidden/>
                  </w:rPr>
                  <w:t>9</w:t>
                </w:r>
                <w:r>
                  <w:rPr>
                    <w:webHidden/>
                  </w:rPr>
                  <w:fldChar w:fldCharType="end"/>
                </w:r>
              </w:hyperlink>
            </w:p>
            <w:p w14:paraId="2530A11B" w14:textId="1E9CC5AC" w:rsidR="00EE2832" w:rsidRDefault="00EE2832">
              <w:pPr>
                <w:pStyle w:val="Turinys1"/>
                <w:rPr>
                  <w:rFonts w:asciiTheme="minorHAnsi" w:hAnsiTheme="minorHAnsi" w:cstheme="minorBidi"/>
                  <w:b w:val="0"/>
                  <w:bCs w:val="0"/>
                  <w:kern w:val="2"/>
                  <w:sz w:val="24"/>
                  <w:szCs w:val="24"/>
                  <w14:ligatures w14:val="standardContextual"/>
                </w:rPr>
              </w:pPr>
              <w:hyperlink w:anchor="_Toc185245967" w:history="1">
                <w:r w:rsidRPr="00DD7D7F">
                  <w:rPr>
                    <w:rStyle w:val="Hipersaitas"/>
                  </w:rPr>
                  <w:t>13.</w:t>
                </w:r>
                <w:r>
                  <w:rPr>
                    <w:rFonts w:asciiTheme="minorHAnsi" w:hAnsiTheme="minorHAnsi" w:cstheme="minorBidi"/>
                    <w:b w:val="0"/>
                    <w:bCs w:val="0"/>
                    <w:kern w:val="2"/>
                    <w:sz w:val="24"/>
                    <w:szCs w:val="24"/>
                    <w14:ligatures w14:val="standardContextual"/>
                  </w:rPr>
                  <w:tab/>
                </w:r>
                <w:r w:rsidRPr="00DD7D7F">
                  <w:rPr>
                    <w:rStyle w:val="Hipersaitas"/>
                  </w:rPr>
                  <w:t>Pasiūlymų vertinimas</w:t>
                </w:r>
                <w:r>
                  <w:rPr>
                    <w:webHidden/>
                  </w:rPr>
                  <w:tab/>
                </w:r>
                <w:r>
                  <w:rPr>
                    <w:webHidden/>
                  </w:rPr>
                  <w:fldChar w:fldCharType="begin"/>
                </w:r>
                <w:r>
                  <w:rPr>
                    <w:webHidden/>
                  </w:rPr>
                  <w:instrText xml:space="preserve"> PAGEREF _Toc185245967 \h </w:instrText>
                </w:r>
                <w:r>
                  <w:rPr>
                    <w:webHidden/>
                  </w:rPr>
                </w:r>
                <w:r>
                  <w:rPr>
                    <w:webHidden/>
                  </w:rPr>
                  <w:fldChar w:fldCharType="separate"/>
                </w:r>
                <w:r w:rsidR="000C78EC">
                  <w:rPr>
                    <w:webHidden/>
                  </w:rPr>
                  <w:t>9</w:t>
                </w:r>
                <w:r>
                  <w:rPr>
                    <w:webHidden/>
                  </w:rPr>
                  <w:fldChar w:fldCharType="end"/>
                </w:r>
              </w:hyperlink>
            </w:p>
            <w:p w14:paraId="55A14979" w14:textId="5B793C78" w:rsidR="00EE2832" w:rsidRDefault="00EE2832">
              <w:pPr>
                <w:pStyle w:val="Turinys1"/>
                <w:rPr>
                  <w:rFonts w:asciiTheme="minorHAnsi" w:hAnsiTheme="minorHAnsi" w:cstheme="minorBidi"/>
                  <w:b w:val="0"/>
                  <w:bCs w:val="0"/>
                  <w:kern w:val="2"/>
                  <w:sz w:val="24"/>
                  <w:szCs w:val="24"/>
                  <w14:ligatures w14:val="standardContextual"/>
                </w:rPr>
              </w:pPr>
              <w:hyperlink w:anchor="_Toc185245968" w:history="1">
                <w:r w:rsidRPr="00DD7D7F">
                  <w:rPr>
                    <w:rStyle w:val="Hipersaitas"/>
                  </w:rPr>
                  <w:t>14.</w:t>
                </w:r>
                <w:r>
                  <w:rPr>
                    <w:rFonts w:asciiTheme="minorHAnsi" w:hAnsiTheme="minorHAnsi" w:cstheme="minorBidi"/>
                    <w:b w:val="0"/>
                    <w:bCs w:val="0"/>
                    <w:kern w:val="2"/>
                    <w:sz w:val="24"/>
                    <w:szCs w:val="24"/>
                    <w14:ligatures w14:val="standardContextual"/>
                  </w:rPr>
                  <w:tab/>
                </w:r>
                <w:r w:rsidRPr="00DD7D7F">
                  <w:rPr>
                    <w:rStyle w:val="Hipersaitas"/>
                  </w:rPr>
                  <w:t>Pasiūlymų atmetimo pagrindai</w:t>
                </w:r>
                <w:r>
                  <w:rPr>
                    <w:webHidden/>
                  </w:rPr>
                  <w:tab/>
                </w:r>
                <w:r>
                  <w:rPr>
                    <w:webHidden/>
                  </w:rPr>
                  <w:fldChar w:fldCharType="begin"/>
                </w:r>
                <w:r>
                  <w:rPr>
                    <w:webHidden/>
                  </w:rPr>
                  <w:instrText xml:space="preserve"> PAGEREF _Toc185245968 \h </w:instrText>
                </w:r>
                <w:r>
                  <w:rPr>
                    <w:webHidden/>
                  </w:rPr>
                </w:r>
                <w:r>
                  <w:rPr>
                    <w:webHidden/>
                  </w:rPr>
                  <w:fldChar w:fldCharType="separate"/>
                </w:r>
                <w:r w:rsidR="000C78EC">
                  <w:rPr>
                    <w:webHidden/>
                  </w:rPr>
                  <w:t>10</w:t>
                </w:r>
                <w:r>
                  <w:rPr>
                    <w:webHidden/>
                  </w:rPr>
                  <w:fldChar w:fldCharType="end"/>
                </w:r>
              </w:hyperlink>
            </w:p>
            <w:p w14:paraId="278C776F" w14:textId="6F7E6FF8" w:rsidR="00EE2832" w:rsidRDefault="00EE2832">
              <w:pPr>
                <w:pStyle w:val="Turinys1"/>
                <w:rPr>
                  <w:rFonts w:asciiTheme="minorHAnsi" w:hAnsiTheme="minorHAnsi" w:cstheme="minorBidi"/>
                  <w:b w:val="0"/>
                  <w:bCs w:val="0"/>
                  <w:kern w:val="2"/>
                  <w:sz w:val="24"/>
                  <w:szCs w:val="24"/>
                  <w14:ligatures w14:val="standardContextual"/>
                </w:rPr>
              </w:pPr>
              <w:hyperlink w:anchor="_Toc185245969" w:history="1">
                <w:r w:rsidRPr="00DD7D7F">
                  <w:rPr>
                    <w:rStyle w:val="Hipersaitas"/>
                  </w:rPr>
                  <w:t>15.</w:t>
                </w:r>
                <w:r>
                  <w:rPr>
                    <w:rFonts w:asciiTheme="minorHAnsi" w:hAnsiTheme="minorHAnsi" w:cstheme="minorBidi"/>
                    <w:b w:val="0"/>
                    <w:bCs w:val="0"/>
                    <w:kern w:val="2"/>
                    <w:sz w:val="24"/>
                    <w:szCs w:val="24"/>
                    <w14:ligatures w14:val="standardContextual"/>
                  </w:rPr>
                  <w:tab/>
                </w:r>
                <w:r w:rsidRPr="00DD7D7F">
                  <w:rPr>
                    <w:rStyle w:val="Hipersaitas"/>
                  </w:rPr>
                  <w:t>Pasiūlymų eilė ir laimėtojo nustatymas</w:t>
                </w:r>
                <w:r>
                  <w:rPr>
                    <w:webHidden/>
                  </w:rPr>
                  <w:tab/>
                </w:r>
                <w:r>
                  <w:rPr>
                    <w:webHidden/>
                  </w:rPr>
                  <w:fldChar w:fldCharType="begin"/>
                </w:r>
                <w:r>
                  <w:rPr>
                    <w:webHidden/>
                  </w:rPr>
                  <w:instrText xml:space="preserve"> PAGEREF _Toc185245969 \h </w:instrText>
                </w:r>
                <w:r>
                  <w:rPr>
                    <w:webHidden/>
                  </w:rPr>
                </w:r>
                <w:r>
                  <w:rPr>
                    <w:webHidden/>
                  </w:rPr>
                  <w:fldChar w:fldCharType="separate"/>
                </w:r>
                <w:r w:rsidR="000C78EC">
                  <w:rPr>
                    <w:webHidden/>
                  </w:rPr>
                  <w:t>11</w:t>
                </w:r>
                <w:r>
                  <w:rPr>
                    <w:webHidden/>
                  </w:rPr>
                  <w:fldChar w:fldCharType="end"/>
                </w:r>
              </w:hyperlink>
            </w:p>
            <w:p w14:paraId="52CE93F2" w14:textId="16637AE2" w:rsidR="00EE2832" w:rsidRDefault="00EE2832">
              <w:pPr>
                <w:pStyle w:val="Turinys1"/>
                <w:rPr>
                  <w:rFonts w:asciiTheme="minorHAnsi" w:hAnsiTheme="minorHAnsi" w:cstheme="minorBidi"/>
                  <w:b w:val="0"/>
                  <w:bCs w:val="0"/>
                  <w:kern w:val="2"/>
                  <w:sz w:val="24"/>
                  <w:szCs w:val="24"/>
                  <w14:ligatures w14:val="standardContextual"/>
                </w:rPr>
              </w:pPr>
              <w:hyperlink w:anchor="_Toc185245970" w:history="1">
                <w:r w:rsidRPr="00DD7D7F">
                  <w:rPr>
                    <w:rStyle w:val="Hipersaitas"/>
                  </w:rPr>
                  <w:t>16.</w:t>
                </w:r>
                <w:r>
                  <w:rPr>
                    <w:rFonts w:asciiTheme="minorHAnsi" w:hAnsiTheme="minorHAnsi" w:cstheme="minorBidi"/>
                    <w:b w:val="0"/>
                    <w:bCs w:val="0"/>
                    <w:kern w:val="2"/>
                    <w:sz w:val="24"/>
                    <w:szCs w:val="24"/>
                    <w14:ligatures w14:val="standardContextual"/>
                  </w:rPr>
                  <w:tab/>
                </w:r>
                <w:r w:rsidRPr="00DD7D7F">
                  <w:rPr>
                    <w:rStyle w:val="Hipersaitas"/>
                  </w:rPr>
                  <w:t>Informavimas apie pirkimo procedūrų rezultatus</w:t>
                </w:r>
                <w:r>
                  <w:rPr>
                    <w:webHidden/>
                  </w:rPr>
                  <w:tab/>
                </w:r>
                <w:r>
                  <w:rPr>
                    <w:webHidden/>
                  </w:rPr>
                  <w:fldChar w:fldCharType="begin"/>
                </w:r>
                <w:r>
                  <w:rPr>
                    <w:webHidden/>
                  </w:rPr>
                  <w:instrText xml:space="preserve"> PAGEREF _Toc185245970 \h </w:instrText>
                </w:r>
                <w:r>
                  <w:rPr>
                    <w:webHidden/>
                  </w:rPr>
                </w:r>
                <w:r>
                  <w:rPr>
                    <w:webHidden/>
                  </w:rPr>
                  <w:fldChar w:fldCharType="separate"/>
                </w:r>
                <w:r w:rsidR="000C78EC">
                  <w:rPr>
                    <w:webHidden/>
                  </w:rPr>
                  <w:t>11</w:t>
                </w:r>
                <w:r>
                  <w:rPr>
                    <w:webHidden/>
                  </w:rPr>
                  <w:fldChar w:fldCharType="end"/>
                </w:r>
              </w:hyperlink>
            </w:p>
            <w:p w14:paraId="5A0E94B6" w14:textId="722BAC79" w:rsidR="00EE2832" w:rsidRDefault="00EE2832">
              <w:pPr>
                <w:pStyle w:val="Turinys1"/>
                <w:rPr>
                  <w:rFonts w:asciiTheme="minorHAnsi" w:hAnsiTheme="minorHAnsi" w:cstheme="minorBidi"/>
                  <w:b w:val="0"/>
                  <w:bCs w:val="0"/>
                  <w:kern w:val="2"/>
                  <w:sz w:val="24"/>
                  <w:szCs w:val="24"/>
                  <w14:ligatures w14:val="standardContextual"/>
                </w:rPr>
              </w:pPr>
              <w:hyperlink w:anchor="_Toc185245971" w:history="1">
                <w:r w:rsidRPr="00DD7D7F">
                  <w:rPr>
                    <w:rStyle w:val="Hipersaitas"/>
                  </w:rPr>
                  <w:t>17.</w:t>
                </w:r>
                <w:r>
                  <w:rPr>
                    <w:rFonts w:asciiTheme="minorHAnsi" w:hAnsiTheme="minorHAnsi" w:cstheme="minorBidi"/>
                    <w:b w:val="0"/>
                    <w:bCs w:val="0"/>
                    <w:kern w:val="2"/>
                    <w:sz w:val="24"/>
                    <w:szCs w:val="24"/>
                    <w14:ligatures w14:val="standardContextual"/>
                  </w:rPr>
                  <w:tab/>
                </w:r>
                <w:r w:rsidRPr="00DD7D7F">
                  <w:rPr>
                    <w:rStyle w:val="Hipersaitas"/>
                  </w:rPr>
                  <w:t>Sutarties sudarymas</w:t>
                </w:r>
                <w:r>
                  <w:rPr>
                    <w:webHidden/>
                  </w:rPr>
                  <w:tab/>
                </w:r>
                <w:r>
                  <w:rPr>
                    <w:webHidden/>
                  </w:rPr>
                  <w:fldChar w:fldCharType="begin"/>
                </w:r>
                <w:r>
                  <w:rPr>
                    <w:webHidden/>
                  </w:rPr>
                  <w:instrText xml:space="preserve"> PAGEREF _Toc185245971 \h </w:instrText>
                </w:r>
                <w:r>
                  <w:rPr>
                    <w:webHidden/>
                  </w:rPr>
                </w:r>
                <w:r>
                  <w:rPr>
                    <w:webHidden/>
                  </w:rPr>
                  <w:fldChar w:fldCharType="separate"/>
                </w:r>
                <w:r w:rsidR="000C78EC">
                  <w:rPr>
                    <w:webHidden/>
                  </w:rPr>
                  <w:t>11</w:t>
                </w:r>
                <w:r>
                  <w:rPr>
                    <w:webHidden/>
                  </w:rPr>
                  <w:fldChar w:fldCharType="end"/>
                </w:r>
              </w:hyperlink>
            </w:p>
            <w:p w14:paraId="7C6BF63C" w14:textId="348762D9" w:rsidR="00EE2832" w:rsidRDefault="00EE2832">
              <w:pPr>
                <w:pStyle w:val="Turinys1"/>
                <w:rPr>
                  <w:rFonts w:asciiTheme="minorHAnsi" w:hAnsiTheme="minorHAnsi" w:cstheme="minorBidi"/>
                  <w:b w:val="0"/>
                  <w:bCs w:val="0"/>
                  <w:kern w:val="2"/>
                  <w:sz w:val="24"/>
                  <w:szCs w:val="24"/>
                  <w14:ligatures w14:val="standardContextual"/>
                </w:rPr>
              </w:pPr>
              <w:hyperlink w:anchor="_Toc185245972" w:history="1">
                <w:r w:rsidRPr="00DD7D7F">
                  <w:rPr>
                    <w:rStyle w:val="Hipersaitas"/>
                  </w:rPr>
                  <w:t>18.</w:t>
                </w:r>
                <w:r>
                  <w:rPr>
                    <w:rFonts w:asciiTheme="minorHAnsi" w:hAnsiTheme="minorHAnsi" w:cstheme="minorBidi"/>
                    <w:b w:val="0"/>
                    <w:bCs w:val="0"/>
                    <w:kern w:val="2"/>
                    <w:sz w:val="24"/>
                    <w:szCs w:val="24"/>
                    <w14:ligatures w14:val="standardContextual"/>
                  </w:rPr>
                  <w:tab/>
                </w:r>
                <w:r w:rsidRPr="00DD7D7F">
                  <w:rPr>
                    <w:rStyle w:val="Hipersaitas"/>
                  </w:rPr>
                  <w:t>Teisė ginčyti perkančiosios organizacijos veiksmus ar priimtus sprendimus</w:t>
                </w:r>
                <w:r>
                  <w:rPr>
                    <w:webHidden/>
                  </w:rPr>
                  <w:tab/>
                </w:r>
                <w:r>
                  <w:rPr>
                    <w:webHidden/>
                  </w:rPr>
                  <w:fldChar w:fldCharType="begin"/>
                </w:r>
                <w:r>
                  <w:rPr>
                    <w:webHidden/>
                  </w:rPr>
                  <w:instrText xml:space="preserve"> PAGEREF _Toc185245972 \h </w:instrText>
                </w:r>
                <w:r>
                  <w:rPr>
                    <w:webHidden/>
                  </w:rPr>
                </w:r>
                <w:r>
                  <w:rPr>
                    <w:webHidden/>
                  </w:rPr>
                  <w:fldChar w:fldCharType="separate"/>
                </w:r>
                <w:r w:rsidR="000C78EC">
                  <w:rPr>
                    <w:webHidden/>
                  </w:rPr>
                  <w:t>12</w:t>
                </w:r>
                <w:r>
                  <w:rPr>
                    <w:webHidden/>
                  </w:rPr>
                  <w:fldChar w:fldCharType="end"/>
                </w:r>
              </w:hyperlink>
            </w:p>
            <w:p w14:paraId="5B78E5F7" w14:textId="7777777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05DA0E8D"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FE5442F"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E71108" w:rsidRDefault="00000000"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t>Sąvokos ir sutrumpinimai</w:t>
      </w:r>
      <w:bookmarkEnd w:id="0"/>
      <w:bookmarkEnd w:id="1"/>
    </w:p>
    <w:p w14:paraId="32896C4E" w14:textId="59FAFAFB"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0E071FEC"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C06414">
        <w:rPr>
          <w:rFonts w:ascii="Times New Roman" w:eastAsia="Calibri" w:hAnsi="Times New Roman" w:cs="Times New Roman"/>
          <w:sz w:val="24"/>
          <w:szCs w:val="24"/>
        </w:rPr>
        <w:t>.</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AF6BC1"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6D0AB0">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lastRenderedPageBreak/>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irkimo dokumentų popierinio 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76FE4E47" w14:textId="0AE82818" w:rsidR="00ED6713" w:rsidRPr="00AF6BC1"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8C6E9C3" w:rsidR="002C5249" w:rsidRPr="004915A2" w:rsidRDefault="00A950F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C78EC">
        <w:rPr>
          <w:rFonts w:ascii="Times New Roman" w:hAnsi="Times New Roman" w:cs="Times New Roman"/>
          <w:sz w:val="24"/>
          <w:szCs w:val="24"/>
        </w:rPr>
        <w:t xml:space="preserve">Pirkime taikomas VPĮ 46 straipsnio </w:t>
      </w:r>
      <w:r w:rsidR="00E75430" w:rsidRPr="000C78EC">
        <w:rPr>
          <w:rFonts w:ascii="Times New Roman" w:hAnsi="Times New Roman" w:cs="Times New Roman"/>
          <w:sz w:val="24"/>
          <w:szCs w:val="24"/>
        </w:rPr>
        <w:t>2</w:t>
      </w:r>
      <w:r w:rsidR="00E75430" w:rsidRPr="000C78EC">
        <w:rPr>
          <w:rFonts w:ascii="Times New Roman" w:hAnsi="Times New Roman" w:cs="Times New Roman"/>
          <w:sz w:val="24"/>
          <w:szCs w:val="24"/>
          <w:vertAlign w:val="superscript"/>
        </w:rPr>
        <w:t xml:space="preserve">1 </w:t>
      </w:r>
      <w:r w:rsidR="00031F8A" w:rsidRPr="000C78EC">
        <w:rPr>
          <w:rFonts w:ascii="Times New Roman" w:hAnsi="Times New Roman" w:cs="Times New Roman"/>
          <w:sz w:val="24"/>
          <w:szCs w:val="24"/>
        </w:rPr>
        <w:t>dalyje</w:t>
      </w:r>
      <w:r w:rsidR="00E75430" w:rsidRPr="000C78EC">
        <w:rPr>
          <w:rFonts w:ascii="Times New Roman" w:hAnsi="Times New Roman" w:cs="Times New Roman"/>
          <w:sz w:val="24"/>
          <w:szCs w:val="24"/>
        </w:rPr>
        <w:t xml:space="preserve"> nustatytas tiekėjo pašalinimo pagrindas.</w:t>
      </w:r>
      <w:r w:rsidR="00E75430">
        <w:rPr>
          <w:rFonts w:ascii="Times New Roman" w:hAnsi="Times New Roman" w:cs="Times New Roman"/>
          <w:sz w:val="24"/>
          <w:szCs w:val="24"/>
        </w:rPr>
        <w:t xml:space="preserve"> </w:t>
      </w:r>
      <w:r w:rsidR="004915A2" w:rsidRPr="004915A2">
        <w:rPr>
          <w:rFonts w:ascii="Times New Roman" w:hAnsi="Times New Roman" w:cs="Times New Roman"/>
          <w:sz w:val="24"/>
          <w:szCs w:val="24"/>
        </w:rPr>
        <w:t xml:space="preserve">Perkančioji organizacija nenustato </w:t>
      </w:r>
      <w:r w:rsidR="00E75430">
        <w:rPr>
          <w:rFonts w:ascii="Times New Roman" w:hAnsi="Times New Roman" w:cs="Times New Roman"/>
          <w:sz w:val="24"/>
          <w:szCs w:val="24"/>
        </w:rPr>
        <w:t xml:space="preserve">kitų </w:t>
      </w:r>
      <w:r w:rsidR="004915A2" w:rsidRPr="004915A2">
        <w:rPr>
          <w:rFonts w:ascii="Times New Roman" w:hAnsi="Times New Roman" w:cs="Times New Roman"/>
          <w:sz w:val="24"/>
          <w:szCs w:val="24"/>
        </w:rPr>
        <w:t>tiekėjo pašalinimo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lastRenderedPageBreak/>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921EBC"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4C059857" w14:textId="7CE3D9A8" w:rsidR="00206179" w:rsidRPr="00D94CA6"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lastRenderedPageBreak/>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524F42" w:rsidRDefault="000E4DA6" w:rsidP="000E4DA6">
      <w:pPr>
        <w:pStyle w:val="Antrat1"/>
        <w:numPr>
          <w:ilvl w:val="0"/>
          <w:numId w:val="9"/>
        </w:numPr>
        <w:tabs>
          <w:tab w:val="left" w:pos="567"/>
        </w:tabs>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04276E3C" w:rsidR="009E78B9" w:rsidRPr="00524F42" w:rsidRDefault="00AB6038" w:rsidP="00AB60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AC3C31" w:rsidRDefault="0988CA22" w:rsidP="0988CA22">
      <w:pPr>
        <w:rPr>
          <w:rFonts w:ascii="Times New Roman" w:hAnsi="Times New Roman" w:cs="Times New Roman"/>
          <w:sz w:val="24"/>
          <w:szCs w:val="24"/>
        </w:rPr>
      </w:pPr>
    </w:p>
    <w:p w14:paraId="7BED6F8C" w14:textId="09881710" w:rsidR="006D0AB0" w:rsidRPr="00AC3C31" w:rsidRDefault="122B56A3" w:rsidP="00AB603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AC3C31"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4389667" w14:textId="77777777" w:rsidR="00990645" w:rsidRPr="00AC3C3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AC3C31" w:rsidRDefault="55DF8414" w:rsidP="00AB6038">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w:t>
      </w:r>
      <w:r w:rsidR="00C25F4C" w:rsidRPr="00AC3C31">
        <w:rPr>
          <w:rFonts w:ascii="Times New Roman" w:eastAsia="Calibri" w:hAnsi="Times New Roman" w:cs="Times New Roman"/>
          <w:sz w:val="24"/>
          <w:szCs w:val="24"/>
        </w:rPr>
        <w:lastRenderedPageBreak/>
        <w:t xml:space="preserve">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D749E6" w:rsidRDefault="0042545B" w:rsidP="001B2B89">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sidRPr="00D749E6">
        <w:rPr>
          <w:rFonts w:ascii="Times New Roman" w:hAnsi="Times New Roman" w:cs="Times New Roman"/>
          <w:b/>
          <w:bCs/>
          <w:color w:val="auto"/>
          <w:sz w:val="28"/>
          <w:szCs w:val="28"/>
        </w:rPr>
        <w:t>Susipažinimas su pasiūlymais</w:t>
      </w:r>
      <w:bookmarkEnd w:id="43"/>
      <w:bookmarkEnd w:id="44"/>
    </w:p>
    <w:p w14:paraId="7AC35460" w14:textId="77777777" w:rsidR="00914A6E" w:rsidRPr="006D275D" w:rsidRDefault="00914A6E" w:rsidP="00914A6E">
      <w:pPr>
        <w:pStyle w:val="paragrafesrasas2lygis"/>
        <w:spacing w:after="0" w:line="300" w:lineRule="auto"/>
        <w:ind w:left="697"/>
        <w:rPr>
          <w:sz w:val="24"/>
          <w:szCs w:val="24"/>
        </w:rPr>
      </w:pPr>
    </w:p>
    <w:p w14:paraId="5A302C16" w14:textId="606D548B" w:rsidR="006D0AB0" w:rsidRPr="00414E90" w:rsidRDefault="006D0AB0"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A90EA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070C8E">
      <w:pPr>
        <w:pStyle w:val="paragrafesrasas2lygis"/>
        <w:spacing w:line="360" w:lineRule="auto"/>
        <w:rPr>
          <w:sz w:val="24"/>
          <w:szCs w:val="24"/>
        </w:rPr>
      </w:pPr>
    </w:p>
    <w:p w14:paraId="0CEBF66C" w14:textId="5EA9BDCC" w:rsidR="006D0AB0" w:rsidRPr="00D930A8" w:rsidRDefault="002B7271"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776EADC6" w:rsidR="001A28B0" w:rsidRPr="00C84067"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77C9AC94" w14:textId="77777777" w:rsidR="000A38BA" w:rsidRDefault="000A38BA" w:rsidP="000A38BA">
      <w:pPr>
        <w:pStyle w:val="paragrafesrasas2lygis"/>
        <w:tabs>
          <w:tab w:val="left" w:pos="1134"/>
        </w:tabs>
        <w:spacing w:after="0" w:line="240" w:lineRule="auto"/>
        <w:ind w:left="360"/>
        <w:rPr>
          <w:rFonts w:eastAsia="Arial"/>
          <w:sz w:val="24"/>
          <w:szCs w:val="24"/>
        </w:rPr>
      </w:pPr>
      <w:r>
        <w:rPr>
          <w:sz w:val="24"/>
          <w:szCs w:val="24"/>
        </w:rPr>
        <w:t xml:space="preserve">      13.2.</w:t>
      </w:r>
      <w:r w:rsidR="0685F94B" w:rsidRPr="2BE397FF">
        <w:rPr>
          <w:sz w:val="24"/>
          <w:szCs w:val="24"/>
        </w:rPr>
        <w:t xml:space="preserve"> </w:t>
      </w:r>
      <w:r w:rsidR="001A28B0" w:rsidRPr="00C84067">
        <w:rPr>
          <w:sz w:val="24"/>
          <w:szCs w:val="24"/>
        </w:rPr>
        <w:t>Pasiūlymus perkančioji organizacija vertina ir pasiūlymų eilę sudaro pagal kriterijus ir tvarką, nurodytą specialiosiose pirkimo sąlygose.</w:t>
      </w:r>
      <w:r w:rsidR="2B08A622" w:rsidRPr="2BE397FF">
        <w:rPr>
          <w:sz w:val="24"/>
          <w:szCs w:val="24"/>
        </w:rPr>
        <w:t xml:space="preserve"> </w:t>
      </w:r>
      <w:r w:rsidR="00035003" w:rsidRPr="2BE397FF">
        <w:rPr>
          <w:rFonts w:eastAsia="Arial"/>
          <w:sz w:val="24"/>
          <w:szCs w:val="24"/>
        </w:rPr>
        <w:t xml:space="preserve"> </w:t>
      </w:r>
    </w:p>
    <w:p w14:paraId="5FFEE317" w14:textId="5B7CF6D1" w:rsidR="00763B33" w:rsidRPr="00035003" w:rsidRDefault="000A38BA" w:rsidP="000A38BA">
      <w:pPr>
        <w:pStyle w:val="paragrafesrasas2lygis"/>
        <w:tabs>
          <w:tab w:val="left" w:pos="1134"/>
        </w:tabs>
        <w:spacing w:after="0" w:line="240" w:lineRule="auto"/>
        <w:ind w:left="360"/>
        <w:rPr>
          <w:sz w:val="24"/>
          <w:szCs w:val="24"/>
        </w:rPr>
      </w:pPr>
      <w:r>
        <w:rPr>
          <w:rFonts w:eastAsia="Arial"/>
          <w:sz w:val="24"/>
          <w:szCs w:val="24"/>
        </w:rPr>
        <w:t xml:space="preserve">      </w:t>
      </w:r>
      <w:r w:rsidR="007D2DCA">
        <w:rPr>
          <w:rFonts w:eastAsia="Arial"/>
          <w:sz w:val="24"/>
          <w:szCs w:val="24"/>
        </w:rPr>
        <w:t>13.3.</w:t>
      </w:r>
      <w:r>
        <w:rPr>
          <w:rFonts w:eastAsia="Arial"/>
          <w:sz w:val="24"/>
          <w:szCs w:val="24"/>
        </w:rPr>
        <w:t xml:space="preserve"> </w:t>
      </w:r>
      <w:r w:rsidR="00763B33" w:rsidRPr="2BE397FF">
        <w:rPr>
          <w:rFonts w:eastAsia="Arial"/>
          <w:sz w:val="24"/>
          <w:szCs w:val="24"/>
        </w:rPr>
        <w:t>Jeigu tiekėjas pateikė netikslius, neišsamius ar klaidingus dokumentus ar duomenis apie atitiktį pirkimo dokumentų reikalavimams ar šių dokumentų ar duomenų trūksta,</w:t>
      </w:r>
      <w:r w:rsidR="00763B33" w:rsidRPr="2BE397FF">
        <w:rPr>
          <w:sz w:val="24"/>
          <w:szCs w:val="24"/>
        </w:rPr>
        <w:t xml:space="preserve"> perkančioji organizacija prašo (kai ji tai gali daryti nepažeisdama lygiateisiškumo ir skaidrumo principų) tiekėją</w:t>
      </w:r>
      <w:r w:rsidR="00763B33" w:rsidRPr="2BE397FF">
        <w:rPr>
          <w:rFonts w:eastAsia="Arial"/>
          <w:sz w:val="24"/>
          <w:szCs w:val="24"/>
        </w:rPr>
        <w:t xml:space="preserve"> šiuos dokumentus ar duomenis patikslinti, papildyti arba paaiškinti per</w:t>
      </w:r>
      <w:r w:rsidR="00763B33" w:rsidRPr="2BE397FF">
        <w:rPr>
          <w:sz w:val="24"/>
          <w:szCs w:val="24"/>
        </w:rPr>
        <w:t xml:space="preserve"> </w:t>
      </w:r>
      <w:r w:rsidR="00763B33" w:rsidRPr="2BE397FF">
        <w:rPr>
          <w:rFonts w:eastAsia="Arial"/>
          <w:sz w:val="24"/>
          <w:szCs w:val="24"/>
        </w:rPr>
        <w:t xml:space="preserve">perkančiosios organizacijos nustatytą protingą terminą. </w:t>
      </w:r>
      <w:r w:rsidR="00763B33" w:rsidRPr="2BE397FF">
        <w:rPr>
          <w:sz w:val="24"/>
          <w:szCs w:val="24"/>
        </w:rPr>
        <w:t xml:space="preserve">Duomenys ir (arba) dokumentai gali būti tikslinami, aiškinami ar papildomi, vadovaujantis VPĮ 45 straipsnio 3 dalies nuostatomis ir pagrindiniais pirkimų principais. </w:t>
      </w:r>
    </w:p>
    <w:p w14:paraId="565C970B" w14:textId="3D67885E" w:rsidR="001A28B0" w:rsidRPr="00035003" w:rsidRDefault="00035003" w:rsidP="00035003">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653A2ACD"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0F736E" w:rsidRDefault="006D0AB0" w:rsidP="00763B33">
      <w:pPr>
        <w:spacing w:line="360" w:lineRule="auto"/>
        <w:rPr>
          <w:rFonts w:ascii="Arial" w:hAnsi="Arial" w:cs="Arial"/>
          <w:sz w:val="28"/>
          <w:szCs w:val="28"/>
        </w:rPr>
      </w:pPr>
      <w:bookmarkStart w:id="51" w:name="_Toc48053179"/>
    </w:p>
    <w:p w14:paraId="1F2B61D4" w14:textId="16147E8B" w:rsidR="006D0AB0" w:rsidRPr="000F736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sidRPr="000F736E">
        <w:rPr>
          <w:rFonts w:ascii="Times New Roman" w:hAnsi="Times New Roman" w:cs="Times New Roman"/>
          <w:b/>
          <w:bCs/>
          <w:color w:val="auto"/>
          <w:sz w:val="28"/>
          <w:szCs w:val="28"/>
        </w:rPr>
        <w:lastRenderedPageBreak/>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323E73D0" w14:textId="77777777" w:rsidR="001B23B6" w:rsidRPr="00E237A4"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596ABFC" w14:textId="4F5B915C"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71E7D593" w:rsidR="00896035" w:rsidRPr="004138AF" w:rsidRDefault="00E108DC" w:rsidP="75D9E128">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7350E0">
        <w:rPr>
          <w:rFonts w:ascii="Times New Roman" w:eastAsia="Arial" w:hAnsi="Times New Roman" w:cs="Times New Roman"/>
          <w:color w:val="000000" w:themeColor="text1"/>
          <w:sz w:val="24"/>
          <w:szCs w:val="24"/>
        </w:rPr>
        <w:t>14.1.1</w:t>
      </w:r>
      <w:r w:rsidR="002D094C" w:rsidRPr="007350E0">
        <w:rPr>
          <w:rFonts w:ascii="Times New Roman" w:eastAsia="Arial" w:hAnsi="Times New Roman" w:cs="Times New Roman"/>
          <w:color w:val="000000" w:themeColor="text1"/>
          <w:sz w:val="24"/>
          <w:szCs w:val="24"/>
        </w:rPr>
        <w:t>3</w:t>
      </w:r>
      <w:r w:rsidR="006074E3" w:rsidRPr="007350E0">
        <w:rPr>
          <w:rFonts w:ascii="Times New Roman" w:eastAsia="Arial" w:hAnsi="Times New Roman" w:cs="Times New Roman"/>
          <w:color w:val="000000" w:themeColor="text1"/>
          <w:sz w:val="24"/>
          <w:szCs w:val="24"/>
        </w:rPr>
        <w:t>.</w:t>
      </w:r>
      <w:r w:rsidRPr="007350E0">
        <w:rPr>
          <w:rFonts w:ascii="Times New Roman" w:eastAsia="Arial" w:hAnsi="Times New Roman" w:cs="Times New Roman"/>
          <w:color w:val="000000" w:themeColor="text1"/>
          <w:sz w:val="24"/>
          <w:szCs w:val="24"/>
        </w:rPr>
        <w:t xml:space="preserve"> </w:t>
      </w:r>
      <w:r w:rsidR="00A71030" w:rsidRPr="007350E0">
        <w:rPr>
          <w:rFonts w:ascii="Times New Roman" w:eastAsia="Arial" w:hAnsi="Times New Roman" w:cs="Times New Roman"/>
          <w:sz w:val="24"/>
          <w:szCs w:val="24"/>
        </w:rPr>
        <w:t xml:space="preserve"> </w:t>
      </w:r>
      <w:r w:rsidR="00896035" w:rsidRPr="007350E0">
        <w:rPr>
          <w:rFonts w:ascii="Times New Roman" w:eastAsia="Arial" w:hAnsi="Times New Roman" w:cs="Times New Roman"/>
          <w:sz w:val="24"/>
          <w:szCs w:val="24"/>
        </w:rPr>
        <w:t xml:space="preserve">tiekėjas atitinka VPĮ </w:t>
      </w:r>
      <w:r w:rsidR="004138AF" w:rsidRPr="007350E0">
        <w:rPr>
          <w:rFonts w:ascii="Times New Roman" w:eastAsia="Arial" w:hAnsi="Times New Roman" w:cs="Times New Roman"/>
          <w:sz w:val="24"/>
          <w:szCs w:val="24"/>
        </w:rPr>
        <w:t>46 straipsnio 2</w:t>
      </w:r>
      <w:r w:rsidR="004138AF" w:rsidRPr="007350E0">
        <w:rPr>
          <w:rFonts w:ascii="Times New Roman" w:eastAsia="Arial" w:hAnsi="Times New Roman" w:cs="Times New Roman"/>
          <w:sz w:val="24"/>
          <w:szCs w:val="24"/>
          <w:vertAlign w:val="superscript"/>
        </w:rPr>
        <w:t xml:space="preserve">1 </w:t>
      </w:r>
      <w:r w:rsidR="004138AF" w:rsidRPr="007350E0">
        <w:rPr>
          <w:rFonts w:ascii="Times New Roman" w:eastAsia="Arial" w:hAnsi="Times New Roman" w:cs="Times New Roman"/>
          <w:sz w:val="24"/>
          <w:szCs w:val="24"/>
        </w:rPr>
        <w:t>dalyje nustatytą pašalinimo pagrindą</w:t>
      </w:r>
      <w:r w:rsidR="009E3DAE" w:rsidRPr="007350E0">
        <w:rPr>
          <w:rFonts w:ascii="Times New Roman" w:eastAsia="Arial" w:hAnsi="Times New Roman" w:cs="Times New Roman"/>
          <w:sz w:val="24"/>
          <w:szCs w:val="24"/>
        </w:rPr>
        <w:t xml:space="preserve"> arba</w:t>
      </w:r>
      <w:r w:rsidR="00CB0C28" w:rsidRPr="007350E0">
        <w:rPr>
          <w:rFonts w:ascii="Times New Roman" w:eastAsia="Arial" w:hAnsi="Times New Roman" w:cs="Times New Roman"/>
          <w:sz w:val="24"/>
          <w:szCs w:val="24"/>
        </w:rPr>
        <w:t xml:space="preserve"> / ir </w:t>
      </w:r>
      <w:r w:rsidR="668C8F3B" w:rsidRPr="007350E0">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7350E0">
        <w:rPr>
          <w:rFonts w:ascii="Times New Roman" w:eastAsia="Times New Roman" w:hAnsi="Times New Roman" w:cs="Times New Roman"/>
          <w:sz w:val="24"/>
          <w:szCs w:val="24"/>
        </w:rPr>
        <w:t>ams</w:t>
      </w:r>
      <w:proofErr w:type="spellEnd"/>
      <w:r w:rsidR="668C8F3B" w:rsidRPr="007350E0">
        <w:rPr>
          <w:rFonts w:ascii="Times New Roman" w:eastAsia="Times New Roman" w:hAnsi="Times New Roman" w:cs="Times New Roman"/>
          <w:sz w:val="24"/>
          <w:szCs w:val="24"/>
        </w:rPr>
        <w:t>), kurio (-</w:t>
      </w:r>
      <w:proofErr w:type="spellStart"/>
      <w:r w:rsidR="668C8F3B" w:rsidRPr="007350E0">
        <w:rPr>
          <w:rFonts w:ascii="Times New Roman" w:eastAsia="Times New Roman" w:hAnsi="Times New Roman" w:cs="Times New Roman"/>
          <w:sz w:val="24"/>
          <w:szCs w:val="24"/>
        </w:rPr>
        <w:t>ių</w:t>
      </w:r>
      <w:proofErr w:type="spellEnd"/>
      <w:r w:rsidR="668C8F3B" w:rsidRPr="007350E0">
        <w:rPr>
          <w:rFonts w:ascii="Times New Roman" w:eastAsia="Times New Roman" w:hAnsi="Times New Roman" w:cs="Times New Roman"/>
          <w:sz w:val="24"/>
          <w:szCs w:val="24"/>
        </w:rPr>
        <w:t>) pajėgumais remiamasi yra taikoma/netaikoma sąlyga, kad jis (-</w:t>
      </w:r>
      <w:proofErr w:type="spellStart"/>
      <w:r w:rsidR="668C8F3B" w:rsidRPr="007350E0">
        <w:rPr>
          <w:rFonts w:ascii="Times New Roman" w:eastAsia="Times New Roman" w:hAnsi="Times New Roman" w:cs="Times New Roman"/>
          <w:sz w:val="24"/>
          <w:szCs w:val="24"/>
        </w:rPr>
        <w:t>ie</w:t>
      </w:r>
      <w:proofErr w:type="spellEnd"/>
      <w:r w:rsidR="668C8F3B" w:rsidRPr="007350E0">
        <w:rPr>
          <w:rFonts w:ascii="Times New Roman" w:eastAsia="Times New Roman" w:hAnsi="Times New Roman" w:cs="Times New Roman"/>
          <w:sz w:val="24"/>
          <w:szCs w:val="24"/>
        </w:rPr>
        <w:t>) yra neatlikęs (-ę) jam (-</w:t>
      </w:r>
      <w:proofErr w:type="spellStart"/>
      <w:r w:rsidR="668C8F3B" w:rsidRPr="007350E0">
        <w:rPr>
          <w:rFonts w:ascii="Times New Roman" w:eastAsia="Times New Roman" w:hAnsi="Times New Roman" w:cs="Times New Roman"/>
          <w:sz w:val="24"/>
          <w:szCs w:val="24"/>
        </w:rPr>
        <w:t>iems</w:t>
      </w:r>
      <w:proofErr w:type="spellEnd"/>
      <w:r w:rsidR="668C8F3B" w:rsidRPr="007350E0">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7350E0">
        <w:rPr>
          <w:rFonts w:ascii="Times New Roman" w:eastAsia="Arial" w:hAnsi="Times New Roman" w:cs="Times New Roman"/>
          <w:sz w:val="24"/>
          <w:szCs w:val="24"/>
        </w:rPr>
        <w:t>.</w:t>
      </w:r>
    </w:p>
    <w:p w14:paraId="306CC0C6" w14:textId="12096DA9" w:rsidR="006D0AB0" w:rsidRDefault="0089603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14.1.14.</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5DB3FC4F"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lastRenderedPageBreak/>
        <w:t>14.1.1</w:t>
      </w:r>
      <w:r w:rsidR="00213C8C" w:rsidRPr="2BE397FF">
        <w:rPr>
          <w:rFonts w:ascii="Times New Roman" w:eastAsia="Arial" w:hAnsi="Times New Roman" w:cs="Times New Roman"/>
          <w:color w:val="000000" w:themeColor="text1"/>
          <w:sz w:val="24"/>
          <w:szCs w:val="24"/>
        </w:rPr>
        <w:t>5</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72C31C3" w14:textId="24710A9D"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7D05F2C4" w:rsidR="00B34DF5" w:rsidRPr="003845D0" w:rsidRDefault="002C3E6C" w:rsidP="00B34DF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6D0AB0">
      <w:pPr>
        <w:spacing w:line="36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583829">
      <w:pPr>
        <w:pStyle w:val="Sraopastraipa"/>
        <w:tabs>
          <w:tab w:val="left" w:pos="1418"/>
        </w:tabs>
        <w:spacing w:before="240" w:after="0" w:line="300" w:lineRule="auto"/>
        <w:ind w:left="697"/>
        <w:jc w:val="both"/>
        <w:rPr>
          <w:rFonts w:ascii="Arial" w:eastAsia="Arial" w:hAnsi="Arial" w:cs="Arial"/>
          <w:sz w:val="28"/>
          <w:szCs w:val="28"/>
        </w:rPr>
      </w:pP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lastRenderedPageBreak/>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30773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011E7F">
      <w:pPr>
        <w:spacing w:after="0" w:line="240" w:lineRule="auto"/>
        <w:ind w:left="2269"/>
        <w:jc w:val="both"/>
        <w:rPr>
          <w:rFonts w:ascii="Times New Roman" w:eastAsia="Arial" w:hAnsi="Times New Roman" w:cs="Times New Roman"/>
          <w:b/>
          <w:sz w:val="24"/>
          <w:szCs w:val="24"/>
        </w:rPr>
      </w:pPr>
    </w:p>
    <w:p w14:paraId="2E9083D0" w14:textId="17B496FE" w:rsidR="006D0AB0" w:rsidRPr="00405013" w:rsidRDefault="00DE1880" w:rsidP="00DE1880">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91D91E9" w14:textId="77777777" w:rsidR="006D0AB0" w:rsidRPr="00CC2F72" w:rsidRDefault="006D0AB0" w:rsidP="00DE1880">
      <w:pPr>
        <w:pStyle w:val="Sraopastraipa"/>
        <w:spacing w:line="240" w:lineRule="auto"/>
        <w:ind w:left="540"/>
        <w:rPr>
          <w:rFonts w:ascii="Times New Roman" w:eastAsia="Arial" w:hAnsi="Times New Roman" w:cs="Times New Roman"/>
          <w:bCs/>
          <w:sz w:val="24"/>
          <w:szCs w:val="24"/>
        </w:rPr>
      </w:pPr>
    </w:p>
    <w:p w14:paraId="7E737F31" w14:textId="0DD8F47F"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5F684B">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4636" w14:textId="77777777" w:rsidR="00DF7F66" w:rsidRDefault="00DF7F66" w:rsidP="00D05666">
      <w:r>
        <w:separator/>
      </w:r>
    </w:p>
  </w:endnote>
  <w:endnote w:type="continuationSeparator" w:id="0">
    <w:p w14:paraId="56B549EC" w14:textId="77777777" w:rsidR="00DF7F66" w:rsidRDefault="00DF7F66" w:rsidP="00D05666">
      <w:r>
        <w:continuationSeparator/>
      </w:r>
    </w:p>
  </w:endnote>
  <w:endnote w:type="continuationNotice" w:id="1">
    <w:p w14:paraId="0A649307" w14:textId="77777777" w:rsidR="00DF7F66" w:rsidRDefault="00DF7F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37BF6" w14:textId="77777777" w:rsidR="00DF7F66" w:rsidRDefault="00DF7F66" w:rsidP="00D05666">
      <w:r>
        <w:separator/>
      </w:r>
    </w:p>
  </w:footnote>
  <w:footnote w:type="continuationSeparator" w:id="0">
    <w:p w14:paraId="58562D1E" w14:textId="77777777" w:rsidR="00DF7F66" w:rsidRDefault="00DF7F66" w:rsidP="00D05666">
      <w:r>
        <w:continuationSeparator/>
      </w:r>
    </w:p>
  </w:footnote>
  <w:footnote w:type="continuationNotice" w:id="1">
    <w:p w14:paraId="13BE566F" w14:textId="77777777" w:rsidR="00DF7F66" w:rsidRDefault="00DF7F66">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8EC"/>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21E"/>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272"/>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4B"/>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0E0"/>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26E"/>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61B"/>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414"/>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66"/>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70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4ECC9-0D25-41A4-8E18-22504D675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23394</Words>
  <Characters>13336</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36657</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Danguolė Ciparytė - Burokienė</dc:creator>
  <cp:keywords/>
  <dc:description/>
  <cp:lastModifiedBy>Danguolė Ciparytė - Burokienė</cp:lastModifiedBy>
  <cp:revision>6</cp:revision>
  <dcterms:created xsi:type="dcterms:W3CDTF">2025-05-21T13:05:00Z</dcterms:created>
  <dcterms:modified xsi:type="dcterms:W3CDTF">2025-05-28T06:26:00Z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