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0C5046C2"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w:t>
                </w:r>
                <w:r w:rsidR="008E1BBB">
                  <w:t xml:space="preserve"> </w:t>
                </w:r>
                <w:r w:rsidR="008E1BBB" w:rsidRPr="008E1BBB">
                  <w:rPr>
                    <w:rFonts w:ascii="Times New Roman" w:eastAsiaTheme="majorEastAsia" w:hAnsi="Times New Roman" w:cs="Times New Roman"/>
                    <w:b/>
                    <w:bCs/>
                    <w:sz w:val="36"/>
                    <w:szCs w:val="36"/>
                  </w:rPr>
                  <w:t>Susisiekimo komunikacijų statinių grupės kelių paskirties statinio (gatvės) Klevų g., Anykščių r. sav., Traupio sen., Levaniškių k. dalies, kapitalinio remonto techninis darbo projektas ir projekto vykdymo priežiūros paslauga</w:t>
                </w:r>
                <w:r w:rsidR="008E1BBB" w:rsidRPr="008E1BBB">
                  <w:rPr>
                    <w:rFonts w:ascii="Times New Roman" w:eastAsiaTheme="majorEastAsia" w:hAnsi="Times New Roman" w:cs="Times New Roman"/>
                    <w:b/>
                    <w:bCs/>
                    <w:sz w:val="36"/>
                    <w:szCs w:val="36"/>
                  </w:rPr>
                  <w:t xml:space="preserve"> </w:t>
                </w:r>
                <w:r w:rsidRPr="00D7057D">
                  <w:rPr>
                    <w:rFonts w:ascii="Times New Roman" w:eastAsiaTheme="majorEastAsia" w:hAnsi="Times New Roman" w:cs="Times New Roman"/>
                    <w:b/>
                    <w:bCs/>
                    <w:sz w:val="36"/>
                    <w:szCs w:val="36"/>
                  </w:rPr>
                  <w:t>“</w:t>
                </w:r>
              </w:p>
              <w:p w14:paraId="06AAC760" w14:textId="31BADAC9" w:rsidR="00D07746" w:rsidRPr="00D7057D" w:rsidRDefault="00D7057D" w:rsidP="00994BD6">
                <w:pPr>
                  <w:pStyle w:val="Betarp"/>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Betarp"/>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urinioantrat"/>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urinys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ipersaitas"/>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ipersaitas"/>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D7057D">
                  <w:rPr>
                    <w:rStyle w:val="Hipersaitas"/>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D7057D">
                  <w:rPr>
                    <w:rStyle w:val="Hipersaitas"/>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D7057D">
                  <w:rPr>
                    <w:rStyle w:val="Hipersaitas"/>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D7057D">
                  <w:rPr>
                    <w:rStyle w:val="Hipersaitas"/>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D7057D">
                  <w:rPr>
                    <w:rStyle w:val="Hipersaitas"/>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D7057D">
                  <w:rPr>
                    <w:rStyle w:val="Hipersaitas"/>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D7057D">
                  <w:rPr>
                    <w:rStyle w:val="Hipersaitas"/>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D7057D">
                  <w:rPr>
                    <w:rStyle w:val="Hipersaitas"/>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D7057D">
                  <w:rPr>
                    <w:rStyle w:val="Hipersaitas"/>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D7057D">
                  <w:rPr>
                    <w:rStyle w:val="Hipersaitas"/>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D7057D">
                  <w:rPr>
                    <w:rStyle w:val="Hipersaitas"/>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D7057D">
                  <w:rPr>
                    <w:rStyle w:val="Hipersaitas"/>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D7057D">
                  <w:rPr>
                    <w:rStyle w:val="Hipersaitas"/>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D7057D">
                  <w:rPr>
                    <w:rStyle w:val="Hipersaitas"/>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D7057D">
                  <w:rPr>
                    <w:rStyle w:val="Hipersaitas"/>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D7057D">
                  <w:rPr>
                    <w:rStyle w:val="Hipersaitas"/>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D7057D">
                  <w:rPr>
                    <w:rStyle w:val="Hipersaitas"/>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ipersaitas"/>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ipersaitas"/>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ipersaitas"/>
            <w:rFonts w:ascii="Times New Roman" w:hAnsi="Times New Roman" w:cs="Times New Roman"/>
            <w:color w:val="0070C0"/>
          </w:rPr>
          <w:t>http://ebvpd.eviesiejipirkimai.lt/espd-web/</w:t>
        </w:r>
      </w:hyperlink>
      <w:r w:rsidRPr="00D7057D">
        <w:rPr>
          <w:rStyle w:val="Hipersaitas"/>
          <w:rFonts w:ascii="Times New Roman" w:hAnsi="Times New Roman" w:cs="Times New Roman"/>
        </w:rPr>
        <w:t xml:space="preserve"> .</w:t>
      </w:r>
    </w:p>
    <w:p w14:paraId="3FE3D7E5" w14:textId="24ADFE02" w:rsidR="00515C55" w:rsidRPr="00D7057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D7057D">
        <w:rPr>
          <w:rFonts w:ascii="Times New Roman" w:hAnsi="Times New Roman" w:cs="Times New Roman"/>
          <w:b/>
        </w:rPr>
        <w:t>Kvazisubtiekėjas</w:t>
      </w:r>
      <w:proofErr w:type="spellEnd"/>
      <w:r w:rsidRPr="00D7057D">
        <w:rPr>
          <w:rFonts w:ascii="Times New Roman" w:hAnsi="Times New Roman" w:cs="Times New Roman"/>
          <w:b/>
        </w:rPr>
        <w:t xml:space="preserve">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Betarp"/>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Sraopastraipa"/>
        <w:spacing w:after="0" w:line="300" w:lineRule="auto"/>
        <w:ind w:left="697"/>
        <w:rPr>
          <w:rFonts w:ascii="Times New Roman" w:hAnsi="Times New Roman" w:cs="Times New Roman"/>
        </w:rPr>
      </w:pPr>
    </w:p>
    <w:p w14:paraId="5891333F" w14:textId="63F2633C" w:rsidR="003A2F4F" w:rsidRPr="00D7057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Betarp"/>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Puslapioinaosnuoroda"/>
          <w:rFonts w:ascii="Times New Roman" w:hAnsi="Times New Roman" w:cs="Times New Roman"/>
        </w:rPr>
        <w:footnoteReference w:id="2"/>
      </w:r>
    </w:p>
    <w:p w14:paraId="7EF3EEB4" w14:textId="77CACAFD" w:rsidR="001B63BA" w:rsidRPr="00D7057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w:t>
      </w:r>
      <w:proofErr w:type="spellStart"/>
      <w:r w:rsidR="00F2767B" w:rsidRPr="00D7057D">
        <w:rPr>
          <w:rFonts w:ascii="Times New Roman" w:hAnsi="Times New Roman" w:cs="Times New Roman"/>
          <w:i/>
          <w:iCs/>
        </w:rPr>
        <w:t>kvazisubtiekėjai</w:t>
      </w:r>
      <w:proofErr w:type="spellEnd"/>
      <w:r w:rsidR="00F2767B" w:rsidRPr="00D7057D">
        <w:rPr>
          <w:rFonts w:ascii="Times New Roman" w:hAnsi="Times New Roman" w:cs="Times New Roman"/>
          <w:i/>
          <w:iCs/>
        </w:rPr>
        <w:t xml:space="preserve">)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ipersaitas"/>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Sraopastraipa"/>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w:t>
      </w:r>
    </w:p>
    <w:p w14:paraId="062F5F88" w14:textId="6495D8FC" w:rsidR="002D28EF" w:rsidRPr="00D7057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w:t>
      </w:r>
      <w:proofErr w:type="spellStart"/>
      <w:r w:rsidR="005543D0" w:rsidRPr="00D7057D">
        <w:rPr>
          <w:rFonts w:ascii="Times New Roman" w:hAnsi="Times New Roman" w:cs="Times New Roman"/>
        </w:rPr>
        <w:t>kvazisubtiekėjai</w:t>
      </w:r>
      <w:proofErr w:type="spellEnd"/>
      <w:r w:rsidR="005543D0" w:rsidRPr="00D7057D">
        <w:rPr>
          <w:rFonts w:ascii="Times New Roman" w:hAnsi="Times New Roman" w:cs="Times New Roman"/>
        </w:rPr>
        <w:t>)</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Sraopastraipa"/>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Sraopastraipa"/>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Sraopastraipa"/>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Sraopastraipa"/>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ipersaitas"/>
            <w:rFonts w:ascii="Times New Roman" w:hAnsi="Times New Roman" w:cs="Times New Roman"/>
            <w:b/>
            <w:bCs/>
          </w:rPr>
          <w:t>ČIA</w:t>
        </w:r>
      </w:hyperlink>
      <w:r w:rsidR="00BB3788" w:rsidRPr="00D7057D">
        <w:rPr>
          <w:rStyle w:val="Puslapioinaosnuoroda"/>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Puslapioinaosnuoroda"/>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Puslapioinaosnuoroda"/>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Sraopastraipa"/>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Sraopastraipa"/>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Sraopastraipa"/>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Sraopastraipa"/>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6B82" w14:textId="77777777" w:rsidR="00037C84" w:rsidRDefault="00037C84" w:rsidP="00D05666">
      <w:r>
        <w:separator/>
      </w:r>
    </w:p>
  </w:endnote>
  <w:endnote w:type="continuationSeparator" w:id="0">
    <w:p w14:paraId="3617DA0C" w14:textId="77777777" w:rsidR="00037C84" w:rsidRDefault="00037C84" w:rsidP="00D05666">
      <w:r>
        <w:continuationSeparator/>
      </w:r>
    </w:p>
  </w:endnote>
  <w:endnote w:type="continuationNotice" w:id="1">
    <w:p w14:paraId="5826DDA5" w14:textId="77777777" w:rsidR="00037C84" w:rsidRDefault="00037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0C78" w14:textId="77777777" w:rsidR="00037C84" w:rsidRDefault="00037C84" w:rsidP="00D05666">
      <w:r>
        <w:separator/>
      </w:r>
    </w:p>
  </w:footnote>
  <w:footnote w:type="continuationSeparator" w:id="0">
    <w:p w14:paraId="40294A4F" w14:textId="77777777" w:rsidR="00037C84" w:rsidRDefault="00037C84" w:rsidP="00D05666">
      <w:r>
        <w:continuationSeparator/>
      </w:r>
    </w:p>
  </w:footnote>
  <w:footnote w:type="continuationNotice" w:id="1">
    <w:p w14:paraId="2DAE5C2C" w14:textId="77777777" w:rsidR="00037C84" w:rsidRDefault="00037C8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C84"/>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2ECE"/>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2F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BBB"/>
    <w:rsid w:val="008E1FC2"/>
    <w:rsid w:val="008E2035"/>
    <w:rsid w:val="008E3081"/>
    <w:rsid w:val="008E31B9"/>
    <w:rsid w:val="008E3EC1"/>
    <w:rsid w:val="008E4515"/>
    <w:rsid w:val="008E4A3C"/>
    <w:rsid w:val="008E532E"/>
    <w:rsid w:val="008E5EED"/>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50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71F"/>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1A1"/>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FE"/>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5F2ECE"/>
    <w:rsid w:val="006A23CE"/>
    <w:rsid w:val="006B5500"/>
    <w:rsid w:val="008532F0"/>
    <w:rsid w:val="008641DC"/>
    <w:rsid w:val="008E5EED"/>
    <w:rsid w:val="00902E29"/>
    <w:rsid w:val="00951837"/>
    <w:rsid w:val="00A03438"/>
    <w:rsid w:val="00A7767E"/>
    <w:rsid w:val="00A8439B"/>
    <w:rsid w:val="00AC5AA8"/>
    <w:rsid w:val="00B643E0"/>
    <w:rsid w:val="00BF2A58"/>
    <w:rsid w:val="00C05394"/>
    <w:rsid w:val="00C413DC"/>
    <w:rsid w:val="00C8490D"/>
    <w:rsid w:val="00CA42B0"/>
    <w:rsid w:val="00CF63A1"/>
    <w:rsid w:val="00D413D5"/>
    <w:rsid w:val="00D62AFB"/>
    <w:rsid w:val="00E041FF"/>
    <w:rsid w:val="00E5724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6</cp:revision>
  <dcterms:created xsi:type="dcterms:W3CDTF">2024-11-27T12:11:00Z</dcterms:created>
  <dcterms:modified xsi:type="dcterms:W3CDTF">2025-07-02T06:04:00Z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