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FFEABE1" w:rsidR="00313183" w:rsidRPr="00F14B7A" w:rsidRDefault="00D4547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4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MODULINIS PACIENTO STEBĖJIMO MONITORIUS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85A8C62" w14:textId="77777777" w:rsidR="00D45478" w:rsidRPr="00F14B7A" w:rsidRDefault="00D45478" w:rsidP="00D45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4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MODULINIS PACIENTO STEBĖJIMO MONITORIUS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76"/>
        <w:gridCol w:w="2651"/>
        <w:gridCol w:w="3058"/>
        <w:gridCol w:w="3333"/>
      </w:tblGrid>
      <w:tr w:rsidR="00D45478" w:rsidRPr="000D58A7" w14:paraId="67BF5EF2" w14:textId="77777777" w:rsidTr="00D45478">
        <w:trPr>
          <w:trHeight w:val="789"/>
        </w:trPr>
        <w:tc>
          <w:tcPr>
            <w:tcW w:w="876" w:type="dxa"/>
          </w:tcPr>
          <w:p w14:paraId="0EC9B64C" w14:textId="1AF88D71" w:rsidR="00D45478" w:rsidRPr="000D58A7" w:rsidRDefault="00D45478" w:rsidP="00D454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651" w:type="dxa"/>
          </w:tcPr>
          <w:p w14:paraId="6B6344AB" w14:textId="52E1540E" w:rsidR="00D45478" w:rsidRPr="000D58A7" w:rsidRDefault="00D45478" w:rsidP="00D454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</w:t>
            </w:r>
          </w:p>
        </w:tc>
        <w:tc>
          <w:tcPr>
            <w:tcW w:w="3058" w:type="dxa"/>
          </w:tcPr>
          <w:p w14:paraId="5A4E43C3" w14:textId="3E127F86" w:rsidR="00D45478" w:rsidRPr="000D58A7" w:rsidRDefault="00D45478" w:rsidP="00D45478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Reikalaujamos parametrų reikšmės</w:t>
            </w:r>
          </w:p>
        </w:tc>
        <w:tc>
          <w:tcPr>
            <w:tcW w:w="3333" w:type="dxa"/>
          </w:tcPr>
          <w:p w14:paraId="078A828F" w14:textId="579E339C" w:rsidR="00D45478" w:rsidRPr="000D58A7" w:rsidRDefault="00D45478" w:rsidP="00D45478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D45478" w:rsidRPr="000D58A7" w14:paraId="7CB73694" w14:textId="77777777" w:rsidTr="00D45478">
        <w:tc>
          <w:tcPr>
            <w:tcW w:w="876" w:type="dxa"/>
          </w:tcPr>
          <w:p w14:paraId="34FC021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51" w:type="dxa"/>
          </w:tcPr>
          <w:p w14:paraId="42E9D991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  <w:b/>
                <w:bCs/>
              </w:rPr>
              <w:t>Modulinis paciento stebėjimo monitorius (prie RITS lovų; skirta sujungti į vieną sistemą) (kiekis – 25 vnt.)</w:t>
            </w:r>
          </w:p>
        </w:tc>
        <w:tc>
          <w:tcPr>
            <w:tcW w:w="3058" w:type="dxa"/>
          </w:tcPr>
          <w:p w14:paraId="204C7103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333" w:type="dxa"/>
          </w:tcPr>
          <w:p w14:paraId="2F9831B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4CE41D8B" w14:textId="77777777" w:rsidTr="00D45478">
        <w:tc>
          <w:tcPr>
            <w:tcW w:w="876" w:type="dxa"/>
          </w:tcPr>
          <w:p w14:paraId="1BB5BF7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51" w:type="dxa"/>
          </w:tcPr>
          <w:p w14:paraId="267EB05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058" w:type="dxa"/>
          </w:tcPr>
          <w:p w14:paraId="6540B6DA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Modulinis paciento gyvybinių funkcijų monitorius su galimybe praplėsti matavimų spektrą ateityje, tinkamas įvairaus amžiaus grupėms</w:t>
            </w:r>
          </w:p>
        </w:tc>
        <w:tc>
          <w:tcPr>
            <w:tcW w:w="3333" w:type="dxa"/>
          </w:tcPr>
          <w:p w14:paraId="7EB3A59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3843C960" w14:textId="77777777" w:rsidTr="00D45478">
        <w:tc>
          <w:tcPr>
            <w:tcW w:w="876" w:type="dxa"/>
          </w:tcPr>
          <w:p w14:paraId="664E443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51" w:type="dxa"/>
          </w:tcPr>
          <w:p w14:paraId="639C19A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Suderinamumas</w:t>
            </w:r>
          </w:p>
        </w:tc>
        <w:tc>
          <w:tcPr>
            <w:tcW w:w="3058" w:type="dxa"/>
          </w:tcPr>
          <w:p w14:paraId="7691A29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 xml:space="preserve">Visi gyvybinių funkcijų monitoriai privalo būti vieno ir to paties gamintojo. Centrinė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monitoravimo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stotelė turi būti vieno ir to paties gamintojo, bei visiškai suderinta su siūlomais moduliniais gyvybinių funkcijų monitoriais</w:t>
            </w:r>
          </w:p>
        </w:tc>
        <w:tc>
          <w:tcPr>
            <w:tcW w:w="3333" w:type="dxa"/>
          </w:tcPr>
          <w:p w14:paraId="4C176328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3209CB71" w14:textId="77777777" w:rsidTr="00D45478">
        <w:tc>
          <w:tcPr>
            <w:tcW w:w="876" w:type="dxa"/>
          </w:tcPr>
          <w:p w14:paraId="1B914B88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51" w:type="dxa"/>
          </w:tcPr>
          <w:p w14:paraId="300B6A3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Elektros maitinimo šaltinis:</w:t>
            </w:r>
          </w:p>
        </w:tc>
        <w:tc>
          <w:tcPr>
            <w:tcW w:w="3058" w:type="dxa"/>
          </w:tcPr>
          <w:p w14:paraId="40F6703C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~230 V, 50 Hz elektros tinklas</w:t>
            </w:r>
          </w:p>
        </w:tc>
        <w:tc>
          <w:tcPr>
            <w:tcW w:w="3333" w:type="dxa"/>
          </w:tcPr>
          <w:p w14:paraId="493C86B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4FDDD45D" w14:textId="77777777" w:rsidTr="00D45478">
        <w:tc>
          <w:tcPr>
            <w:tcW w:w="876" w:type="dxa"/>
          </w:tcPr>
          <w:p w14:paraId="3CCE6C2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51" w:type="dxa"/>
          </w:tcPr>
          <w:p w14:paraId="5618775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  <w:szCs w:val="24"/>
              </w:rPr>
              <w:t>Reikalavimai moduliniam paciento gyvybinių funkcijų monitoriaus konstrukcijai</w:t>
            </w:r>
          </w:p>
        </w:tc>
        <w:tc>
          <w:tcPr>
            <w:tcW w:w="3058" w:type="dxa"/>
          </w:tcPr>
          <w:p w14:paraId="03A78759" w14:textId="77777777" w:rsidR="00D45478" w:rsidRPr="000D58A7" w:rsidRDefault="00D45478" w:rsidP="00F47606">
            <w:pPr>
              <w:pStyle w:val="Porat"/>
              <w:tabs>
                <w:tab w:val="left" w:pos="227"/>
              </w:tabs>
              <w:ind w:right="87"/>
              <w:rPr>
                <w:rFonts w:ascii="Times New Roman" w:hAnsi="Times New Roman" w:cs="Times New Roman"/>
                <w:lang w:val="pt-BR"/>
              </w:rPr>
            </w:pPr>
            <w:r w:rsidRPr="000D58A7">
              <w:rPr>
                <w:rFonts w:ascii="Times New Roman" w:hAnsi="Times New Roman" w:cs="Times New Roman"/>
                <w:lang w:val="pt-BR"/>
              </w:rPr>
              <w:t>1.4.1. Monitoriaus aušinimui nenaudojami ventiliatoriai;</w:t>
            </w:r>
          </w:p>
          <w:p w14:paraId="4D001807" w14:textId="77777777" w:rsidR="00D45478" w:rsidRPr="000D58A7" w:rsidRDefault="00D45478" w:rsidP="00F47606">
            <w:pPr>
              <w:pStyle w:val="Porat"/>
              <w:tabs>
                <w:tab w:val="left" w:pos="227"/>
              </w:tabs>
              <w:ind w:right="87"/>
              <w:rPr>
                <w:rFonts w:ascii="Times New Roman" w:hAnsi="Times New Roman" w:cs="Times New Roman"/>
                <w:lang w:val="pt-BR"/>
              </w:rPr>
            </w:pPr>
            <w:r w:rsidRPr="000D58A7">
              <w:rPr>
                <w:rFonts w:ascii="Times New Roman" w:hAnsi="Times New Roman" w:cs="Times New Roman"/>
                <w:lang w:val="pt-BR"/>
              </w:rPr>
              <w:t>1.4.2. Standartinė USB jungtis ≥ 1 vnt.;</w:t>
            </w:r>
          </w:p>
          <w:p w14:paraId="17A6B550" w14:textId="77777777" w:rsidR="00D45478" w:rsidRPr="000D58A7" w:rsidRDefault="00D45478" w:rsidP="00F47606">
            <w:pPr>
              <w:pStyle w:val="Porat"/>
              <w:tabs>
                <w:tab w:val="left" w:pos="227"/>
              </w:tabs>
              <w:ind w:right="87"/>
              <w:rPr>
                <w:rFonts w:ascii="Times New Roman" w:hAnsi="Times New Roman" w:cs="Times New Roman"/>
                <w:b/>
                <w:bCs/>
              </w:rPr>
            </w:pPr>
            <w:r w:rsidRPr="000D58A7">
              <w:rPr>
                <w:rFonts w:ascii="Times New Roman" w:hAnsi="Times New Roman" w:cs="Times New Roman"/>
              </w:rPr>
              <w:lastRenderedPageBreak/>
              <w:t>1.4.3. Integruota kompiuterinio tinklo plokštė.</w:t>
            </w:r>
          </w:p>
        </w:tc>
        <w:tc>
          <w:tcPr>
            <w:tcW w:w="3333" w:type="dxa"/>
          </w:tcPr>
          <w:p w14:paraId="71867FB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23C37666" w14:textId="77777777" w:rsidTr="00D45478">
        <w:tc>
          <w:tcPr>
            <w:tcW w:w="876" w:type="dxa"/>
          </w:tcPr>
          <w:p w14:paraId="0C28C1A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51" w:type="dxa"/>
          </w:tcPr>
          <w:p w14:paraId="1299597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Reikalavimai moduliniam paciento gyvybinių funkcijų monitoriaus ekranui</w:t>
            </w:r>
          </w:p>
        </w:tc>
        <w:tc>
          <w:tcPr>
            <w:tcW w:w="3058" w:type="dxa"/>
          </w:tcPr>
          <w:p w14:paraId="200AF0FF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1.5.1. Spalvotas, LCD (arba lygiavertis), ≥ 19 colių įstrižainė;</w:t>
            </w:r>
          </w:p>
          <w:p w14:paraId="5ECC1F48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1.5.2. Sensorinis, lietimui jautrus paviršius (</w:t>
            </w:r>
            <w:proofErr w:type="spellStart"/>
            <w:r w:rsidRPr="000D58A7">
              <w:rPr>
                <w:rFonts w:ascii="Times New Roman" w:hAnsi="Times New Roman" w:cs="Times New Roman"/>
              </w:rPr>
              <w:t>Touch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8A7">
              <w:rPr>
                <w:rFonts w:ascii="Times New Roman" w:hAnsi="Times New Roman" w:cs="Times New Roman"/>
              </w:rPr>
              <w:t>Screen</w:t>
            </w:r>
            <w:proofErr w:type="spellEnd"/>
            <w:r w:rsidRPr="000D58A7">
              <w:rPr>
                <w:rFonts w:ascii="Times New Roman" w:hAnsi="Times New Roman" w:cs="Times New Roman"/>
              </w:rPr>
              <w:t>);</w:t>
            </w:r>
          </w:p>
          <w:p w14:paraId="57D8F348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1.5.3. Skiriamoji geba ≥ (1280 x 1024) taškų;</w:t>
            </w:r>
          </w:p>
          <w:p w14:paraId="38FA011A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1.5.4. Maksimalus galimas skirtingų parametrų kreivių skaičius ekrane vienu metu ≥ 6;</w:t>
            </w:r>
          </w:p>
          <w:p w14:paraId="6A090428" w14:textId="77777777" w:rsidR="00D45478" w:rsidRPr="000D58A7" w:rsidRDefault="00D45478" w:rsidP="00F4760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 xml:space="preserve">1.5.5. Maksimalus registruojamas EKG kreivių (I, II, III, </w:t>
            </w:r>
            <w:proofErr w:type="spellStart"/>
            <w:r w:rsidRPr="000D58A7">
              <w:rPr>
                <w:rFonts w:ascii="Times New Roman" w:hAnsi="Times New Roman" w:cs="Times New Roman"/>
              </w:rPr>
              <w:t>aVR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8A7">
              <w:rPr>
                <w:rFonts w:ascii="Times New Roman" w:hAnsi="Times New Roman" w:cs="Times New Roman"/>
              </w:rPr>
              <w:t>aVL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8A7">
              <w:rPr>
                <w:rFonts w:ascii="Times New Roman" w:hAnsi="Times New Roman" w:cs="Times New Roman"/>
              </w:rPr>
              <w:t>aVF</w:t>
            </w:r>
            <w:proofErr w:type="spellEnd"/>
            <w:r w:rsidRPr="000D58A7">
              <w:rPr>
                <w:rFonts w:ascii="Times New Roman" w:hAnsi="Times New Roman" w:cs="Times New Roman"/>
              </w:rPr>
              <w:t>, V1-V6) skaičius ≥ 12</w:t>
            </w:r>
          </w:p>
        </w:tc>
        <w:tc>
          <w:tcPr>
            <w:tcW w:w="3333" w:type="dxa"/>
          </w:tcPr>
          <w:p w14:paraId="76F157D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4ED35C86" w14:textId="77777777" w:rsidTr="00D45478">
        <w:tc>
          <w:tcPr>
            <w:tcW w:w="876" w:type="dxa"/>
          </w:tcPr>
          <w:p w14:paraId="1CA1EFD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51" w:type="dxa"/>
          </w:tcPr>
          <w:p w14:paraId="0B79C05A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Modulinio pacientų gyvybinių funkcijų monitoriaus matuojamų parametrų atmintis</w:t>
            </w:r>
          </w:p>
        </w:tc>
        <w:tc>
          <w:tcPr>
            <w:tcW w:w="3058" w:type="dxa"/>
          </w:tcPr>
          <w:p w14:paraId="58D5029A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Atminties trukmė ≥ 72 val. grafinės ir skaitmeninės informacijos</w:t>
            </w:r>
          </w:p>
        </w:tc>
        <w:tc>
          <w:tcPr>
            <w:tcW w:w="3333" w:type="dxa"/>
          </w:tcPr>
          <w:p w14:paraId="7ED1B9D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69D86F28" w14:textId="77777777" w:rsidTr="00D45478">
        <w:tc>
          <w:tcPr>
            <w:tcW w:w="876" w:type="dxa"/>
          </w:tcPr>
          <w:p w14:paraId="1D915E6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651" w:type="dxa"/>
          </w:tcPr>
          <w:p w14:paraId="6CDFEB43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Įvykių išsaugojimas atmintyje</w:t>
            </w:r>
          </w:p>
        </w:tc>
        <w:tc>
          <w:tcPr>
            <w:tcW w:w="3058" w:type="dxa"/>
          </w:tcPr>
          <w:p w14:paraId="6551529D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1.7.1. Rankinis įvykio išsaugojimas;</w:t>
            </w:r>
          </w:p>
          <w:p w14:paraId="7BDB32D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1.7.2. Automatinis įvykio fiksavimas aliarmo metu.</w:t>
            </w:r>
          </w:p>
        </w:tc>
        <w:tc>
          <w:tcPr>
            <w:tcW w:w="3333" w:type="dxa"/>
          </w:tcPr>
          <w:p w14:paraId="2339575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09A36BB5" w14:textId="77777777" w:rsidTr="00D45478">
        <w:tc>
          <w:tcPr>
            <w:tcW w:w="876" w:type="dxa"/>
          </w:tcPr>
          <w:p w14:paraId="2F2D4778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51" w:type="dxa"/>
          </w:tcPr>
          <w:p w14:paraId="771B9CA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Mobilus (transportinis) gyvybinių funkcijų matavimo modulis (kiekis - 6 vnt.)</w:t>
            </w:r>
          </w:p>
        </w:tc>
        <w:tc>
          <w:tcPr>
            <w:tcW w:w="3058" w:type="dxa"/>
          </w:tcPr>
          <w:p w14:paraId="7956DA7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Būtinas. Modulis tvirtinamas išorinėje tvirtinimo stotelėje arba integruotas moduliniame paciento gyvybinių funkcijų monitoriuje</w:t>
            </w:r>
          </w:p>
        </w:tc>
        <w:tc>
          <w:tcPr>
            <w:tcW w:w="3333" w:type="dxa"/>
          </w:tcPr>
          <w:p w14:paraId="1407C87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2E31D6FC" w14:textId="77777777" w:rsidTr="00D45478">
        <w:tc>
          <w:tcPr>
            <w:tcW w:w="876" w:type="dxa"/>
          </w:tcPr>
          <w:p w14:paraId="5D67C1B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51" w:type="dxa"/>
          </w:tcPr>
          <w:p w14:paraId="7080585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Mobilaus (transportinio) gyvybinių funkcijų matavimo modulio ekranas</w:t>
            </w:r>
          </w:p>
        </w:tc>
        <w:tc>
          <w:tcPr>
            <w:tcW w:w="3058" w:type="dxa"/>
          </w:tcPr>
          <w:p w14:paraId="06C9AB92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1.9.1. Spalvoto vaizdo, jautrus lietimui (</w:t>
            </w:r>
            <w:proofErr w:type="spellStart"/>
            <w:r w:rsidRPr="000D58A7">
              <w:rPr>
                <w:rFonts w:ascii="Times New Roman" w:hAnsi="Times New Roman" w:cs="Times New Roman"/>
              </w:rPr>
              <w:t>Touch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8A7">
              <w:rPr>
                <w:rFonts w:ascii="Times New Roman" w:hAnsi="Times New Roman" w:cs="Times New Roman"/>
              </w:rPr>
              <w:t>Screen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), </w:t>
            </w:r>
          </w:p>
          <w:p w14:paraId="01C7A8BB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1.9.2. Įstrižainė ≥ 6 colių;</w:t>
            </w:r>
          </w:p>
          <w:p w14:paraId="63A0B33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1.9.3. Maksimalus galimas skirtingų parametrų kreivių skaičius ekrane vienu metu ≥ 3.</w:t>
            </w:r>
          </w:p>
        </w:tc>
        <w:tc>
          <w:tcPr>
            <w:tcW w:w="3333" w:type="dxa"/>
          </w:tcPr>
          <w:p w14:paraId="27096343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4B22C716" w14:textId="77777777" w:rsidTr="00D45478">
        <w:tc>
          <w:tcPr>
            <w:tcW w:w="876" w:type="dxa"/>
          </w:tcPr>
          <w:p w14:paraId="49114CA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51" w:type="dxa"/>
          </w:tcPr>
          <w:p w14:paraId="37B5701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Mobilaus (transportinio) gyvybinių funkcijų matavimo modulio maitinimo šaltiniai</w:t>
            </w:r>
          </w:p>
        </w:tc>
        <w:tc>
          <w:tcPr>
            <w:tcW w:w="3058" w:type="dxa"/>
          </w:tcPr>
          <w:p w14:paraId="469AE825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1.10.1. Vidinis maitinimo šaltinis (akumuliatorius); modulio veikimo laikas, maitinant iš šio šaltinio ≥ 180 min.;</w:t>
            </w:r>
          </w:p>
          <w:p w14:paraId="3FC8A49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1.10.2. Modulio akumuliatorius turi krautis, prijungus prie tvirtinimo stotelės arba įstačius į jam skirtą vietą moduliniame pacientų monitoriuje.</w:t>
            </w:r>
          </w:p>
        </w:tc>
        <w:tc>
          <w:tcPr>
            <w:tcW w:w="3333" w:type="dxa"/>
          </w:tcPr>
          <w:p w14:paraId="0F5F03D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1D04FFE0" w14:textId="77777777" w:rsidTr="00D45478">
        <w:tc>
          <w:tcPr>
            <w:tcW w:w="876" w:type="dxa"/>
          </w:tcPr>
          <w:p w14:paraId="103C867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</w:t>
            </w:r>
            <w:r w:rsidRPr="000D58A7">
              <w:rPr>
                <w:rFonts w:ascii="Times New Roman" w:hAnsi="Times New Roman" w:cs="Times New Roman"/>
                <w:lang w:val="en-GB"/>
              </w:rPr>
              <w:t>1</w:t>
            </w:r>
            <w:r w:rsidRPr="000D58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1" w:type="dxa"/>
          </w:tcPr>
          <w:p w14:paraId="7D0027AC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 xml:space="preserve">Naudojant mobilų (transportinį) gyvybinių funkcijų matavimo modulį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monitoruojami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parametrai:</w:t>
            </w:r>
          </w:p>
        </w:tc>
        <w:tc>
          <w:tcPr>
            <w:tcW w:w="3058" w:type="dxa"/>
          </w:tcPr>
          <w:p w14:paraId="09FEEF84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1.11.1. EKG (</w:t>
            </w:r>
            <w:proofErr w:type="spellStart"/>
            <w:r w:rsidRPr="000D58A7">
              <w:rPr>
                <w:rFonts w:ascii="Times New Roman" w:hAnsi="Times New Roman" w:cs="Times New Roman"/>
              </w:rPr>
              <w:t>multiderivacinis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kanalas);</w:t>
            </w:r>
          </w:p>
          <w:p w14:paraId="14376283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1.11.2. Kvėpavimas;</w:t>
            </w:r>
          </w:p>
          <w:p w14:paraId="2BCB00FA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1.11.3. Širdies susitraukimų dažnis (ŠSD);</w:t>
            </w:r>
          </w:p>
          <w:p w14:paraId="25F131F1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1.11.4. Neinvazinis kraujospūdis;</w:t>
            </w:r>
          </w:p>
          <w:p w14:paraId="3115AA17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1.11.5. SpO2;</w:t>
            </w:r>
          </w:p>
          <w:p w14:paraId="272B0F65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1.11.6. </w:t>
            </w:r>
            <w:proofErr w:type="spellStart"/>
            <w:r w:rsidRPr="000D58A7">
              <w:rPr>
                <w:rFonts w:ascii="Times New Roman" w:hAnsi="Times New Roman" w:cs="Times New Roman"/>
              </w:rPr>
              <w:t>Perfuzijos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indikacija;</w:t>
            </w:r>
          </w:p>
          <w:p w14:paraId="39FA63C4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1.11.7. Širdies minutinis tūris;</w:t>
            </w:r>
          </w:p>
          <w:p w14:paraId="55D23A62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1.11.8. Temperatūra;</w:t>
            </w:r>
          </w:p>
          <w:p w14:paraId="7D1695D1" w14:textId="77777777" w:rsidR="00D45478" w:rsidRPr="000D58A7" w:rsidRDefault="00D45478" w:rsidP="00D45478">
            <w:pPr>
              <w:pStyle w:val="Sraopastraipa"/>
              <w:widowControl w:val="0"/>
              <w:numPr>
                <w:ilvl w:val="2"/>
                <w:numId w:val="25"/>
              </w:numPr>
              <w:suppressAutoHyphens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lastRenderedPageBreak/>
              <w:t>Invazinis kraujospūdis (2 – kanalai);</w:t>
            </w:r>
          </w:p>
        </w:tc>
        <w:tc>
          <w:tcPr>
            <w:tcW w:w="3333" w:type="dxa"/>
          </w:tcPr>
          <w:p w14:paraId="667E796C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3311665A" w14:textId="77777777" w:rsidTr="00D45478">
        <w:tc>
          <w:tcPr>
            <w:tcW w:w="876" w:type="dxa"/>
          </w:tcPr>
          <w:p w14:paraId="63D8ED78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51" w:type="dxa"/>
          </w:tcPr>
          <w:p w14:paraId="141AFE2C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Reikalavimai EKG/kvėpavimo kanalui:</w:t>
            </w:r>
          </w:p>
        </w:tc>
        <w:tc>
          <w:tcPr>
            <w:tcW w:w="3058" w:type="dxa"/>
          </w:tcPr>
          <w:p w14:paraId="6A958ED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333" w:type="dxa"/>
          </w:tcPr>
          <w:p w14:paraId="0695921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1DF3E1C8" w14:textId="77777777" w:rsidTr="00D45478">
        <w:tc>
          <w:tcPr>
            <w:tcW w:w="876" w:type="dxa"/>
          </w:tcPr>
          <w:p w14:paraId="3D904BC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1.12.1.</w:t>
            </w:r>
          </w:p>
        </w:tc>
        <w:tc>
          <w:tcPr>
            <w:tcW w:w="2651" w:type="dxa"/>
          </w:tcPr>
          <w:p w14:paraId="63B9181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ŠSD matavimo ribos (ne siauresnės už nurodytas)</w:t>
            </w:r>
          </w:p>
        </w:tc>
        <w:tc>
          <w:tcPr>
            <w:tcW w:w="3058" w:type="dxa"/>
          </w:tcPr>
          <w:p w14:paraId="4EDF218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20-300 k/min</w:t>
            </w:r>
          </w:p>
        </w:tc>
        <w:tc>
          <w:tcPr>
            <w:tcW w:w="3333" w:type="dxa"/>
          </w:tcPr>
          <w:p w14:paraId="6115D75C" w14:textId="77777777" w:rsidR="00D45478" w:rsidRPr="000D58A7" w:rsidRDefault="00D45478" w:rsidP="00F476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45478" w:rsidRPr="000D58A7" w14:paraId="799E2EAF" w14:textId="77777777" w:rsidTr="00D45478">
        <w:tc>
          <w:tcPr>
            <w:tcW w:w="876" w:type="dxa"/>
          </w:tcPr>
          <w:p w14:paraId="302964B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1.12.2.</w:t>
            </w:r>
          </w:p>
        </w:tc>
        <w:tc>
          <w:tcPr>
            <w:tcW w:w="2651" w:type="dxa"/>
          </w:tcPr>
          <w:p w14:paraId="3F0976A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ST segmento matavimas</w:t>
            </w:r>
          </w:p>
        </w:tc>
        <w:tc>
          <w:tcPr>
            <w:tcW w:w="3058" w:type="dxa"/>
          </w:tcPr>
          <w:p w14:paraId="6919CB0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333" w:type="dxa"/>
          </w:tcPr>
          <w:p w14:paraId="1D8E5D4E" w14:textId="77777777" w:rsidR="00D45478" w:rsidRPr="000D58A7" w:rsidRDefault="00D45478" w:rsidP="00F476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45478" w:rsidRPr="000D58A7" w14:paraId="24B37DE7" w14:textId="77777777" w:rsidTr="00D45478">
        <w:tc>
          <w:tcPr>
            <w:tcW w:w="876" w:type="dxa"/>
          </w:tcPr>
          <w:p w14:paraId="4471D60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1.12.3.</w:t>
            </w:r>
          </w:p>
        </w:tc>
        <w:tc>
          <w:tcPr>
            <w:tcW w:w="2651" w:type="dxa"/>
          </w:tcPr>
          <w:p w14:paraId="5E2BA38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 xml:space="preserve">Išplėstinis aritmijų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monitoravimas</w:t>
            </w:r>
            <w:proofErr w:type="spellEnd"/>
          </w:p>
        </w:tc>
        <w:tc>
          <w:tcPr>
            <w:tcW w:w="3058" w:type="dxa"/>
          </w:tcPr>
          <w:p w14:paraId="4B2D509A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1.12.3.1. </w:t>
            </w:r>
            <w:proofErr w:type="spellStart"/>
            <w:r w:rsidRPr="000D58A7">
              <w:rPr>
                <w:rFonts w:ascii="Times New Roman" w:hAnsi="Times New Roman" w:cs="Times New Roman"/>
              </w:rPr>
              <w:t>Asistolija</w:t>
            </w:r>
            <w:proofErr w:type="spellEnd"/>
            <w:r w:rsidRPr="000D58A7">
              <w:rPr>
                <w:rFonts w:ascii="Times New Roman" w:hAnsi="Times New Roman" w:cs="Times New Roman"/>
              </w:rPr>
              <w:t>;</w:t>
            </w:r>
          </w:p>
          <w:p w14:paraId="247A06A1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1.12.3.2. Tachikardija;</w:t>
            </w:r>
          </w:p>
          <w:p w14:paraId="785D0A6E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1.12.3.3. Bradikardija;</w:t>
            </w:r>
          </w:p>
          <w:p w14:paraId="246603CA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1.12.3.4. Pauzė;</w:t>
            </w:r>
          </w:p>
          <w:p w14:paraId="78AC3086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1.12.3.5. </w:t>
            </w:r>
            <w:proofErr w:type="spellStart"/>
            <w:r w:rsidRPr="000D58A7">
              <w:rPr>
                <w:rFonts w:ascii="Times New Roman" w:hAnsi="Times New Roman" w:cs="Times New Roman"/>
              </w:rPr>
              <w:t>Bigeminija</w:t>
            </w:r>
            <w:proofErr w:type="spellEnd"/>
            <w:r w:rsidRPr="000D58A7">
              <w:rPr>
                <w:rFonts w:ascii="Times New Roman" w:hAnsi="Times New Roman" w:cs="Times New Roman"/>
              </w:rPr>
              <w:t>;</w:t>
            </w:r>
          </w:p>
          <w:p w14:paraId="00CE8436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1.12.3.6. Prieširdžių virpėjimas;</w:t>
            </w:r>
          </w:p>
          <w:p w14:paraId="0DB2C517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1.12.3.7. Skilvelių virpėjimas;</w:t>
            </w:r>
          </w:p>
          <w:p w14:paraId="1E3FC30C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1.12.3.8. Nereguliarus ritmas;</w:t>
            </w:r>
          </w:p>
          <w:p w14:paraId="0F2A717A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1.12.3.9. Priešlaikiniai susitraukimai;</w:t>
            </w:r>
          </w:p>
          <w:p w14:paraId="6A500370" w14:textId="77777777" w:rsidR="00D45478" w:rsidRPr="000D58A7" w:rsidRDefault="00D45478" w:rsidP="00F4760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1.12.3.10. Stimuliacijos aptikimas.</w:t>
            </w:r>
          </w:p>
        </w:tc>
        <w:tc>
          <w:tcPr>
            <w:tcW w:w="3333" w:type="dxa"/>
          </w:tcPr>
          <w:p w14:paraId="1AA0C508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</w:p>
        </w:tc>
      </w:tr>
      <w:tr w:rsidR="00D45478" w:rsidRPr="000D58A7" w14:paraId="448A2F97" w14:textId="77777777" w:rsidTr="00D45478">
        <w:tc>
          <w:tcPr>
            <w:tcW w:w="876" w:type="dxa"/>
          </w:tcPr>
          <w:p w14:paraId="14F1D10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1.12.4.</w:t>
            </w:r>
          </w:p>
        </w:tc>
        <w:tc>
          <w:tcPr>
            <w:tcW w:w="2651" w:type="dxa"/>
          </w:tcPr>
          <w:p w14:paraId="1BEC9F4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Kvėpavimo dažnio matavimo ribos (ne siauresnės už nurodytas)</w:t>
            </w:r>
          </w:p>
        </w:tc>
        <w:tc>
          <w:tcPr>
            <w:tcW w:w="3058" w:type="dxa"/>
          </w:tcPr>
          <w:p w14:paraId="5FA8622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0–100 k/min</w:t>
            </w:r>
          </w:p>
        </w:tc>
        <w:tc>
          <w:tcPr>
            <w:tcW w:w="3333" w:type="dxa"/>
          </w:tcPr>
          <w:p w14:paraId="59CA64C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07348792" w14:textId="77777777" w:rsidTr="00D45478">
        <w:tc>
          <w:tcPr>
            <w:tcW w:w="876" w:type="dxa"/>
          </w:tcPr>
          <w:p w14:paraId="04509E4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1.12.5.</w:t>
            </w:r>
          </w:p>
        </w:tc>
        <w:tc>
          <w:tcPr>
            <w:tcW w:w="2651" w:type="dxa"/>
          </w:tcPr>
          <w:p w14:paraId="23D3FAC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58A7">
              <w:rPr>
                <w:rFonts w:ascii="Times New Roman" w:hAnsi="Times New Roman" w:cs="Times New Roman"/>
              </w:rPr>
              <w:t>Apnėjos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aptikimas (ne siauresnis už nurodytą)</w:t>
            </w:r>
          </w:p>
        </w:tc>
        <w:tc>
          <w:tcPr>
            <w:tcW w:w="3058" w:type="dxa"/>
          </w:tcPr>
          <w:p w14:paraId="1647A17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Būtinas, su galimybe koreguoti detekcijai skiriamą laiko intervalą 10–30 sek.</w:t>
            </w:r>
          </w:p>
        </w:tc>
        <w:tc>
          <w:tcPr>
            <w:tcW w:w="3333" w:type="dxa"/>
          </w:tcPr>
          <w:p w14:paraId="550A4CE3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</w:p>
        </w:tc>
      </w:tr>
      <w:tr w:rsidR="00D45478" w:rsidRPr="000D58A7" w14:paraId="107AB9A9" w14:textId="77777777" w:rsidTr="00D45478">
        <w:tc>
          <w:tcPr>
            <w:tcW w:w="876" w:type="dxa"/>
          </w:tcPr>
          <w:p w14:paraId="05419D1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51" w:type="dxa"/>
          </w:tcPr>
          <w:p w14:paraId="413560C3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Reikalavimai SpO2 matavimo kanalui:</w:t>
            </w:r>
          </w:p>
        </w:tc>
        <w:tc>
          <w:tcPr>
            <w:tcW w:w="3058" w:type="dxa"/>
          </w:tcPr>
          <w:p w14:paraId="37CE030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333" w:type="dxa"/>
          </w:tcPr>
          <w:p w14:paraId="755672B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22B2E049" w14:textId="77777777" w:rsidTr="00D45478">
        <w:tc>
          <w:tcPr>
            <w:tcW w:w="876" w:type="dxa"/>
          </w:tcPr>
          <w:p w14:paraId="4F31354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1.13.1.</w:t>
            </w:r>
          </w:p>
        </w:tc>
        <w:tc>
          <w:tcPr>
            <w:tcW w:w="2651" w:type="dxa"/>
          </w:tcPr>
          <w:p w14:paraId="2DD5B711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SpO2 matavimo ribos (ne siauresnės už nurodytas)</w:t>
            </w:r>
          </w:p>
        </w:tc>
        <w:tc>
          <w:tcPr>
            <w:tcW w:w="3058" w:type="dxa"/>
          </w:tcPr>
          <w:p w14:paraId="7ADCCB9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1-100%</w:t>
            </w:r>
          </w:p>
        </w:tc>
        <w:tc>
          <w:tcPr>
            <w:tcW w:w="3333" w:type="dxa"/>
          </w:tcPr>
          <w:p w14:paraId="037B0D1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61FBAEBA" w14:textId="77777777" w:rsidTr="00D45478">
        <w:tc>
          <w:tcPr>
            <w:tcW w:w="876" w:type="dxa"/>
          </w:tcPr>
          <w:p w14:paraId="435326B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1.13.2.</w:t>
            </w:r>
          </w:p>
        </w:tc>
        <w:tc>
          <w:tcPr>
            <w:tcW w:w="2651" w:type="dxa"/>
          </w:tcPr>
          <w:p w14:paraId="6800036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SpO2 matavimo paklaida su komplektuojamu davikliu</w:t>
            </w:r>
          </w:p>
        </w:tc>
        <w:tc>
          <w:tcPr>
            <w:tcW w:w="3058" w:type="dxa"/>
          </w:tcPr>
          <w:p w14:paraId="6390767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Ne daugiau ± 2% SpO2 (diapazone 70%-100%)</w:t>
            </w:r>
          </w:p>
        </w:tc>
        <w:tc>
          <w:tcPr>
            <w:tcW w:w="3333" w:type="dxa"/>
          </w:tcPr>
          <w:p w14:paraId="381D957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24C2804E" w14:textId="77777777" w:rsidTr="00D45478">
        <w:tc>
          <w:tcPr>
            <w:tcW w:w="876" w:type="dxa"/>
          </w:tcPr>
          <w:p w14:paraId="0F6AEDC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58A7">
              <w:rPr>
                <w:rFonts w:ascii="Times New Roman" w:hAnsi="Times New Roman" w:cs="Times New Roman"/>
              </w:rPr>
              <w:t>1.13.3.</w:t>
            </w:r>
          </w:p>
        </w:tc>
        <w:tc>
          <w:tcPr>
            <w:tcW w:w="2651" w:type="dxa"/>
          </w:tcPr>
          <w:p w14:paraId="143023AA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8A7">
              <w:rPr>
                <w:rFonts w:ascii="Times New Roman" w:hAnsi="Times New Roman" w:cs="Times New Roman"/>
              </w:rPr>
              <w:t>Pulso matavimo ribos (ne siauresnės už nurodytas)</w:t>
            </w:r>
          </w:p>
        </w:tc>
        <w:tc>
          <w:tcPr>
            <w:tcW w:w="3058" w:type="dxa"/>
          </w:tcPr>
          <w:p w14:paraId="15D4F1B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30-300 k/min.</w:t>
            </w:r>
          </w:p>
        </w:tc>
        <w:tc>
          <w:tcPr>
            <w:tcW w:w="3333" w:type="dxa"/>
          </w:tcPr>
          <w:p w14:paraId="254A0C31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57DB007C" w14:textId="77777777" w:rsidTr="00D45478">
        <w:tc>
          <w:tcPr>
            <w:tcW w:w="876" w:type="dxa"/>
          </w:tcPr>
          <w:p w14:paraId="54C0F54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51" w:type="dxa"/>
          </w:tcPr>
          <w:p w14:paraId="098E361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Reikalavimai neinvazinio kraujospūdžio matavimo kanalui:</w:t>
            </w:r>
          </w:p>
        </w:tc>
        <w:tc>
          <w:tcPr>
            <w:tcW w:w="3058" w:type="dxa"/>
          </w:tcPr>
          <w:p w14:paraId="2FBE5BB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34D12DE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308E2C03" w14:textId="77777777" w:rsidTr="00D45478">
        <w:tc>
          <w:tcPr>
            <w:tcW w:w="876" w:type="dxa"/>
          </w:tcPr>
          <w:p w14:paraId="07AE81C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1.14.1</w:t>
            </w:r>
          </w:p>
        </w:tc>
        <w:tc>
          <w:tcPr>
            <w:tcW w:w="2651" w:type="dxa"/>
          </w:tcPr>
          <w:p w14:paraId="4CB52B8C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Matavimo metodas</w:t>
            </w:r>
          </w:p>
        </w:tc>
        <w:tc>
          <w:tcPr>
            <w:tcW w:w="3058" w:type="dxa"/>
          </w:tcPr>
          <w:p w14:paraId="5D54708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58A7">
              <w:rPr>
                <w:rFonts w:ascii="Times New Roman" w:hAnsi="Times New Roman" w:cs="Times New Roman"/>
              </w:rPr>
              <w:t>Oscilometrinis</w:t>
            </w:r>
            <w:proofErr w:type="spellEnd"/>
          </w:p>
        </w:tc>
        <w:tc>
          <w:tcPr>
            <w:tcW w:w="3333" w:type="dxa"/>
          </w:tcPr>
          <w:p w14:paraId="0B6EB12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457F8965" w14:textId="77777777" w:rsidTr="00D45478">
        <w:tc>
          <w:tcPr>
            <w:tcW w:w="876" w:type="dxa"/>
          </w:tcPr>
          <w:p w14:paraId="593B2D9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1.14.2</w:t>
            </w:r>
          </w:p>
        </w:tc>
        <w:tc>
          <w:tcPr>
            <w:tcW w:w="2651" w:type="dxa"/>
          </w:tcPr>
          <w:p w14:paraId="4E50735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Matavimo ribos (ne siauresnės už nurodytas)</w:t>
            </w:r>
          </w:p>
        </w:tc>
        <w:tc>
          <w:tcPr>
            <w:tcW w:w="3058" w:type="dxa"/>
          </w:tcPr>
          <w:p w14:paraId="7F658BA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15-250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mmHg</w:t>
            </w:r>
            <w:proofErr w:type="spellEnd"/>
          </w:p>
        </w:tc>
        <w:tc>
          <w:tcPr>
            <w:tcW w:w="3333" w:type="dxa"/>
          </w:tcPr>
          <w:p w14:paraId="75AB3E3C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74BCD1A2" w14:textId="77777777" w:rsidTr="00D45478">
        <w:tc>
          <w:tcPr>
            <w:tcW w:w="876" w:type="dxa"/>
          </w:tcPr>
          <w:p w14:paraId="48C6BC6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1.14.3</w:t>
            </w:r>
          </w:p>
        </w:tc>
        <w:tc>
          <w:tcPr>
            <w:tcW w:w="2651" w:type="dxa"/>
          </w:tcPr>
          <w:p w14:paraId="0B37D8E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Darbo režimai</w:t>
            </w:r>
          </w:p>
        </w:tc>
        <w:tc>
          <w:tcPr>
            <w:tcW w:w="3058" w:type="dxa"/>
          </w:tcPr>
          <w:p w14:paraId="7887C81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Rankinis, periodinis, STAT</w:t>
            </w:r>
          </w:p>
        </w:tc>
        <w:tc>
          <w:tcPr>
            <w:tcW w:w="3333" w:type="dxa"/>
          </w:tcPr>
          <w:p w14:paraId="0C13F57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7927A3E6" w14:textId="77777777" w:rsidTr="00D45478">
        <w:tc>
          <w:tcPr>
            <w:tcW w:w="876" w:type="dxa"/>
          </w:tcPr>
          <w:p w14:paraId="0AC33A4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2651" w:type="dxa"/>
          </w:tcPr>
          <w:p w14:paraId="7E9F642C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Reikalavimai temperatūros matavimo kanalui:</w:t>
            </w:r>
          </w:p>
        </w:tc>
        <w:tc>
          <w:tcPr>
            <w:tcW w:w="3058" w:type="dxa"/>
          </w:tcPr>
          <w:p w14:paraId="43D2D688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0A7D04A3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079D053E" w14:textId="77777777" w:rsidTr="00D45478">
        <w:tc>
          <w:tcPr>
            <w:tcW w:w="876" w:type="dxa"/>
          </w:tcPr>
          <w:p w14:paraId="00C7A1B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1.15.1.</w:t>
            </w:r>
          </w:p>
        </w:tc>
        <w:tc>
          <w:tcPr>
            <w:tcW w:w="2651" w:type="dxa"/>
          </w:tcPr>
          <w:p w14:paraId="0593F0B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Temperatūros matavimo ribos (ne siauresnės už nurodytas)</w:t>
            </w:r>
          </w:p>
        </w:tc>
        <w:tc>
          <w:tcPr>
            <w:tcW w:w="3058" w:type="dxa"/>
          </w:tcPr>
          <w:p w14:paraId="1786E418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0-45°C</w:t>
            </w:r>
          </w:p>
        </w:tc>
        <w:tc>
          <w:tcPr>
            <w:tcW w:w="3333" w:type="dxa"/>
          </w:tcPr>
          <w:p w14:paraId="2CE9277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599E4A33" w14:textId="77777777" w:rsidTr="00D45478">
        <w:tc>
          <w:tcPr>
            <w:tcW w:w="876" w:type="dxa"/>
          </w:tcPr>
          <w:p w14:paraId="2DDED9D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1.15.2.</w:t>
            </w:r>
          </w:p>
        </w:tc>
        <w:tc>
          <w:tcPr>
            <w:tcW w:w="2651" w:type="dxa"/>
          </w:tcPr>
          <w:p w14:paraId="5958D1E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Temperatūros matavimo paklaida</w:t>
            </w:r>
          </w:p>
        </w:tc>
        <w:tc>
          <w:tcPr>
            <w:tcW w:w="3058" w:type="dxa"/>
          </w:tcPr>
          <w:p w14:paraId="3F7A0E0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Ne daugiau ± 0,1 °C</w:t>
            </w:r>
          </w:p>
        </w:tc>
        <w:tc>
          <w:tcPr>
            <w:tcW w:w="3333" w:type="dxa"/>
          </w:tcPr>
          <w:p w14:paraId="4878B40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5353187B" w14:textId="77777777" w:rsidTr="00D45478">
        <w:tc>
          <w:tcPr>
            <w:tcW w:w="876" w:type="dxa"/>
          </w:tcPr>
          <w:p w14:paraId="28917D71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2651" w:type="dxa"/>
          </w:tcPr>
          <w:p w14:paraId="708615A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Reikalavimai invazinio kraujospūdžio (IKS) matavimo kanalui:</w:t>
            </w:r>
          </w:p>
        </w:tc>
        <w:tc>
          <w:tcPr>
            <w:tcW w:w="3058" w:type="dxa"/>
          </w:tcPr>
          <w:p w14:paraId="62F91A41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09711C3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7B12DB2F" w14:textId="77777777" w:rsidTr="00D45478">
        <w:tc>
          <w:tcPr>
            <w:tcW w:w="876" w:type="dxa"/>
          </w:tcPr>
          <w:p w14:paraId="35DF059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1.16.1.</w:t>
            </w:r>
          </w:p>
        </w:tc>
        <w:tc>
          <w:tcPr>
            <w:tcW w:w="2651" w:type="dxa"/>
          </w:tcPr>
          <w:p w14:paraId="47E75D8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IKS matavimo ribos (ne siauresnės už nurodytas)</w:t>
            </w:r>
          </w:p>
        </w:tc>
        <w:tc>
          <w:tcPr>
            <w:tcW w:w="3058" w:type="dxa"/>
          </w:tcPr>
          <w:p w14:paraId="11FD04A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Nuo -40 iki +300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mmHg</w:t>
            </w:r>
            <w:proofErr w:type="spellEnd"/>
          </w:p>
        </w:tc>
        <w:tc>
          <w:tcPr>
            <w:tcW w:w="3333" w:type="dxa"/>
          </w:tcPr>
          <w:p w14:paraId="32A83C0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318E16D7" w14:textId="77777777" w:rsidTr="00D45478">
        <w:tc>
          <w:tcPr>
            <w:tcW w:w="876" w:type="dxa"/>
          </w:tcPr>
          <w:p w14:paraId="1D6F9EB3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1.16.2.</w:t>
            </w:r>
          </w:p>
        </w:tc>
        <w:tc>
          <w:tcPr>
            <w:tcW w:w="2651" w:type="dxa"/>
          </w:tcPr>
          <w:p w14:paraId="5E27FFFC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IKS matavimo paklaida</w:t>
            </w:r>
          </w:p>
        </w:tc>
        <w:tc>
          <w:tcPr>
            <w:tcW w:w="3058" w:type="dxa"/>
          </w:tcPr>
          <w:p w14:paraId="3F9440E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Ne daugiau ± 4% arba ± 4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mmHg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(įskaitant daviklį)</w:t>
            </w:r>
          </w:p>
        </w:tc>
        <w:tc>
          <w:tcPr>
            <w:tcW w:w="3333" w:type="dxa"/>
          </w:tcPr>
          <w:p w14:paraId="358B06B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0A901346" w14:textId="77777777" w:rsidTr="00D45478">
        <w:tc>
          <w:tcPr>
            <w:tcW w:w="876" w:type="dxa"/>
          </w:tcPr>
          <w:p w14:paraId="330F06F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lastRenderedPageBreak/>
              <w:t>1.17.</w:t>
            </w:r>
          </w:p>
        </w:tc>
        <w:tc>
          <w:tcPr>
            <w:tcW w:w="2651" w:type="dxa"/>
          </w:tcPr>
          <w:p w14:paraId="628A981A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Modulinių paciento gyvybinių funkcijų monitorių prijungimas prie centrinės stebėjimo stoties</w:t>
            </w:r>
          </w:p>
        </w:tc>
        <w:tc>
          <w:tcPr>
            <w:tcW w:w="3058" w:type="dxa"/>
          </w:tcPr>
          <w:p w14:paraId="79FA1900" w14:textId="77777777" w:rsidR="00D45478" w:rsidRPr="000D58A7" w:rsidRDefault="00D45478" w:rsidP="00F47606">
            <w:pPr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1.17.1. Moduliniai paciento gyvybinių funkcijų monitoriai turi jungtis prie komplektuojamos centrinio stebėjimo stoties laidiniu būdu (būtina standartinė RJ45 jungtis) ir perduoti į ją visus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monitoruojamus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paciento gyvybinių funkcijų parametrus;</w:t>
            </w:r>
          </w:p>
          <w:p w14:paraId="0A9E030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1.17.2. Būtina galimybė, esant poreikiui, įdiegti belaidę duomenų perdavimo technologiją.</w:t>
            </w:r>
          </w:p>
        </w:tc>
        <w:tc>
          <w:tcPr>
            <w:tcW w:w="3333" w:type="dxa"/>
          </w:tcPr>
          <w:p w14:paraId="6AE5BCF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3CD38119" w14:textId="77777777" w:rsidTr="00D45478">
        <w:tc>
          <w:tcPr>
            <w:tcW w:w="876" w:type="dxa"/>
          </w:tcPr>
          <w:p w14:paraId="5440247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51" w:type="dxa"/>
          </w:tcPr>
          <w:p w14:paraId="3BC4DB3A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  <w:b/>
                <w:bCs/>
              </w:rPr>
              <w:t>Komplektuojami monitorių priedai (nurodytas bendras priedų kiekis – visiems perkamiems monitoriams)</w:t>
            </w:r>
          </w:p>
        </w:tc>
        <w:tc>
          <w:tcPr>
            <w:tcW w:w="3058" w:type="dxa"/>
          </w:tcPr>
          <w:p w14:paraId="0A1B17AA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4C67953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04D1F0D4" w14:textId="77777777" w:rsidTr="00D45478">
        <w:tc>
          <w:tcPr>
            <w:tcW w:w="876" w:type="dxa"/>
          </w:tcPr>
          <w:p w14:paraId="190C5F1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51" w:type="dxa"/>
          </w:tcPr>
          <w:p w14:paraId="0AA7F7D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PICCO modulis su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monitoravimo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priedais</w:t>
            </w:r>
          </w:p>
        </w:tc>
        <w:tc>
          <w:tcPr>
            <w:tcW w:w="3058" w:type="dxa"/>
          </w:tcPr>
          <w:p w14:paraId="68DC368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5 vnt.</w:t>
            </w:r>
          </w:p>
        </w:tc>
        <w:tc>
          <w:tcPr>
            <w:tcW w:w="3333" w:type="dxa"/>
          </w:tcPr>
          <w:p w14:paraId="63245B5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24804BC8" w14:textId="77777777" w:rsidTr="00D45478">
        <w:tc>
          <w:tcPr>
            <w:tcW w:w="876" w:type="dxa"/>
          </w:tcPr>
          <w:p w14:paraId="0510BA0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51" w:type="dxa"/>
          </w:tcPr>
          <w:p w14:paraId="6DBD5D2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EKG elektrodų kabelis, ne mažiau kaip 3 elektrodų . </w:t>
            </w:r>
          </w:p>
        </w:tc>
        <w:tc>
          <w:tcPr>
            <w:tcW w:w="3058" w:type="dxa"/>
          </w:tcPr>
          <w:p w14:paraId="14ACA83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12 vnt.</w:t>
            </w:r>
          </w:p>
        </w:tc>
        <w:tc>
          <w:tcPr>
            <w:tcW w:w="3333" w:type="dxa"/>
          </w:tcPr>
          <w:p w14:paraId="3EBE459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773311BF" w14:textId="77777777" w:rsidTr="00D45478">
        <w:tc>
          <w:tcPr>
            <w:tcW w:w="876" w:type="dxa"/>
          </w:tcPr>
          <w:p w14:paraId="68E80BA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651" w:type="dxa"/>
          </w:tcPr>
          <w:p w14:paraId="2913D0E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EKG elektrodai (vienkartiniai)</w:t>
            </w:r>
          </w:p>
        </w:tc>
        <w:tc>
          <w:tcPr>
            <w:tcW w:w="3058" w:type="dxa"/>
          </w:tcPr>
          <w:p w14:paraId="7841C91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0D58A7">
              <w:rPr>
                <w:rFonts w:ascii="Times New Roman" w:hAnsi="Times New Roman" w:cs="Times New Roman"/>
              </w:rPr>
              <w:t>kompl</w:t>
            </w:r>
            <w:proofErr w:type="spellEnd"/>
            <w:r w:rsidRPr="000D58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3" w:type="dxa"/>
          </w:tcPr>
          <w:p w14:paraId="0ECD5B4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713A8AB6" w14:textId="77777777" w:rsidTr="00D45478">
        <w:tc>
          <w:tcPr>
            <w:tcW w:w="876" w:type="dxa"/>
          </w:tcPr>
          <w:p w14:paraId="7D3CC89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651" w:type="dxa"/>
          </w:tcPr>
          <w:p w14:paraId="1FE9358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SpO2 matavimo daviklis suaugusiems</w:t>
            </w:r>
          </w:p>
        </w:tc>
        <w:tc>
          <w:tcPr>
            <w:tcW w:w="3058" w:type="dxa"/>
          </w:tcPr>
          <w:p w14:paraId="50B77E0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0D58A7">
              <w:rPr>
                <w:rFonts w:ascii="Times New Roman" w:hAnsi="Times New Roman" w:cs="Times New Roman"/>
              </w:rPr>
              <w:t>kompl</w:t>
            </w:r>
            <w:proofErr w:type="spellEnd"/>
            <w:r w:rsidRPr="000D58A7">
              <w:rPr>
                <w:rFonts w:ascii="Times New Roman" w:hAnsi="Times New Roman" w:cs="Times New Roman"/>
              </w:rPr>
              <w:t>. (daugkartinio naudojimo, guminis, pirštinis)</w:t>
            </w:r>
          </w:p>
        </w:tc>
        <w:tc>
          <w:tcPr>
            <w:tcW w:w="3333" w:type="dxa"/>
          </w:tcPr>
          <w:p w14:paraId="2A6B4B7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  <w:tr w:rsidR="00D45478" w:rsidRPr="000D58A7" w14:paraId="46936F9E" w14:textId="77777777" w:rsidTr="00D45478">
        <w:tc>
          <w:tcPr>
            <w:tcW w:w="876" w:type="dxa"/>
          </w:tcPr>
          <w:p w14:paraId="6DE865B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651" w:type="dxa"/>
          </w:tcPr>
          <w:p w14:paraId="079247F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58A7">
              <w:rPr>
                <w:rFonts w:ascii="Times New Roman" w:hAnsi="Times New Roman" w:cs="Times New Roman"/>
              </w:rPr>
              <w:t>Manžetės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neinvazinio kraujospūdžio matavimui suaugusiems</w:t>
            </w:r>
          </w:p>
        </w:tc>
        <w:tc>
          <w:tcPr>
            <w:tcW w:w="3058" w:type="dxa"/>
          </w:tcPr>
          <w:p w14:paraId="11E0852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0D58A7">
              <w:rPr>
                <w:rFonts w:ascii="Times New Roman" w:hAnsi="Times New Roman" w:cs="Times New Roman"/>
              </w:rPr>
              <w:t>kompl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. (komplekte mažiausiai 2-jų skirtingų dydžių daugkartinio naudojimo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manžetės</w:t>
            </w:r>
            <w:proofErr w:type="spellEnd"/>
            <w:r w:rsidRPr="000D58A7">
              <w:rPr>
                <w:rFonts w:ascii="Times New Roman" w:hAnsi="Times New Roman" w:cs="Times New Roman"/>
              </w:rPr>
              <w:t>, skirtos suaugusiems (</w:t>
            </w:r>
            <w:proofErr w:type="spellStart"/>
            <w:r w:rsidRPr="000D58A7">
              <w:rPr>
                <w:rFonts w:ascii="Times New Roman" w:hAnsi="Times New Roman" w:cs="Times New Roman"/>
              </w:rPr>
              <w:t>Adult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D58A7">
              <w:rPr>
                <w:rFonts w:ascii="Times New Roman" w:hAnsi="Times New Roman" w:cs="Times New Roman"/>
              </w:rPr>
              <w:t>Large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8A7">
              <w:rPr>
                <w:rFonts w:ascii="Times New Roman" w:hAnsi="Times New Roman" w:cs="Times New Roman"/>
              </w:rPr>
              <w:t>adult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dydžio) - po 1 vnt. komplekte)</w:t>
            </w:r>
          </w:p>
        </w:tc>
        <w:tc>
          <w:tcPr>
            <w:tcW w:w="3333" w:type="dxa"/>
          </w:tcPr>
          <w:p w14:paraId="6D613DF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3C36643D" w14:textId="77777777" w:rsidTr="00D45478">
        <w:tc>
          <w:tcPr>
            <w:tcW w:w="876" w:type="dxa"/>
          </w:tcPr>
          <w:p w14:paraId="212DEB79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651" w:type="dxa"/>
          </w:tcPr>
          <w:p w14:paraId="79AF4A1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Žarnelė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manžetės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prijungimui prie monitoriaus</w:t>
            </w:r>
          </w:p>
        </w:tc>
        <w:tc>
          <w:tcPr>
            <w:tcW w:w="3058" w:type="dxa"/>
          </w:tcPr>
          <w:p w14:paraId="54BA129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 xml:space="preserve">6 vnt. (daugkartinio naudojimo, universali - techniškai suderinama su visomis komplektuojamomis </w:t>
            </w:r>
            <w:proofErr w:type="spellStart"/>
            <w:r w:rsidRPr="000D58A7">
              <w:rPr>
                <w:rFonts w:ascii="Times New Roman" w:hAnsi="Times New Roman" w:cs="Times New Roman"/>
              </w:rPr>
              <w:t>manžetėms</w:t>
            </w:r>
            <w:proofErr w:type="spellEnd"/>
            <w:r w:rsidRPr="000D58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3" w:type="dxa"/>
          </w:tcPr>
          <w:p w14:paraId="01693582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699F80FB" w14:textId="77777777" w:rsidTr="00D45478">
        <w:tc>
          <w:tcPr>
            <w:tcW w:w="876" w:type="dxa"/>
          </w:tcPr>
          <w:p w14:paraId="0DB051DB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651" w:type="dxa"/>
          </w:tcPr>
          <w:p w14:paraId="4040E765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58A7">
              <w:rPr>
                <w:rFonts w:ascii="Times New Roman" w:hAnsi="Times New Roman" w:cs="Times New Roman"/>
              </w:rPr>
              <w:t>Stemplinis</w:t>
            </w:r>
            <w:proofErr w:type="spellEnd"/>
            <w:r w:rsidRPr="000D58A7">
              <w:rPr>
                <w:rFonts w:ascii="Times New Roman" w:hAnsi="Times New Roman" w:cs="Times New Roman"/>
              </w:rPr>
              <w:t>/</w:t>
            </w:r>
            <w:proofErr w:type="spellStart"/>
            <w:r w:rsidRPr="000D58A7">
              <w:rPr>
                <w:rFonts w:ascii="Times New Roman" w:hAnsi="Times New Roman" w:cs="Times New Roman"/>
              </w:rPr>
              <w:t>rektalinis</w:t>
            </w:r>
            <w:proofErr w:type="spellEnd"/>
            <w:r w:rsidRPr="000D58A7">
              <w:rPr>
                <w:rFonts w:ascii="Times New Roman" w:hAnsi="Times New Roman" w:cs="Times New Roman"/>
              </w:rPr>
              <w:t xml:space="preserve"> temperatūros matavimo daviklis</w:t>
            </w:r>
          </w:p>
        </w:tc>
        <w:tc>
          <w:tcPr>
            <w:tcW w:w="3058" w:type="dxa"/>
          </w:tcPr>
          <w:p w14:paraId="14F9E74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6 vnt. (daugkartinio naudojimo)</w:t>
            </w:r>
          </w:p>
        </w:tc>
        <w:tc>
          <w:tcPr>
            <w:tcW w:w="3333" w:type="dxa"/>
          </w:tcPr>
          <w:p w14:paraId="522B7E7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5BB41CCB" w14:textId="77777777" w:rsidTr="00D45478">
        <w:tc>
          <w:tcPr>
            <w:tcW w:w="876" w:type="dxa"/>
          </w:tcPr>
          <w:p w14:paraId="272410A6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651" w:type="dxa"/>
          </w:tcPr>
          <w:p w14:paraId="2D9F86A0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Mobilaus (transportinio) gyvybinių funkcijų matavimo modulio tvirtinimo stotelė</w:t>
            </w:r>
          </w:p>
        </w:tc>
        <w:tc>
          <w:tcPr>
            <w:tcW w:w="3058" w:type="dxa"/>
          </w:tcPr>
          <w:p w14:paraId="5BFC6531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6 vnt.</w:t>
            </w:r>
          </w:p>
        </w:tc>
        <w:tc>
          <w:tcPr>
            <w:tcW w:w="3333" w:type="dxa"/>
          </w:tcPr>
          <w:p w14:paraId="7CC2E40F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  <w:tr w:rsidR="00D45478" w:rsidRPr="000D58A7" w14:paraId="4B5F8491" w14:textId="77777777" w:rsidTr="00D45478">
        <w:tc>
          <w:tcPr>
            <w:tcW w:w="876" w:type="dxa"/>
          </w:tcPr>
          <w:p w14:paraId="27C16FA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51" w:type="dxa"/>
          </w:tcPr>
          <w:p w14:paraId="42E49C8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Įrangai suteikiama garantija</w:t>
            </w:r>
          </w:p>
        </w:tc>
        <w:tc>
          <w:tcPr>
            <w:tcW w:w="3058" w:type="dxa"/>
          </w:tcPr>
          <w:p w14:paraId="5755B87D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</w:rPr>
            </w:pPr>
            <w:r w:rsidRPr="000D58A7">
              <w:rPr>
                <w:rFonts w:ascii="Times New Roman" w:hAnsi="Times New Roman" w:cs="Times New Roman"/>
              </w:rPr>
              <w:t>≥ 24 mėn.</w:t>
            </w:r>
          </w:p>
        </w:tc>
        <w:tc>
          <w:tcPr>
            <w:tcW w:w="3333" w:type="dxa"/>
          </w:tcPr>
          <w:p w14:paraId="0E937E43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45478" w:rsidRPr="000D58A7" w14:paraId="46A3168F" w14:textId="77777777" w:rsidTr="00D45478">
        <w:tc>
          <w:tcPr>
            <w:tcW w:w="876" w:type="dxa"/>
          </w:tcPr>
          <w:p w14:paraId="2A6D794E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51" w:type="dxa"/>
          </w:tcPr>
          <w:p w14:paraId="44D37BE1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D58A7">
              <w:rPr>
                <w:rFonts w:ascii="Times New Roman" w:hAnsi="Times New Roman" w:cs="Times New Roman"/>
              </w:rPr>
              <w:t>Pristatoma įranga paženklinta CE ženklu</w:t>
            </w:r>
          </w:p>
        </w:tc>
        <w:tc>
          <w:tcPr>
            <w:tcW w:w="3058" w:type="dxa"/>
          </w:tcPr>
          <w:p w14:paraId="004438B7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D58A7">
              <w:rPr>
                <w:rFonts w:ascii="Times New Roman" w:eastAsia="Times New Roman" w:hAnsi="Times New Roman" w:cs="Times New Roman"/>
              </w:rPr>
              <w:t>Būtina. Kartu su pasiūlymu konkursui privaloma pateikti įrangos žymėjimą CE ženklu liudijančių dokumentų (CE sertifikatų arba EB atitikties deklaracijų) kopijas.</w:t>
            </w:r>
          </w:p>
        </w:tc>
        <w:tc>
          <w:tcPr>
            <w:tcW w:w="3333" w:type="dxa"/>
          </w:tcPr>
          <w:p w14:paraId="54406D04" w14:textId="77777777" w:rsidR="00D45478" w:rsidRPr="000D58A7" w:rsidRDefault="00D45478" w:rsidP="00F47606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6A33" w14:textId="77777777" w:rsidR="00775532" w:rsidRDefault="00775532" w:rsidP="00CB257E">
      <w:pPr>
        <w:spacing w:after="0" w:line="240" w:lineRule="auto"/>
      </w:pPr>
      <w:r>
        <w:separator/>
      </w:r>
    </w:p>
  </w:endnote>
  <w:endnote w:type="continuationSeparator" w:id="0">
    <w:p w14:paraId="41BEC7A2" w14:textId="77777777" w:rsidR="00775532" w:rsidRDefault="00775532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50DE" w14:textId="77777777" w:rsidR="00775532" w:rsidRDefault="00775532" w:rsidP="00CB257E">
      <w:pPr>
        <w:spacing w:after="0" w:line="240" w:lineRule="auto"/>
      </w:pPr>
      <w:r>
        <w:separator/>
      </w:r>
    </w:p>
  </w:footnote>
  <w:footnote w:type="continuationSeparator" w:id="0">
    <w:p w14:paraId="32BAD734" w14:textId="77777777" w:rsidR="00775532" w:rsidRDefault="00775532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803DA4"/>
    <w:multiLevelType w:val="multilevel"/>
    <w:tmpl w:val="1A0C92F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3"/>
  </w:num>
  <w:num w:numId="24" w16cid:durableId="367530084">
    <w:abstractNumId w:val="10"/>
  </w:num>
  <w:num w:numId="25" w16cid:durableId="625623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0D58A7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75532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C469A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5478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4394</Words>
  <Characters>2505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2025-07-02T09:29:00Z</dcterms:modified>
</cp:coreProperties>
</file>