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75A9BD67" w:rsidR="001160AB" w:rsidRPr="00432475" w:rsidRDefault="00F457A8" w:rsidP="00A9381B">
      <w:pPr>
        <w:spacing w:line="259" w:lineRule="auto"/>
        <w:jc w:val="center"/>
        <w:rPr>
          <w:b/>
          <w:caps/>
          <w:sz w:val="20"/>
        </w:rPr>
      </w:pPr>
      <w:r>
        <w:rPr>
          <w:b/>
          <w:caps/>
          <w:sz w:val="20"/>
        </w:rPr>
        <w:t>VIENKARTINĖS PRIEMONĖS MOLEKULINIAMS TYRIMAMS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4E67393D" w:rsidR="00E04D88" w:rsidRPr="00C83F9F" w:rsidRDefault="00D11FA4" w:rsidP="00370518">
            <w:pPr>
              <w:jc w:val="center"/>
              <w:rPr>
                <w:b/>
                <w:kern w:val="2"/>
                <w:sz w:val="22"/>
                <w:szCs w:val="22"/>
              </w:rPr>
            </w:pPr>
            <w:r>
              <w:rPr>
                <w:b/>
                <w:sz w:val="22"/>
                <w:szCs w:val="22"/>
              </w:rPr>
              <w:t>Vienkartinės priemonės molekuliniams tyrimams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3285508D" w:rsidR="005A35E4" w:rsidRDefault="00D27B41" w:rsidP="005A35E4">
            <w:pPr>
              <w:autoSpaceDE w:val="0"/>
              <w:autoSpaceDN w:val="0"/>
              <w:adjustRightInd w:val="0"/>
              <w:rPr>
                <w:sz w:val="22"/>
                <w:szCs w:val="22"/>
              </w:rPr>
            </w:pPr>
            <w:r>
              <w:rPr>
                <w:sz w:val="22"/>
                <w:szCs w:val="22"/>
              </w:rPr>
              <w:t>Medicininės genetikos centro</w:t>
            </w:r>
            <w:r w:rsidRPr="001275B8">
              <w:rPr>
                <w:sz w:val="22"/>
                <w:szCs w:val="22"/>
              </w:rPr>
              <w:t xml:space="preserve"> vadybininkė </w:t>
            </w:r>
            <w:r w:rsidRPr="00D27B41">
              <w:rPr>
                <w:sz w:val="22"/>
                <w:szCs w:val="22"/>
              </w:rPr>
              <w:t xml:space="preserve">Inga Balčiūnaitė-Vilkė darbo tel.+37065210923 </w:t>
            </w:r>
            <w:proofErr w:type="spellStart"/>
            <w:r w:rsidRPr="00D27B41">
              <w:rPr>
                <w:sz w:val="22"/>
                <w:szCs w:val="22"/>
              </w:rPr>
              <w:t>el.p</w:t>
            </w:r>
            <w:proofErr w:type="spellEnd"/>
            <w:r w:rsidRPr="00D27B41">
              <w:rPr>
                <w:sz w:val="22"/>
                <w:szCs w:val="22"/>
              </w:rPr>
              <w:t xml:space="preserve">. </w:t>
            </w:r>
            <w:hyperlink r:id="rId5" w:history="1">
              <w:r w:rsidRPr="00165F8F">
                <w:rPr>
                  <w:rStyle w:val="Hipersaitas"/>
                  <w:sz w:val="22"/>
                  <w:szCs w:val="22"/>
                </w:rPr>
                <w:t>inga.vilke@kulig.lt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6694DCBA"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744809">
              <w:rPr>
                <w:kern w:val="2"/>
                <w:sz w:val="22"/>
                <w:szCs w:val="22"/>
              </w:rPr>
              <w:t>10</w:t>
            </w:r>
            <w:r w:rsidRPr="006B3D65">
              <w:rPr>
                <w:kern w:val="2"/>
                <w:sz w:val="22"/>
                <w:szCs w:val="22"/>
              </w:rPr>
              <w:t xml:space="preserve"> darbo dien</w:t>
            </w:r>
            <w:r w:rsidR="00744809">
              <w:rPr>
                <w:kern w:val="2"/>
                <w:sz w:val="22"/>
                <w:szCs w:val="22"/>
              </w:rPr>
              <w:t>ų</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Liepojos g. 4</w:t>
            </w:r>
            <w:r w:rsidR="00BF7CB6">
              <w:rPr>
                <w:kern w:val="2"/>
                <w:sz w:val="22"/>
                <w:szCs w:val="22"/>
              </w:rPr>
              <w:t>1</w:t>
            </w:r>
            <w:r w:rsidR="005F3E80" w:rsidRPr="000D629B">
              <w:rPr>
                <w:kern w:val="2"/>
                <w:sz w:val="22"/>
                <w:szCs w:val="22"/>
              </w:rPr>
              <w:t xml:space="preserve">, Klaipėda, </w:t>
            </w:r>
            <w:r w:rsidR="005F3E80" w:rsidRPr="000D629B">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5F3E80" w:rsidRPr="00874B3C" w14:paraId="4CE1832F" w14:textId="77777777" w:rsidTr="000E12A3">
        <w:trPr>
          <w:trHeight w:val="300"/>
        </w:trPr>
        <w:tc>
          <w:tcPr>
            <w:tcW w:w="2704" w:type="dxa"/>
            <w:gridSpan w:val="2"/>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19938EFF" w14:textId="59638DF9" w:rsidR="005F3E80" w:rsidRPr="00874B3C" w:rsidRDefault="005F3E80" w:rsidP="005F3E80">
            <w:pPr>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9D58A1" w:rsidRPr="00874B3C" w14:paraId="078508B8" w14:textId="77777777" w:rsidTr="000E12A3">
        <w:trPr>
          <w:trHeight w:val="300"/>
        </w:trPr>
        <w:tc>
          <w:tcPr>
            <w:tcW w:w="2704" w:type="dxa"/>
            <w:gridSpan w:val="2"/>
          </w:tcPr>
          <w:p w14:paraId="0258A447" w14:textId="77A9F81E" w:rsidR="009D58A1" w:rsidRPr="001160AB" w:rsidRDefault="009D58A1" w:rsidP="009D58A1">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7EA0D33F" w14:textId="77777777" w:rsidR="00D17A6E" w:rsidRPr="00874B3C" w:rsidRDefault="00D17A6E" w:rsidP="00D17A6E">
            <w:pPr>
              <w:jc w:val="both"/>
              <w:rPr>
                <w:kern w:val="2"/>
                <w:sz w:val="22"/>
                <w:szCs w:val="22"/>
              </w:rPr>
            </w:pPr>
            <w:r w:rsidRPr="00874B3C">
              <w:rPr>
                <w:kern w:val="2"/>
                <w:sz w:val="22"/>
                <w:szCs w:val="22"/>
              </w:rPr>
              <w:t>Netaikoma</w:t>
            </w:r>
          </w:p>
          <w:p w14:paraId="0EA53932" w14:textId="77777777" w:rsidR="00D17A6E" w:rsidRDefault="00D17A6E" w:rsidP="009D58A1">
            <w:pPr>
              <w:jc w:val="both"/>
              <w:rPr>
                <w:kern w:val="2"/>
                <w:sz w:val="22"/>
                <w:szCs w:val="22"/>
              </w:rPr>
            </w:pPr>
          </w:p>
          <w:p w14:paraId="4886D700" w14:textId="0DF909B5" w:rsidR="009D58A1" w:rsidRPr="000D629B" w:rsidRDefault="009D58A1" w:rsidP="00C9674B">
            <w:pPr>
              <w:jc w:val="both"/>
              <w:rPr>
                <w:kern w:val="2"/>
                <w:sz w:val="22"/>
                <w:szCs w:val="22"/>
              </w:rPr>
            </w:pPr>
          </w:p>
          <w:p w14:paraId="5C641BA2" w14:textId="34E45AAF" w:rsidR="009D58A1" w:rsidRPr="00874B3C" w:rsidRDefault="009D58A1" w:rsidP="009D58A1">
            <w:pPr>
              <w:jc w:val="both"/>
              <w:rPr>
                <w:color w:val="4472C4"/>
                <w:kern w:val="2"/>
                <w:sz w:val="22"/>
                <w:szCs w:val="22"/>
              </w:rPr>
            </w:pP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F15070" w:rsidRPr="00874B3C" w14:paraId="2695598A" w14:textId="77777777" w:rsidTr="000E12A3">
        <w:trPr>
          <w:trHeight w:val="300"/>
        </w:trPr>
        <w:tc>
          <w:tcPr>
            <w:tcW w:w="2704" w:type="dxa"/>
            <w:gridSpan w:val="2"/>
          </w:tcPr>
          <w:p w14:paraId="54A657B1" w14:textId="77777777" w:rsidR="00F15070" w:rsidRPr="00874B3C" w:rsidRDefault="00F15070" w:rsidP="00F15070">
            <w:pPr>
              <w:jc w:val="both"/>
              <w:rPr>
                <w:b/>
                <w:bCs/>
                <w:kern w:val="2"/>
                <w:sz w:val="22"/>
                <w:szCs w:val="22"/>
              </w:rPr>
            </w:pPr>
            <w:r w:rsidRPr="00874B3C">
              <w:rPr>
                <w:b/>
                <w:bCs/>
                <w:kern w:val="2"/>
                <w:sz w:val="22"/>
                <w:szCs w:val="22"/>
              </w:rPr>
              <w:t>6.1. Garantinis terminas</w:t>
            </w:r>
          </w:p>
        </w:tc>
        <w:tc>
          <w:tcPr>
            <w:tcW w:w="6831" w:type="dxa"/>
          </w:tcPr>
          <w:p w14:paraId="7434BF21" w14:textId="7DF56B3F" w:rsidR="00F15070" w:rsidRPr="00874B3C" w:rsidRDefault="00F15070" w:rsidP="00F15070">
            <w:pPr>
              <w:jc w:val="both"/>
              <w:rPr>
                <w:kern w:val="2"/>
                <w:sz w:val="22"/>
                <w:szCs w:val="22"/>
              </w:rPr>
            </w:pPr>
            <w:r>
              <w:rPr>
                <w:kern w:val="2"/>
                <w:sz w:val="22"/>
                <w:szCs w:val="22"/>
              </w:rPr>
              <w:t xml:space="preserve">Prekėms garantinis terminas </w:t>
            </w:r>
            <w:r w:rsidRPr="00874B3C">
              <w:rPr>
                <w:kern w:val="2"/>
                <w:sz w:val="22"/>
                <w:szCs w:val="22"/>
              </w:rPr>
              <w:t>netaikoma</w:t>
            </w:r>
            <w:r>
              <w:rPr>
                <w:kern w:val="2"/>
                <w:sz w:val="22"/>
                <w:szCs w:val="22"/>
              </w:rPr>
              <w:t xml:space="preserve">s. </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49CBAA90"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12 (dvylika) mėnesių.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w:t>
            </w:r>
            <w:r w:rsidRPr="00707F1B">
              <w:rPr>
                <w:color w:val="000000"/>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60DAD"/>
    <w:rsid w:val="00470A63"/>
    <w:rsid w:val="00483AC1"/>
    <w:rsid w:val="00496748"/>
    <w:rsid w:val="004A6CAA"/>
    <w:rsid w:val="004B13E9"/>
    <w:rsid w:val="004C5CCC"/>
    <w:rsid w:val="004C752B"/>
    <w:rsid w:val="004E2F9D"/>
    <w:rsid w:val="00500569"/>
    <w:rsid w:val="005005C4"/>
    <w:rsid w:val="005279F0"/>
    <w:rsid w:val="00527E62"/>
    <w:rsid w:val="005361D1"/>
    <w:rsid w:val="00541A46"/>
    <w:rsid w:val="005525CC"/>
    <w:rsid w:val="00555405"/>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71AB"/>
    <w:rsid w:val="006A60C5"/>
    <w:rsid w:val="006B3D65"/>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96F5D"/>
    <w:rsid w:val="009C3B1A"/>
    <w:rsid w:val="009D58A1"/>
    <w:rsid w:val="009D58F7"/>
    <w:rsid w:val="00A3442B"/>
    <w:rsid w:val="00A43E87"/>
    <w:rsid w:val="00A455A9"/>
    <w:rsid w:val="00A53D9D"/>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5E57"/>
    <w:rsid w:val="00C72257"/>
    <w:rsid w:val="00C7285A"/>
    <w:rsid w:val="00C83F9F"/>
    <w:rsid w:val="00C87FD8"/>
    <w:rsid w:val="00C91330"/>
    <w:rsid w:val="00C9674B"/>
    <w:rsid w:val="00D11FA4"/>
    <w:rsid w:val="00D124CF"/>
    <w:rsid w:val="00D149E0"/>
    <w:rsid w:val="00D17A6E"/>
    <w:rsid w:val="00D27B41"/>
    <w:rsid w:val="00D322E1"/>
    <w:rsid w:val="00D41A81"/>
    <w:rsid w:val="00D57809"/>
    <w:rsid w:val="00D94304"/>
    <w:rsid w:val="00DB0918"/>
    <w:rsid w:val="00DC0504"/>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inga.vilk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62094</Words>
  <Characters>35394</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2024-12-10T06:17:00Z</dcterms:created>
  <dcterms:modified xsi:type="dcterms:W3CDTF">2024-12-10T06:17:00Z</dcterms:modified>
</cp:coreProperties>
</file>