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12D880F2" w:rsidR="00C23778" w:rsidRPr="002C7913" w:rsidRDefault="00C23778" w:rsidP="00396C7D">
      <w:pPr>
        <w:pStyle w:val="Heading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sąlygų </w:t>
      </w:r>
      <w:r w:rsidR="00FA340F">
        <w:rPr>
          <w:rFonts w:ascii="Tahoma" w:eastAsia="Calibri" w:hAnsi="Tahoma" w:cs="Tahoma"/>
          <w:color w:val="0070C0"/>
          <w:sz w:val="22"/>
          <w:szCs w:val="22"/>
        </w:rPr>
        <w:t>9</w:t>
      </w:r>
      <w:r w:rsidRPr="002C7913">
        <w:rPr>
          <w:rFonts w:ascii="Tahoma" w:eastAsia="Calibri" w:hAnsi="Tahoma" w:cs="Tahoma"/>
          <w:color w:val="0070C0"/>
          <w:sz w:val="22"/>
          <w:szCs w:val="22"/>
        </w:rPr>
        <w:t xml:space="preserve"> 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005F1">
      <w:pPr>
        <w:pStyle w:val="Subtitle"/>
        <w:spacing w:before="120" w:after="240"/>
        <w:jc w:val="center"/>
        <w:rPr>
          <w:rFonts w:ascii="Tahoma" w:hAnsi="Tahoma" w:cs="Tahoma"/>
          <w:b/>
          <w:bCs/>
          <w:smallCaps/>
          <w:color w:val="auto"/>
          <w:sz w:val="22"/>
          <w:szCs w:val="22"/>
        </w:rPr>
      </w:pPr>
      <w:r w:rsidRPr="72C7F50C">
        <w:rPr>
          <w:rFonts w:ascii="Tahoma" w:hAnsi="Tahoma" w:cs="Tahoma"/>
          <w:b/>
          <w:bCs/>
          <w:color w:val="auto"/>
          <w:sz w:val="22"/>
          <w:szCs w:val="22"/>
        </w:rPr>
        <w:t xml:space="preserve">PASIŪLYMŲ VERTINIMO KRITERIJAI </w:t>
      </w:r>
      <w:r w:rsidR="00DA7150" w:rsidRPr="72C7F50C">
        <w:rPr>
          <w:rFonts w:ascii="Tahoma" w:hAnsi="Tahoma" w:cs="Tahoma"/>
          <w:b/>
          <w:bCs/>
          <w:color w:val="auto"/>
          <w:sz w:val="22"/>
          <w:szCs w:val="22"/>
        </w:rPr>
        <w:t>IR SĄLYGOS</w:t>
      </w:r>
    </w:p>
    <w:p w14:paraId="1BEC628F" w14:textId="77777777"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676356D" w14:textId="6844B22E"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5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50"/>
        <w:gridCol w:w="5021"/>
        <w:gridCol w:w="1559"/>
        <w:gridCol w:w="4381"/>
      </w:tblGrid>
      <w:tr w:rsidR="00C005F1" w:rsidRPr="002C7913" w14:paraId="50C4028D" w14:textId="4A8CF89E" w:rsidTr="62485809">
        <w:tc>
          <w:tcPr>
            <w:tcW w:w="993" w:type="dxa"/>
            <w:shd w:val="clear" w:color="auto" w:fill="FFC000" w:themeFill="accent4"/>
            <w:vAlign w:val="center"/>
          </w:tcPr>
          <w:p w14:paraId="3DAFFE93" w14:textId="64E198C3" w:rsidR="00C005F1" w:rsidRPr="00396C7D" w:rsidRDefault="00C005F1"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3450" w:type="dxa"/>
            <w:shd w:val="clear" w:color="auto" w:fill="FFC000" w:themeFill="accent4"/>
            <w:vAlign w:val="center"/>
          </w:tcPr>
          <w:p w14:paraId="6FEC760E" w14:textId="2E748759" w:rsidR="00C005F1" w:rsidRPr="00396C7D" w:rsidRDefault="00C005F1"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Pr>
                <w:rFonts w:ascii="Tahoma" w:eastAsia="Times New Roman" w:hAnsi="Tahoma" w:cs="Tahoma"/>
                <w:b/>
                <w:sz w:val="20"/>
                <w:szCs w:val="20"/>
              </w:rPr>
              <w:t xml:space="preserve"> / aprašymas</w:t>
            </w:r>
          </w:p>
        </w:tc>
        <w:tc>
          <w:tcPr>
            <w:tcW w:w="5021" w:type="dxa"/>
            <w:shd w:val="clear" w:color="auto" w:fill="FFC000" w:themeFill="accent4"/>
            <w:vAlign w:val="center"/>
          </w:tcPr>
          <w:p w14:paraId="5D79E0A9" w14:textId="0DA9BDA6" w:rsidR="00C005F1" w:rsidRPr="00396C7D" w:rsidRDefault="00C005F1" w:rsidP="001813F9">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559" w:type="dxa"/>
            <w:shd w:val="clear" w:color="auto" w:fill="FFC000" w:themeFill="accent4"/>
            <w:vAlign w:val="center"/>
          </w:tcPr>
          <w:p w14:paraId="27AC8AB0" w14:textId="12077FC7" w:rsidR="00C005F1" w:rsidRPr="00396C7D" w:rsidRDefault="00C005F1" w:rsidP="00396C7D">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4381" w:type="dxa"/>
            <w:shd w:val="clear" w:color="auto" w:fill="FFC000" w:themeFill="accent4"/>
            <w:vAlign w:val="center"/>
          </w:tcPr>
          <w:p w14:paraId="4921DB1A" w14:textId="7D9DD13A" w:rsidR="00C005F1" w:rsidRPr="002C7913" w:rsidRDefault="00C005F1" w:rsidP="002C7913">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r>
      <w:tr w:rsidR="00C005F1" w:rsidRPr="002C7913" w14:paraId="1C985005" w14:textId="083CCC8D" w:rsidTr="62485809">
        <w:trPr>
          <w:trHeight w:val="404"/>
        </w:trPr>
        <w:tc>
          <w:tcPr>
            <w:tcW w:w="993" w:type="dxa"/>
            <w:shd w:val="clear" w:color="auto" w:fill="E7E6E6" w:themeFill="background2"/>
            <w:vAlign w:val="center"/>
          </w:tcPr>
          <w:p w14:paraId="01A040EF" w14:textId="6478870F" w:rsidR="00C005F1" w:rsidRPr="00396C7D" w:rsidRDefault="00C005F1" w:rsidP="00C005F1">
            <w:pPr>
              <w:pStyle w:val="ListParagraph"/>
              <w:numPr>
                <w:ilvl w:val="0"/>
                <w:numId w:val="2"/>
              </w:numPr>
              <w:tabs>
                <w:tab w:val="left" w:pos="22"/>
              </w:tabs>
              <w:spacing w:after="0" w:line="240" w:lineRule="auto"/>
              <w:ind w:left="22" w:right="1633" w:firstLine="0"/>
              <w:rPr>
                <w:rFonts w:ascii="Tahoma" w:eastAsia="Times New Roman" w:hAnsi="Tahoma" w:cs="Tahoma"/>
                <w:b/>
                <w:iCs/>
                <w:sz w:val="20"/>
                <w:szCs w:val="20"/>
              </w:rPr>
            </w:pPr>
          </w:p>
        </w:tc>
        <w:tc>
          <w:tcPr>
            <w:tcW w:w="8471" w:type="dxa"/>
            <w:gridSpan w:val="2"/>
            <w:shd w:val="clear" w:color="auto" w:fill="E7E6E6" w:themeFill="background2"/>
            <w:vAlign w:val="center"/>
          </w:tcPr>
          <w:p w14:paraId="6D05E2BB" w14:textId="29D3D1EF" w:rsidR="00C005F1" w:rsidRPr="00396C7D" w:rsidRDefault="00C005F1" w:rsidP="00396C7D">
            <w:pPr>
              <w:widowControl w:val="0"/>
              <w:tabs>
                <w:tab w:val="left" w:pos="851"/>
              </w:tabs>
              <w:spacing w:after="0" w:line="240" w:lineRule="auto"/>
              <w:rPr>
                <w:rFonts w:ascii="Tahoma" w:eastAsia="Times New Roman" w:hAnsi="Tahoma" w:cs="Tahoma"/>
                <w:sz w:val="20"/>
                <w:szCs w:val="20"/>
              </w:rPr>
            </w:pPr>
            <w:r w:rsidRPr="00396C7D">
              <w:rPr>
                <w:rFonts w:ascii="Tahoma" w:eastAsia="Times New Roman" w:hAnsi="Tahoma" w:cs="Tahoma"/>
                <w:b/>
                <w:iCs/>
                <w:sz w:val="20"/>
                <w:szCs w:val="20"/>
              </w:rPr>
              <w:t>Kaina</w:t>
            </w:r>
            <w:r w:rsidR="0087776E">
              <w:rPr>
                <w:rFonts w:ascii="Tahoma" w:eastAsia="Times New Roman" w:hAnsi="Tahoma" w:cs="Tahoma"/>
                <w:b/>
                <w:iCs/>
                <w:sz w:val="20"/>
                <w:szCs w:val="20"/>
              </w:rPr>
              <w:t xml:space="preserve"> (C)</w:t>
            </w:r>
          </w:p>
        </w:tc>
        <w:tc>
          <w:tcPr>
            <w:tcW w:w="1559" w:type="dxa"/>
            <w:shd w:val="clear" w:color="auto" w:fill="E7E6E6" w:themeFill="background2"/>
            <w:vAlign w:val="center"/>
          </w:tcPr>
          <w:p w14:paraId="15D80DDB" w14:textId="779D26D0" w:rsidR="00C005F1" w:rsidRPr="00396C7D" w:rsidRDefault="00E803D1" w:rsidP="00396C7D">
            <w:pPr>
              <w:widowControl w:val="0"/>
              <w:tabs>
                <w:tab w:val="left" w:pos="851"/>
              </w:tabs>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94</w:t>
            </w:r>
          </w:p>
        </w:tc>
        <w:tc>
          <w:tcPr>
            <w:tcW w:w="4381" w:type="dxa"/>
            <w:shd w:val="clear" w:color="auto" w:fill="E7E6E6" w:themeFill="background2"/>
            <w:vAlign w:val="center"/>
          </w:tcPr>
          <w:p w14:paraId="3E043E96" w14:textId="6BB9E846" w:rsidR="00C005F1" w:rsidRPr="00396C7D" w:rsidRDefault="00C005F1" w:rsidP="0061048C">
            <w:pPr>
              <w:widowControl w:val="0"/>
              <w:tabs>
                <w:tab w:val="left" w:pos="851"/>
              </w:tabs>
              <w:spacing w:after="0" w:line="240" w:lineRule="auto"/>
              <w:jc w:val="both"/>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w:t>
            </w:r>
            <w:r w:rsidR="0061048C" w:rsidRPr="0061048C">
              <w:rPr>
                <w:rFonts w:ascii="Tahoma" w:eastAsia="Times New Roman" w:hAnsi="Tahoma" w:cs="Tahoma"/>
                <w:b/>
                <w:bCs/>
                <w:sz w:val="20"/>
                <w:szCs w:val="20"/>
              </w:rPr>
              <w:t xml:space="preserve">Specialiųjų pirkimo </w:t>
            </w:r>
            <w:r w:rsidRPr="0061048C">
              <w:rPr>
                <w:rFonts w:ascii="Tahoma" w:eastAsia="Times New Roman" w:hAnsi="Tahoma" w:cs="Tahoma"/>
                <w:b/>
                <w:bCs/>
                <w:sz w:val="20"/>
                <w:szCs w:val="20"/>
              </w:rPr>
              <w:t>sąlygų 5 priedas</w:t>
            </w:r>
            <w:r>
              <w:rPr>
                <w:rFonts w:ascii="Tahoma" w:eastAsia="Times New Roman" w:hAnsi="Tahoma" w:cs="Tahoma"/>
                <w:sz w:val="20"/>
                <w:szCs w:val="20"/>
              </w:rPr>
              <w:t>).</w:t>
            </w:r>
          </w:p>
        </w:tc>
      </w:tr>
      <w:tr w:rsidR="00C005F1" w:rsidRPr="002C7913" w14:paraId="7A98BD47" w14:textId="23E43C1B" w:rsidTr="6248580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7B6C7211" w14:textId="77777777" w:rsidR="00C005F1" w:rsidRPr="00396C7D" w:rsidRDefault="00C005F1" w:rsidP="00C005F1">
            <w:pPr>
              <w:pStyle w:val="ListParagraph"/>
              <w:widowControl w:val="0"/>
              <w:numPr>
                <w:ilvl w:val="0"/>
                <w:numId w:val="2"/>
              </w:numPr>
              <w:tabs>
                <w:tab w:val="left" w:pos="22"/>
              </w:tabs>
              <w:spacing w:after="0" w:line="240" w:lineRule="auto"/>
              <w:ind w:left="0" w:right="36" w:firstLine="0"/>
              <w:rPr>
                <w:rFonts w:ascii="Tahoma" w:eastAsia="Times New Roman" w:hAnsi="Tahoma" w:cs="Tahoma"/>
                <w:b/>
                <w:iCs/>
                <w:sz w:val="20"/>
                <w:szCs w:val="20"/>
              </w:rPr>
            </w:pPr>
          </w:p>
        </w:tc>
        <w:tc>
          <w:tcPr>
            <w:tcW w:w="1441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615CD5D" w14:textId="4C2F4BBE" w:rsidR="00E803D1" w:rsidRDefault="00C005F1" w:rsidP="001813F9">
            <w:pPr>
              <w:widowControl w:val="0"/>
              <w:tabs>
                <w:tab w:val="left" w:pos="851"/>
              </w:tabs>
              <w:spacing w:after="0" w:line="240" w:lineRule="auto"/>
              <w:rPr>
                <w:rFonts w:ascii="Tahoma" w:eastAsia="Times New Roman" w:hAnsi="Tahoma" w:cs="Tahoma"/>
                <w:b/>
                <w:bCs/>
                <w:sz w:val="20"/>
                <w:szCs w:val="20"/>
              </w:rPr>
            </w:pPr>
            <w:r w:rsidRPr="00396C7D">
              <w:rPr>
                <w:rFonts w:ascii="Tahoma" w:eastAsia="Times New Roman" w:hAnsi="Tahoma" w:cs="Tahoma"/>
                <w:b/>
                <w:bCs/>
                <w:sz w:val="20"/>
                <w:szCs w:val="20"/>
              </w:rPr>
              <w:t>Tiekėjo siūlom</w:t>
            </w:r>
            <w:r w:rsidR="00E803D1">
              <w:rPr>
                <w:rFonts w:ascii="Tahoma" w:eastAsia="Times New Roman" w:hAnsi="Tahoma" w:cs="Tahoma"/>
                <w:b/>
                <w:bCs/>
                <w:sz w:val="20"/>
                <w:szCs w:val="20"/>
              </w:rPr>
              <w:t xml:space="preserve">o </w:t>
            </w:r>
            <w:r w:rsidR="00E803D1" w:rsidRPr="00E803D1">
              <w:rPr>
                <w:rFonts w:ascii="Tahoma" w:eastAsia="Times New Roman" w:hAnsi="Tahoma" w:cs="Tahoma"/>
                <w:b/>
                <w:bCs/>
                <w:sz w:val="20"/>
                <w:szCs w:val="20"/>
              </w:rPr>
              <w:t>IT infrastruktūros architekto  papildoma patirtis</w:t>
            </w:r>
          </w:p>
          <w:p w14:paraId="5309DF2B" w14:textId="29178353" w:rsidR="00C005F1" w:rsidRPr="00396C7D" w:rsidRDefault="0087776E" w:rsidP="001813F9">
            <w:pPr>
              <w:widowControl w:val="0"/>
              <w:tabs>
                <w:tab w:val="left" w:pos="851"/>
              </w:tabs>
              <w:spacing w:after="0" w:line="240" w:lineRule="auto"/>
              <w:rPr>
                <w:rFonts w:ascii="Tahoma" w:eastAsia="Times New Roman" w:hAnsi="Tahoma" w:cs="Tahoma"/>
                <w:sz w:val="20"/>
                <w:szCs w:val="20"/>
              </w:rPr>
            </w:pPr>
            <w:r>
              <w:rPr>
                <w:rFonts w:ascii="Tahoma" w:eastAsia="Times New Roman" w:hAnsi="Tahoma" w:cs="Tahoma"/>
                <w:b/>
                <w:bCs/>
                <w:sz w:val="20"/>
                <w:szCs w:val="20"/>
              </w:rPr>
              <w:t>(P1)</w:t>
            </w:r>
            <w:r w:rsidR="00C005F1" w:rsidRPr="00396C7D">
              <w:rPr>
                <w:rFonts w:ascii="Tahoma" w:eastAsia="Times New Roman" w:hAnsi="Tahoma" w:cs="Tahoma"/>
                <w:b/>
                <w:bCs/>
                <w:sz w:val="20"/>
                <w:szCs w:val="20"/>
              </w:rPr>
              <w:t xml:space="preserve">  </w:t>
            </w:r>
          </w:p>
        </w:tc>
      </w:tr>
      <w:tr w:rsidR="00C005F1" w:rsidRPr="002C7913" w14:paraId="6EBEE63B" w14:textId="636A2EA0" w:rsidTr="62485809">
        <w:tc>
          <w:tcPr>
            <w:tcW w:w="993" w:type="dxa"/>
          </w:tcPr>
          <w:p w14:paraId="650D8956" w14:textId="1183899B" w:rsidR="00C005F1" w:rsidRPr="00396C7D" w:rsidRDefault="00C005F1" w:rsidP="00396C7D">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3450" w:type="dxa"/>
            <w:tcBorders>
              <w:bottom w:val="single" w:sz="4" w:space="0" w:color="auto"/>
            </w:tcBorders>
          </w:tcPr>
          <w:p w14:paraId="3CB3A64F" w14:textId="691F48D3" w:rsidR="00E803D1" w:rsidRPr="005B2DF2" w:rsidRDefault="00E803D1" w:rsidP="00E803D1">
            <w:pPr>
              <w:tabs>
                <w:tab w:val="left" w:pos="227"/>
              </w:tabs>
              <w:jc w:val="both"/>
              <w:rPr>
                <w:rFonts w:ascii="Tahoma" w:eastAsia="Tahoma" w:hAnsi="Tahoma" w:cs="Tahoma"/>
                <w:sz w:val="20"/>
                <w:szCs w:val="20"/>
                <w:lang w:val="en-GB"/>
              </w:rPr>
            </w:pPr>
            <w:r>
              <w:rPr>
                <w:rFonts w:ascii="Tahoma" w:eastAsia="Tahoma" w:hAnsi="Tahoma" w:cs="Tahoma"/>
                <w:sz w:val="20"/>
                <w:szCs w:val="20"/>
              </w:rPr>
              <w:t>Vertinama</w:t>
            </w:r>
            <w:r w:rsidRPr="005B2DF2">
              <w:rPr>
                <w:rFonts w:ascii="Tahoma" w:eastAsia="Tahoma" w:hAnsi="Tahoma" w:cs="Tahoma"/>
                <w:sz w:val="20"/>
                <w:szCs w:val="20"/>
              </w:rPr>
              <w:t xml:space="preserve"> tiekėjo siūlomo</w:t>
            </w:r>
            <w:r>
              <w:rPr>
                <w:rFonts w:ascii="Tahoma" w:eastAsia="Tahoma" w:hAnsi="Tahoma" w:cs="Tahoma"/>
                <w:sz w:val="20"/>
                <w:szCs w:val="20"/>
              </w:rPr>
              <w:t xml:space="preserve"> </w:t>
            </w:r>
            <w:r w:rsidRPr="004A13F5">
              <w:rPr>
                <w:rFonts w:ascii="Tahoma" w:eastAsia="Tahoma" w:hAnsi="Tahoma" w:cs="Tahoma"/>
                <w:sz w:val="20"/>
                <w:szCs w:val="20"/>
              </w:rPr>
              <w:t>IT infrastruktūros architekto</w:t>
            </w:r>
            <w:r w:rsidRPr="1F76D3A5">
              <w:rPr>
                <w:rStyle w:val="FootnoteReference"/>
                <w:rFonts w:ascii="Tahoma" w:hAnsi="Tahoma" w:cs="Tahoma"/>
                <w:sz w:val="20"/>
                <w:szCs w:val="20"/>
              </w:rPr>
              <w:footnoteReference w:id="2"/>
            </w:r>
            <w:r w:rsidRPr="006E6639">
              <w:rPr>
                <w:rFonts w:ascii="Tahoma" w:eastAsia="Times New Roman" w:hAnsi="Tahoma" w:cs="Tahoma"/>
                <w:sz w:val="20"/>
                <w:szCs w:val="20"/>
              </w:rPr>
              <w:t xml:space="preserve"> </w:t>
            </w:r>
            <w:r w:rsidRPr="005B2DF2">
              <w:rPr>
                <w:rFonts w:ascii="Tahoma" w:eastAsia="Tahoma" w:hAnsi="Tahoma" w:cs="Tahoma"/>
                <w:sz w:val="20"/>
                <w:szCs w:val="20"/>
              </w:rPr>
              <w:t xml:space="preserve"> </w:t>
            </w:r>
            <w:r>
              <w:rPr>
                <w:rFonts w:ascii="Tahoma" w:eastAsia="Tahoma" w:hAnsi="Tahoma" w:cs="Tahoma"/>
                <w:sz w:val="20"/>
                <w:szCs w:val="20"/>
              </w:rPr>
              <w:t xml:space="preserve">papildoma </w:t>
            </w:r>
            <w:r w:rsidRPr="005B2DF2">
              <w:rPr>
                <w:rFonts w:ascii="Tahoma" w:eastAsia="Tahoma" w:hAnsi="Tahoma" w:cs="Tahoma"/>
                <w:sz w:val="20"/>
                <w:szCs w:val="20"/>
              </w:rPr>
              <w:t>patirt</w:t>
            </w:r>
            <w:r>
              <w:rPr>
                <w:rFonts w:ascii="Tahoma" w:eastAsia="Tahoma" w:hAnsi="Tahoma" w:cs="Tahoma"/>
                <w:sz w:val="20"/>
                <w:szCs w:val="20"/>
              </w:rPr>
              <w:t>is</w:t>
            </w:r>
            <w:r w:rsidRPr="005B2DF2">
              <w:rPr>
                <w:rFonts w:ascii="Tahoma" w:eastAsia="Tahoma" w:hAnsi="Tahoma" w:cs="Tahoma"/>
                <w:sz w:val="20"/>
                <w:szCs w:val="20"/>
              </w:rPr>
              <w:t xml:space="preserve"> per pastaruosius </w:t>
            </w:r>
            <w:r>
              <w:rPr>
                <w:rFonts w:ascii="Tahoma" w:eastAsia="Tahoma" w:hAnsi="Tahoma" w:cs="Tahoma"/>
                <w:sz w:val="20"/>
                <w:szCs w:val="20"/>
              </w:rPr>
              <w:t>7</w:t>
            </w:r>
            <w:r w:rsidRPr="005B2DF2">
              <w:rPr>
                <w:rFonts w:ascii="Tahoma" w:eastAsia="Tahoma" w:hAnsi="Tahoma" w:cs="Tahoma"/>
                <w:b/>
                <w:bCs/>
                <w:sz w:val="20"/>
                <w:szCs w:val="20"/>
              </w:rPr>
              <w:t xml:space="preserve"> metus </w:t>
            </w:r>
            <w:r w:rsidRPr="005B2DF2">
              <w:rPr>
                <w:rFonts w:ascii="Tahoma" w:eastAsia="Tahoma" w:hAnsi="Tahoma" w:cs="Tahoma"/>
                <w:sz w:val="20"/>
                <w:szCs w:val="20"/>
              </w:rPr>
              <w:t xml:space="preserve">įgyvendinant užbaigtus </w:t>
            </w:r>
            <w:r w:rsidRPr="005B2DF2">
              <w:rPr>
                <w:rFonts w:ascii="Tahoma" w:eastAsia="Tahoma" w:hAnsi="Tahoma" w:cs="Tahoma"/>
                <w:sz w:val="20"/>
                <w:szCs w:val="20"/>
              </w:rPr>
              <w:lastRenderedPageBreak/>
              <w:t>informacinių sistemų infrastruktūros diegimo, konfigūravimo ir (arba) priežiūros projektus</w:t>
            </w:r>
            <w:r>
              <w:rPr>
                <w:rFonts w:ascii="Tahoma" w:eastAsia="Tahoma" w:hAnsi="Tahoma" w:cs="Tahoma"/>
                <w:sz w:val="20"/>
                <w:szCs w:val="20"/>
              </w:rPr>
              <w:t xml:space="preserve"> naudojant </w:t>
            </w:r>
            <w:r w:rsidRPr="005B2DF2">
              <w:rPr>
                <w:rFonts w:ascii="Tahoma" w:eastAsia="Tahoma" w:hAnsi="Tahoma" w:cs="Tahoma"/>
                <w:sz w:val="20"/>
                <w:szCs w:val="20"/>
              </w:rPr>
              <w:t>"RedHat OpenShift" ar "Kubernetes".</w:t>
            </w:r>
          </w:p>
          <w:p w14:paraId="535A89DF" w14:textId="371C7889" w:rsidR="00C005F1" w:rsidRPr="006E6639" w:rsidDel="003B7DB7" w:rsidRDefault="00C005F1" w:rsidP="1F76D3A5">
            <w:pPr>
              <w:spacing w:after="0" w:line="240" w:lineRule="auto"/>
              <w:jc w:val="both"/>
              <w:rPr>
                <w:rFonts w:ascii="Tahoma" w:eastAsia="Times New Roman" w:hAnsi="Tahoma" w:cs="Tahoma"/>
                <w:sz w:val="20"/>
                <w:szCs w:val="20"/>
              </w:rPr>
            </w:pPr>
            <w:r w:rsidRPr="006E6639">
              <w:rPr>
                <w:rFonts w:ascii="Tahoma" w:eastAsia="Times New Roman" w:hAnsi="Tahoma" w:cs="Tahoma"/>
                <w:sz w:val="20"/>
                <w:szCs w:val="20"/>
              </w:rPr>
              <w:t xml:space="preserve"> </w:t>
            </w:r>
          </w:p>
        </w:tc>
        <w:tc>
          <w:tcPr>
            <w:tcW w:w="5021" w:type="dxa"/>
            <w:tcBorders>
              <w:bottom w:val="single" w:sz="4" w:space="0" w:color="auto"/>
            </w:tcBorders>
          </w:tcPr>
          <w:p w14:paraId="189CF8D4" w14:textId="2E4E80C8" w:rsidR="0031141F" w:rsidRDefault="00E803D1" w:rsidP="00747F0A">
            <w:pPr>
              <w:widowControl w:val="0"/>
              <w:tabs>
                <w:tab w:val="left" w:pos="851"/>
              </w:tabs>
              <w:spacing w:after="0"/>
              <w:jc w:val="both"/>
              <w:rPr>
                <w:rFonts w:ascii="Tahoma" w:eastAsia="Times New Roman" w:hAnsi="Tahoma" w:cs="Tahoma"/>
                <w:sz w:val="20"/>
                <w:szCs w:val="20"/>
              </w:rPr>
            </w:pPr>
            <w:r>
              <w:rPr>
                <w:rFonts w:ascii="Tahoma" w:eastAsia="Times New Roman" w:hAnsi="Tahoma" w:cs="Tahoma"/>
                <w:b/>
                <w:bCs/>
                <w:sz w:val="20"/>
                <w:szCs w:val="20"/>
              </w:rPr>
              <w:lastRenderedPageBreak/>
              <w:t>3</w:t>
            </w:r>
            <w:r w:rsidR="00C005F1" w:rsidRPr="009464BA">
              <w:rPr>
                <w:rFonts w:ascii="Tahoma" w:eastAsia="Times New Roman" w:hAnsi="Tahoma" w:cs="Tahoma"/>
                <w:b/>
                <w:bCs/>
                <w:sz w:val="20"/>
                <w:szCs w:val="20"/>
              </w:rPr>
              <w:t xml:space="preserve"> bala</w:t>
            </w:r>
            <w:r>
              <w:rPr>
                <w:rFonts w:ascii="Tahoma" w:eastAsia="Times New Roman" w:hAnsi="Tahoma" w:cs="Tahoma"/>
                <w:b/>
                <w:bCs/>
                <w:sz w:val="20"/>
                <w:szCs w:val="20"/>
              </w:rPr>
              <w:t>i</w:t>
            </w:r>
            <w:r w:rsidR="00C005F1" w:rsidRPr="00DA098A">
              <w:rPr>
                <w:rFonts w:ascii="Tahoma" w:eastAsia="Times New Roman" w:hAnsi="Tahoma" w:cs="Tahoma"/>
                <w:sz w:val="20"/>
                <w:szCs w:val="20"/>
              </w:rPr>
              <w:t xml:space="preserve"> skiriam</w:t>
            </w:r>
            <w:r w:rsidR="0031141F">
              <w:rPr>
                <w:rFonts w:ascii="Tahoma" w:eastAsia="Times New Roman" w:hAnsi="Tahoma" w:cs="Tahoma"/>
                <w:sz w:val="20"/>
                <w:szCs w:val="20"/>
              </w:rPr>
              <w:t xml:space="preserve">i už </w:t>
            </w:r>
            <w:r w:rsidR="0031141F" w:rsidRPr="0031141F">
              <w:rPr>
                <w:rFonts w:ascii="Tahoma" w:eastAsia="Times New Roman" w:hAnsi="Tahoma" w:cs="Tahoma"/>
                <w:sz w:val="20"/>
                <w:szCs w:val="20"/>
              </w:rPr>
              <w:t xml:space="preserve">1 </w:t>
            </w:r>
            <w:r w:rsidR="0031141F">
              <w:rPr>
                <w:rFonts w:ascii="Tahoma" w:eastAsia="Times New Roman" w:hAnsi="Tahoma" w:cs="Tahoma"/>
                <w:sz w:val="20"/>
                <w:szCs w:val="20"/>
              </w:rPr>
              <w:t>įgyvendintą projektą, kuris atitinka nurodytus reikalavimus;</w:t>
            </w:r>
          </w:p>
          <w:p w14:paraId="562298C4" w14:textId="77777777" w:rsidR="0031141F" w:rsidRDefault="0031141F" w:rsidP="00747F0A">
            <w:pPr>
              <w:widowControl w:val="0"/>
              <w:tabs>
                <w:tab w:val="left" w:pos="851"/>
              </w:tabs>
              <w:spacing w:after="0"/>
              <w:jc w:val="both"/>
              <w:rPr>
                <w:rFonts w:ascii="Tahoma" w:eastAsia="Times New Roman" w:hAnsi="Tahoma" w:cs="Tahoma"/>
                <w:sz w:val="20"/>
                <w:szCs w:val="20"/>
              </w:rPr>
            </w:pPr>
          </w:p>
          <w:p w14:paraId="671667AA" w14:textId="317216A8" w:rsidR="00C005F1" w:rsidRDefault="00E803D1" w:rsidP="00747F0A">
            <w:pPr>
              <w:widowControl w:val="0"/>
              <w:tabs>
                <w:tab w:val="left" w:pos="851"/>
              </w:tabs>
              <w:spacing w:after="0"/>
              <w:jc w:val="both"/>
              <w:rPr>
                <w:rFonts w:ascii="Tahoma" w:eastAsia="Times New Roman" w:hAnsi="Tahoma" w:cs="Tahoma"/>
                <w:sz w:val="20"/>
                <w:szCs w:val="20"/>
              </w:rPr>
            </w:pPr>
            <w:r>
              <w:rPr>
                <w:rFonts w:ascii="Tahoma" w:eastAsia="Times New Roman" w:hAnsi="Tahoma" w:cs="Tahoma"/>
                <w:b/>
                <w:bCs/>
                <w:sz w:val="20"/>
                <w:szCs w:val="20"/>
              </w:rPr>
              <w:t>6</w:t>
            </w:r>
            <w:r w:rsidR="003349A6">
              <w:rPr>
                <w:rFonts w:ascii="Tahoma" w:eastAsia="Times New Roman" w:hAnsi="Tahoma" w:cs="Tahoma"/>
                <w:b/>
                <w:bCs/>
                <w:sz w:val="20"/>
                <w:szCs w:val="20"/>
              </w:rPr>
              <w:t xml:space="preserve"> </w:t>
            </w:r>
            <w:r w:rsidR="00C005F1" w:rsidRPr="009464BA">
              <w:rPr>
                <w:rFonts w:ascii="Tahoma" w:eastAsia="Times New Roman" w:hAnsi="Tahoma" w:cs="Tahoma"/>
                <w:b/>
                <w:bCs/>
                <w:sz w:val="20"/>
                <w:szCs w:val="20"/>
              </w:rPr>
              <w:t>balai</w:t>
            </w:r>
            <w:r w:rsidR="00C005F1" w:rsidRPr="00DA098A">
              <w:rPr>
                <w:rFonts w:ascii="Tahoma" w:eastAsia="Times New Roman" w:hAnsi="Tahoma" w:cs="Tahoma"/>
                <w:sz w:val="20"/>
                <w:szCs w:val="20"/>
              </w:rPr>
              <w:t xml:space="preserve"> </w:t>
            </w:r>
            <w:r w:rsidR="0031141F" w:rsidRPr="00DA098A">
              <w:rPr>
                <w:rFonts w:ascii="Tahoma" w:eastAsia="Times New Roman" w:hAnsi="Tahoma" w:cs="Tahoma"/>
                <w:sz w:val="20"/>
                <w:szCs w:val="20"/>
              </w:rPr>
              <w:t>skiriam</w:t>
            </w:r>
            <w:r w:rsidR="0031141F">
              <w:rPr>
                <w:rFonts w:ascii="Tahoma" w:eastAsia="Times New Roman" w:hAnsi="Tahoma" w:cs="Tahoma"/>
                <w:sz w:val="20"/>
                <w:szCs w:val="20"/>
              </w:rPr>
              <w:t>i už 2</w:t>
            </w:r>
            <w:r w:rsidR="0031141F" w:rsidRPr="0031141F">
              <w:rPr>
                <w:rFonts w:ascii="Tahoma" w:eastAsia="Times New Roman" w:hAnsi="Tahoma" w:cs="Tahoma"/>
                <w:sz w:val="20"/>
                <w:szCs w:val="20"/>
              </w:rPr>
              <w:t xml:space="preserve"> </w:t>
            </w:r>
            <w:r w:rsidR="0031141F">
              <w:rPr>
                <w:rFonts w:ascii="Tahoma" w:eastAsia="Times New Roman" w:hAnsi="Tahoma" w:cs="Tahoma"/>
                <w:sz w:val="20"/>
                <w:szCs w:val="20"/>
              </w:rPr>
              <w:t>įgyvendint</w:t>
            </w:r>
            <w:r w:rsidR="00524D2F">
              <w:rPr>
                <w:rFonts w:ascii="Tahoma" w:eastAsia="Times New Roman" w:hAnsi="Tahoma" w:cs="Tahoma"/>
                <w:sz w:val="20"/>
                <w:szCs w:val="20"/>
              </w:rPr>
              <w:t>us</w:t>
            </w:r>
            <w:r w:rsidR="0031141F">
              <w:rPr>
                <w:rFonts w:ascii="Tahoma" w:eastAsia="Times New Roman" w:hAnsi="Tahoma" w:cs="Tahoma"/>
                <w:sz w:val="20"/>
                <w:szCs w:val="20"/>
              </w:rPr>
              <w:t xml:space="preserve"> projekt</w:t>
            </w:r>
            <w:r w:rsidR="00524D2F">
              <w:rPr>
                <w:rFonts w:ascii="Tahoma" w:eastAsia="Times New Roman" w:hAnsi="Tahoma" w:cs="Tahoma"/>
                <w:sz w:val="20"/>
                <w:szCs w:val="20"/>
              </w:rPr>
              <w:t>us</w:t>
            </w:r>
            <w:r w:rsidR="0031141F">
              <w:rPr>
                <w:rFonts w:ascii="Tahoma" w:eastAsia="Times New Roman" w:hAnsi="Tahoma" w:cs="Tahoma"/>
                <w:sz w:val="20"/>
                <w:szCs w:val="20"/>
              </w:rPr>
              <w:t>, kuri</w:t>
            </w:r>
            <w:r w:rsidR="00524D2F">
              <w:rPr>
                <w:rFonts w:ascii="Tahoma" w:eastAsia="Times New Roman" w:hAnsi="Tahoma" w:cs="Tahoma"/>
                <w:sz w:val="20"/>
                <w:szCs w:val="20"/>
              </w:rPr>
              <w:t>e</w:t>
            </w:r>
            <w:r w:rsidR="0031141F">
              <w:rPr>
                <w:rFonts w:ascii="Tahoma" w:eastAsia="Times New Roman" w:hAnsi="Tahoma" w:cs="Tahoma"/>
                <w:sz w:val="20"/>
                <w:szCs w:val="20"/>
              </w:rPr>
              <w:t xml:space="preserve"> </w:t>
            </w:r>
            <w:r w:rsidR="0031141F">
              <w:rPr>
                <w:rFonts w:ascii="Tahoma" w:eastAsia="Times New Roman" w:hAnsi="Tahoma" w:cs="Tahoma"/>
                <w:sz w:val="20"/>
                <w:szCs w:val="20"/>
              </w:rPr>
              <w:lastRenderedPageBreak/>
              <w:t>atitinka nurodytus reikalavimus.</w:t>
            </w:r>
          </w:p>
          <w:p w14:paraId="7E037BDE" w14:textId="77777777" w:rsidR="00E803D1" w:rsidRDefault="00E803D1" w:rsidP="00747F0A">
            <w:pPr>
              <w:widowControl w:val="0"/>
              <w:tabs>
                <w:tab w:val="left" w:pos="851"/>
              </w:tabs>
              <w:spacing w:after="0"/>
              <w:jc w:val="both"/>
              <w:rPr>
                <w:rFonts w:ascii="Tahoma" w:eastAsia="Times New Roman" w:hAnsi="Tahoma" w:cs="Tahoma"/>
                <w:sz w:val="20"/>
                <w:szCs w:val="20"/>
              </w:rPr>
            </w:pPr>
          </w:p>
          <w:p w14:paraId="275C1D11" w14:textId="77777777" w:rsidR="00E803D1" w:rsidRPr="00A531DD" w:rsidRDefault="00E803D1" w:rsidP="00E803D1">
            <w:pPr>
              <w:tabs>
                <w:tab w:val="left" w:pos="212"/>
              </w:tabs>
              <w:jc w:val="both"/>
              <w:rPr>
                <w:rFonts w:ascii="Tahoma" w:eastAsia="Tahoma" w:hAnsi="Tahoma" w:cs="Tahoma"/>
                <w:b/>
                <w:bCs/>
                <w:sz w:val="20"/>
                <w:szCs w:val="20"/>
              </w:rPr>
            </w:pPr>
            <w:r w:rsidRPr="00A531DD">
              <w:rPr>
                <w:rFonts w:ascii="Tahoma" w:eastAsia="Tahoma" w:hAnsi="Tahoma" w:cs="Tahoma"/>
                <w:b/>
                <w:bCs/>
                <w:sz w:val="20"/>
                <w:szCs w:val="20"/>
              </w:rPr>
              <w:t>PASTABOS:</w:t>
            </w:r>
          </w:p>
          <w:p w14:paraId="07AAAC8B" w14:textId="77777777" w:rsidR="00E803D1" w:rsidRDefault="00E803D1" w:rsidP="00E803D1">
            <w:pPr>
              <w:pStyle w:val="ListParagraph"/>
              <w:numPr>
                <w:ilvl w:val="0"/>
                <w:numId w:val="33"/>
              </w:numPr>
              <w:tabs>
                <w:tab w:val="left" w:pos="212"/>
              </w:tabs>
              <w:spacing w:after="0"/>
              <w:ind w:left="0" w:firstLine="0"/>
              <w:contextualSpacing w:val="0"/>
              <w:jc w:val="both"/>
              <w:rPr>
                <w:rFonts w:ascii="Tahoma" w:eastAsia="Tahoma" w:hAnsi="Tahoma" w:cs="Tahoma"/>
                <w:sz w:val="20"/>
                <w:szCs w:val="20"/>
              </w:rPr>
            </w:pPr>
            <w:r w:rsidRPr="00A531DD">
              <w:rPr>
                <w:rFonts w:ascii="Tahoma" w:eastAsia="Tahoma" w:hAnsi="Tahoma" w:cs="Tahoma"/>
                <w:sz w:val="20"/>
                <w:szCs w:val="20"/>
              </w:rPr>
              <w:t>Informacinės sistemos kūrimas apima naujos informacinės sistemos ar naujo registro sukūrimą arba esamos informacinės sistemos ar registro modernizavimą, tobulinimą, plėtrą ar konfigūravimą, kai būtina sukurti naujas funkcijas arba keisti įdiegtus duomenų apdorojimo procesus. Tačiau tai neapima informacinės sistemos ar registro priežiūros ir palaikymo, kurie apima tik klaidų taisymą ir sutrikimų šalinimą.</w:t>
            </w:r>
          </w:p>
          <w:p w14:paraId="00E89AC2" w14:textId="77777777" w:rsidR="00E803D1" w:rsidRDefault="00E803D1" w:rsidP="00E803D1">
            <w:pPr>
              <w:pStyle w:val="ListParagraph"/>
              <w:numPr>
                <w:ilvl w:val="0"/>
                <w:numId w:val="33"/>
              </w:numPr>
              <w:tabs>
                <w:tab w:val="left" w:pos="212"/>
              </w:tabs>
              <w:spacing w:after="0"/>
              <w:ind w:left="0" w:firstLine="0"/>
              <w:contextualSpacing w:val="0"/>
              <w:jc w:val="both"/>
              <w:rPr>
                <w:rFonts w:ascii="Tahoma" w:eastAsia="Tahoma" w:hAnsi="Tahoma" w:cs="Tahoma"/>
                <w:sz w:val="20"/>
                <w:szCs w:val="20"/>
              </w:rPr>
            </w:pPr>
            <w:r w:rsidRPr="00E803D1">
              <w:rPr>
                <w:rFonts w:ascii="Tahoma" w:eastAsia="Tahoma" w:hAnsi="Tahoma" w:cs="Tahoma"/>
                <w:sz w:val="20"/>
                <w:szCs w:val="20"/>
              </w:rPr>
              <w:t>Jei tiekėjas remiasi ta pačia sutartimi tiek kvalifikacijai įrodyti, tiek papildomai patirčiai pagrįsti, ši sutartis nebus laikoma papildoma patirtimi ir už ją nebus skiriami vertinimo balai.</w:t>
            </w:r>
          </w:p>
          <w:p w14:paraId="536823DA" w14:textId="5D3CCF46" w:rsidR="00E803D1" w:rsidRPr="00E803D1" w:rsidDel="002211EA" w:rsidRDefault="00E803D1" w:rsidP="00E803D1">
            <w:pPr>
              <w:pStyle w:val="ListParagraph"/>
              <w:numPr>
                <w:ilvl w:val="0"/>
                <w:numId w:val="33"/>
              </w:numPr>
              <w:tabs>
                <w:tab w:val="left" w:pos="212"/>
              </w:tabs>
              <w:spacing w:after="0"/>
              <w:ind w:left="0" w:firstLine="0"/>
              <w:contextualSpacing w:val="0"/>
              <w:jc w:val="both"/>
              <w:rPr>
                <w:rFonts w:ascii="Tahoma" w:eastAsia="Tahoma" w:hAnsi="Tahoma" w:cs="Tahoma"/>
                <w:sz w:val="20"/>
                <w:szCs w:val="20"/>
              </w:rPr>
            </w:pPr>
            <w:r w:rsidRPr="00E803D1">
              <w:rPr>
                <w:rFonts w:ascii="Tahoma" w:eastAsia="Tahoma" w:hAnsi="Tahoma" w:cs="Tahoma"/>
                <w:sz w:val="20"/>
                <w:szCs w:val="20"/>
              </w:rPr>
              <w:t>Vertinamas specialistas turi būti tas pats asmuo, kuriuo tiekėjas remiasi (arba remsis) siekdamas įrodyti atitiktį Pirkimo sąlygose nustatytiems kvalifikaciniams reikalavimams, nebent numatyta kitaip arba to užtikrinti negalima, pavyzdžiui, kai vertinami papildomi ar nauji specialistai.</w:t>
            </w:r>
          </w:p>
        </w:tc>
        <w:tc>
          <w:tcPr>
            <w:tcW w:w="1559" w:type="dxa"/>
            <w:tcBorders>
              <w:bottom w:val="single" w:sz="4" w:space="0" w:color="auto"/>
            </w:tcBorders>
          </w:tcPr>
          <w:p w14:paraId="5D3434FD" w14:textId="017C0E00" w:rsidR="00C005F1" w:rsidRPr="00396C7D" w:rsidRDefault="00E803D1" w:rsidP="001813F9">
            <w:pPr>
              <w:widowControl w:val="0"/>
              <w:tabs>
                <w:tab w:val="left" w:pos="851"/>
              </w:tabs>
              <w:spacing w:after="0" w:line="240" w:lineRule="auto"/>
              <w:jc w:val="center"/>
              <w:rPr>
                <w:rFonts w:ascii="Tahoma" w:eastAsia="Times New Roman" w:hAnsi="Tahoma" w:cs="Tahoma"/>
                <w:b/>
                <w:bCs/>
                <w:color w:val="FF0000"/>
                <w:sz w:val="20"/>
                <w:szCs w:val="20"/>
              </w:rPr>
            </w:pPr>
            <w:r>
              <w:rPr>
                <w:rFonts w:ascii="Tahoma" w:eastAsia="Times New Roman" w:hAnsi="Tahoma" w:cs="Tahoma"/>
                <w:b/>
                <w:bCs/>
                <w:color w:val="FF0000"/>
                <w:sz w:val="20"/>
                <w:szCs w:val="20"/>
              </w:rPr>
              <w:lastRenderedPageBreak/>
              <w:t>6</w:t>
            </w:r>
          </w:p>
        </w:tc>
        <w:tc>
          <w:tcPr>
            <w:tcW w:w="4381" w:type="dxa"/>
            <w:tcBorders>
              <w:bottom w:val="single" w:sz="4" w:space="0" w:color="auto"/>
            </w:tcBorders>
          </w:tcPr>
          <w:p w14:paraId="359AA3AE" w14:textId="3D6D6B03" w:rsidR="0061048C" w:rsidRPr="0061048C" w:rsidRDefault="0061048C" w:rsidP="0061048C">
            <w:pPr>
              <w:pStyle w:val="ListParagraph"/>
              <w:widowControl w:val="0"/>
              <w:numPr>
                <w:ilvl w:val="0"/>
                <w:numId w:val="3"/>
              </w:numPr>
              <w:tabs>
                <w:tab w:val="left" w:pos="346"/>
                <w:tab w:val="left" w:pos="851"/>
              </w:tabs>
              <w:spacing w:after="0"/>
              <w:jc w:val="both"/>
              <w:rPr>
                <w:rFonts w:ascii="Tahoma" w:eastAsia="Times New Roman" w:hAnsi="Tahoma" w:cs="Tahoma"/>
                <w:sz w:val="20"/>
                <w:szCs w:val="20"/>
              </w:rPr>
            </w:pPr>
            <w:r w:rsidRPr="0061048C">
              <w:rPr>
                <w:rFonts w:ascii="Tahoma" w:eastAsia="Times New Roman" w:hAnsi="Tahoma" w:cs="Tahoma"/>
                <w:sz w:val="20"/>
                <w:szCs w:val="20"/>
              </w:rPr>
              <w:t>Pasiūlymo forma (</w:t>
            </w:r>
            <w:r w:rsidRPr="0061048C">
              <w:rPr>
                <w:rFonts w:ascii="Tahoma" w:eastAsia="Times New Roman" w:hAnsi="Tahoma" w:cs="Tahoma"/>
                <w:b/>
                <w:bCs/>
                <w:sz w:val="20"/>
                <w:szCs w:val="20"/>
              </w:rPr>
              <w:t>Specialiųjų pirkimo sąlygų 5 priedas</w:t>
            </w:r>
            <w:r w:rsidRPr="0061048C">
              <w:rPr>
                <w:rFonts w:ascii="Tahoma" w:eastAsia="Times New Roman" w:hAnsi="Tahoma" w:cs="Tahoma"/>
                <w:sz w:val="20"/>
                <w:szCs w:val="20"/>
              </w:rPr>
              <w:t>);</w:t>
            </w:r>
          </w:p>
          <w:p w14:paraId="523427A8" w14:textId="77777777" w:rsidR="00C005F1" w:rsidRDefault="0061048C" w:rsidP="00CB1386">
            <w:pPr>
              <w:pStyle w:val="ListParagraph"/>
              <w:widowControl w:val="0"/>
              <w:numPr>
                <w:ilvl w:val="0"/>
                <w:numId w:val="3"/>
              </w:numPr>
              <w:tabs>
                <w:tab w:val="left" w:pos="346"/>
                <w:tab w:val="left" w:pos="851"/>
              </w:tabs>
              <w:spacing w:after="0"/>
              <w:jc w:val="both"/>
              <w:rPr>
                <w:rFonts w:ascii="Tahoma" w:eastAsia="Times New Roman" w:hAnsi="Tahoma" w:cs="Tahoma"/>
                <w:sz w:val="20"/>
                <w:szCs w:val="20"/>
              </w:rPr>
            </w:pPr>
            <w:r w:rsidRPr="0061048C">
              <w:rPr>
                <w:rFonts w:ascii="Tahoma" w:eastAsia="Times New Roman" w:hAnsi="Tahoma" w:cs="Tahoma"/>
                <w:sz w:val="20"/>
                <w:szCs w:val="20"/>
              </w:rPr>
              <w:t>Specialistų sąrašas ir kokybinių vertinimo kriterijų atitikties pažyma (</w:t>
            </w:r>
            <w:r w:rsidRPr="0061048C">
              <w:rPr>
                <w:rFonts w:ascii="Tahoma" w:eastAsia="Times New Roman" w:hAnsi="Tahoma" w:cs="Tahoma"/>
                <w:b/>
                <w:bCs/>
                <w:sz w:val="20"/>
                <w:szCs w:val="20"/>
              </w:rPr>
              <w:t xml:space="preserve">Specialiųjų </w:t>
            </w:r>
            <w:r w:rsidRPr="0061048C">
              <w:rPr>
                <w:rFonts w:ascii="Tahoma" w:eastAsia="Times New Roman" w:hAnsi="Tahoma" w:cs="Tahoma"/>
                <w:b/>
                <w:bCs/>
                <w:sz w:val="20"/>
                <w:szCs w:val="20"/>
              </w:rPr>
              <w:lastRenderedPageBreak/>
              <w:t>pirkimo sąlygų 15 priedas</w:t>
            </w:r>
            <w:r w:rsidRPr="0061048C">
              <w:rPr>
                <w:rFonts w:ascii="Tahoma" w:eastAsia="Times New Roman" w:hAnsi="Tahoma" w:cs="Tahoma"/>
                <w:sz w:val="20"/>
                <w:szCs w:val="20"/>
              </w:rPr>
              <w:t>)</w:t>
            </w:r>
            <w:r w:rsidR="00E803D1">
              <w:rPr>
                <w:rFonts w:ascii="Tahoma" w:eastAsia="Times New Roman" w:hAnsi="Tahoma" w:cs="Tahoma"/>
                <w:sz w:val="20"/>
                <w:szCs w:val="20"/>
              </w:rPr>
              <w:t>;</w:t>
            </w:r>
          </w:p>
          <w:p w14:paraId="2C860C74" w14:textId="35E24B59" w:rsidR="00E803D1" w:rsidRPr="00CB1386" w:rsidRDefault="00E803D1" w:rsidP="00CB1386">
            <w:pPr>
              <w:pStyle w:val="ListParagraph"/>
              <w:widowControl w:val="0"/>
              <w:numPr>
                <w:ilvl w:val="0"/>
                <w:numId w:val="3"/>
              </w:numPr>
              <w:tabs>
                <w:tab w:val="left" w:pos="346"/>
                <w:tab w:val="left" w:pos="851"/>
              </w:tabs>
              <w:spacing w:after="0"/>
              <w:jc w:val="both"/>
              <w:rPr>
                <w:rFonts w:ascii="Tahoma" w:eastAsia="Times New Roman" w:hAnsi="Tahoma" w:cs="Tahoma"/>
                <w:sz w:val="20"/>
                <w:szCs w:val="20"/>
              </w:rPr>
            </w:pPr>
            <w:r w:rsidRPr="00FA5780">
              <w:rPr>
                <w:rFonts w:ascii="Tahoma" w:hAnsi="Tahoma" w:cs="Tahoma"/>
                <w:sz w:val="20"/>
                <w:szCs w:val="20"/>
              </w:rPr>
              <w:t>Užsakovo atsiliepimas (</w:t>
            </w:r>
            <w:r w:rsidRPr="00FA5780">
              <w:rPr>
                <w:rFonts w:ascii="Tahoma" w:eastAsia="Times New Roman" w:hAnsi="Tahoma" w:cs="Tahoma"/>
                <w:b/>
                <w:bCs/>
                <w:sz w:val="20"/>
                <w:szCs w:val="20"/>
              </w:rPr>
              <w:t>Specialiųjų p</w:t>
            </w:r>
            <w:r w:rsidRPr="00FA5780">
              <w:rPr>
                <w:rFonts w:ascii="Tahoma" w:hAnsi="Tahoma" w:cs="Tahoma"/>
                <w:b/>
                <w:bCs/>
                <w:sz w:val="20"/>
                <w:szCs w:val="20"/>
              </w:rPr>
              <w:t>irkimo sąlygų 16 priedas</w:t>
            </w:r>
            <w:r w:rsidRPr="00FA5780">
              <w:rPr>
                <w:rFonts w:ascii="Tahoma" w:hAnsi="Tahoma" w:cs="Tahoma"/>
                <w:sz w:val="20"/>
                <w:szCs w:val="20"/>
              </w:rPr>
              <w:t>).</w:t>
            </w:r>
          </w:p>
        </w:tc>
      </w:tr>
    </w:tbl>
    <w:p w14:paraId="1A2332A5" w14:textId="423B1D84" w:rsidR="00330D8D" w:rsidRPr="00BE6E00" w:rsidRDefault="00C23778" w:rsidP="00BE6E00">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2C7913">
        <w:rPr>
          <w:rFonts w:ascii="Tahoma" w:hAnsi="Tahoma" w:cs="Tahoma"/>
          <w:noProof/>
          <w:sz w:val="22"/>
          <w:szCs w:val="22"/>
        </w:rPr>
        <w:lastRenderedPageBreak/>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 xml:space="preserve">kad PsetMin lygi 0, </w:t>
      </w:r>
      <w:r w:rsidRPr="002309BB">
        <w:rPr>
          <w:rFonts w:ascii="Tahoma" w:eastAsia="Times New Roman" w:hAnsi="Tahoma" w:cs="Tahoma"/>
          <w:noProof/>
          <w:color w:val="FF0000"/>
          <w:sz w:val="22"/>
          <w:szCs w:val="22"/>
        </w:rPr>
        <w:t>PsetMax</w:t>
      </w:r>
      <w:r w:rsidR="00BE6E00" w:rsidRPr="002309BB">
        <w:rPr>
          <w:rFonts w:ascii="Tahoma" w:eastAsia="Times New Roman" w:hAnsi="Tahoma" w:cs="Tahoma"/>
          <w:noProof/>
          <w:color w:val="FF0000"/>
          <w:sz w:val="22"/>
          <w:szCs w:val="22"/>
        </w:rPr>
        <w:t xml:space="preserve"> </w:t>
      </w:r>
      <w:r w:rsidRPr="002309BB">
        <w:rPr>
          <w:rFonts w:ascii="Tahoma" w:eastAsia="Times New Roman" w:hAnsi="Tahoma" w:cs="Tahoma"/>
          <w:noProof/>
          <w:color w:val="FF0000"/>
          <w:sz w:val="22"/>
          <w:szCs w:val="22"/>
        </w:rPr>
        <w:t xml:space="preserve">lygi </w:t>
      </w:r>
      <w:r w:rsidR="0043576F" w:rsidRPr="002309BB">
        <w:rPr>
          <w:rFonts w:ascii="Tahoma" w:eastAsia="Times New Roman" w:hAnsi="Tahoma" w:cs="Tahoma"/>
          <w:noProof/>
          <w:color w:val="FF0000"/>
          <w:sz w:val="22"/>
          <w:szCs w:val="22"/>
        </w:rPr>
        <w:t>suplanuotai</w:t>
      </w:r>
      <w:r w:rsidR="00471E1A" w:rsidRPr="002309BB">
        <w:rPr>
          <w:rFonts w:ascii="Tahoma" w:eastAsia="Times New Roman" w:hAnsi="Tahoma" w:cs="Tahoma"/>
          <w:noProof/>
          <w:color w:val="FF0000"/>
          <w:sz w:val="22"/>
          <w:szCs w:val="22"/>
        </w:rPr>
        <w:t xml:space="preserve"> pirkimo vertei</w:t>
      </w:r>
      <w:r w:rsidRPr="002309BB">
        <w:rPr>
          <w:rFonts w:ascii="Tahoma" w:eastAsia="Times New Roman" w:hAnsi="Tahoma" w:cs="Tahoma"/>
          <w:noProof/>
          <w:color w:val="FF0000"/>
          <w:sz w:val="22"/>
          <w:szCs w:val="22"/>
        </w:rPr>
        <w:t xml:space="preserve"> </w:t>
      </w:r>
      <w:r w:rsidRPr="002309BB">
        <w:rPr>
          <w:rFonts w:ascii="Tahoma" w:eastAsia="Calibri" w:hAnsi="Tahoma" w:cs="Tahoma"/>
          <w:color w:val="FF0000"/>
          <w:sz w:val="22"/>
          <w:szCs w:val="22"/>
        </w:rPr>
        <w:t xml:space="preserve">EUR </w:t>
      </w:r>
      <w:r w:rsidR="00D25A72" w:rsidRPr="002309BB">
        <w:rPr>
          <w:rFonts w:ascii="Tahoma" w:eastAsia="Calibri" w:hAnsi="Tahoma" w:cs="Tahoma"/>
          <w:color w:val="FF0000"/>
          <w:sz w:val="22"/>
          <w:szCs w:val="22"/>
        </w:rPr>
        <w:t>su</w:t>
      </w:r>
      <w:r w:rsidRPr="002309BB">
        <w:rPr>
          <w:rFonts w:ascii="Tahoma" w:eastAsia="Calibri" w:hAnsi="Tahoma" w:cs="Tahoma"/>
          <w:color w:val="FF0000"/>
          <w:sz w:val="22"/>
          <w:szCs w:val="22"/>
        </w:rPr>
        <w:t xml:space="preserve"> PVM</w:t>
      </w:r>
      <w:r w:rsidR="00BE6E00" w:rsidRPr="002309BB">
        <w:rPr>
          <w:rFonts w:ascii="Tahoma" w:eastAsia="Calibri" w:hAnsi="Tahoma" w:cs="Tahoma"/>
          <w:color w:val="FF0000"/>
          <w:sz w:val="22"/>
          <w:szCs w:val="22"/>
        </w:rPr>
        <w:t>.</w:t>
      </w:r>
    </w:p>
    <w:p w14:paraId="39D60466" w14:textId="36DE49B4" w:rsidR="002A7375" w:rsidRPr="00901885" w:rsidRDefault="00C23778" w:rsidP="00901885">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330D8D">
        <w:rPr>
          <w:rFonts w:ascii="Tahoma" w:eastAsia="Calibri" w:hAnsi="Tahoma" w:cs="Tahoma"/>
          <w:sz w:val="22"/>
          <w:szCs w:val="22"/>
        </w:rPr>
        <w:lastRenderedPageBreak/>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sectPr w:rsidR="002A7375" w:rsidRPr="00901885" w:rsidSect="00396C7D">
      <w:headerReference w:type="default" r:id="rId11"/>
      <w:footerReference w:type="default" r:id="rId12"/>
      <w:headerReference w:type="first" r:id="rId13"/>
      <w:footerReference w:type="first" r:id="rId14"/>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CB0E" w14:textId="77777777" w:rsidR="001E5551" w:rsidRDefault="001E5551" w:rsidP="00DD3A79">
      <w:pPr>
        <w:spacing w:line="240" w:lineRule="auto"/>
      </w:pPr>
      <w:r>
        <w:separator/>
      </w:r>
    </w:p>
  </w:endnote>
  <w:endnote w:type="continuationSeparator" w:id="0">
    <w:p w14:paraId="49CB8CFC" w14:textId="77777777" w:rsidR="001E5551" w:rsidRDefault="001E5551" w:rsidP="00DD3A79">
      <w:pPr>
        <w:spacing w:line="240" w:lineRule="auto"/>
      </w:pPr>
      <w:r>
        <w:continuationSeparator/>
      </w:r>
    </w:p>
  </w:endnote>
  <w:endnote w:type="continuationNotice" w:id="1">
    <w:p w14:paraId="2DB41D36" w14:textId="77777777" w:rsidR="001E5551" w:rsidRDefault="001E5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2A4D3BC" w14:paraId="07794933" w14:textId="77777777" w:rsidTr="00FA5780">
      <w:trPr>
        <w:trHeight w:val="300"/>
      </w:trPr>
      <w:tc>
        <w:tcPr>
          <w:tcW w:w="5005" w:type="dxa"/>
        </w:tcPr>
        <w:p w14:paraId="4AD60DFE" w14:textId="13B46DBD" w:rsidR="02A4D3BC" w:rsidRDefault="02A4D3BC" w:rsidP="00FA5780">
          <w:pPr>
            <w:pStyle w:val="Header"/>
            <w:ind w:left="-115"/>
          </w:pPr>
        </w:p>
      </w:tc>
      <w:tc>
        <w:tcPr>
          <w:tcW w:w="5005" w:type="dxa"/>
        </w:tcPr>
        <w:p w14:paraId="7AB28C95" w14:textId="25DCF5FA" w:rsidR="02A4D3BC" w:rsidRDefault="02A4D3BC" w:rsidP="00FA5780">
          <w:pPr>
            <w:pStyle w:val="Header"/>
            <w:jc w:val="center"/>
          </w:pPr>
        </w:p>
      </w:tc>
      <w:tc>
        <w:tcPr>
          <w:tcW w:w="5005" w:type="dxa"/>
        </w:tcPr>
        <w:p w14:paraId="57A77B44" w14:textId="53F2ADA8" w:rsidR="02A4D3BC" w:rsidRDefault="02A4D3BC" w:rsidP="00FA5780">
          <w:pPr>
            <w:pStyle w:val="Header"/>
            <w:ind w:right="-115"/>
            <w:jc w:val="right"/>
          </w:pPr>
        </w:p>
      </w:tc>
    </w:tr>
  </w:tbl>
  <w:p w14:paraId="4ABF2CA2" w14:textId="2882F455" w:rsidR="00E16C76" w:rsidRDefault="00E16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2A4D3BC" w14:paraId="5F6FBF6D" w14:textId="77777777" w:rsidTr="00FA5780">
      <w:trPr>
        <w:trHeight w:val="300"/>
      </w:trPr>
      <w:tc>
        <w:tcPr>
          <w:tcW w:w="5005" w:type="dxa"/>
        </w:tcPr>
        <w:p w14:paraId="2819E02A" w14:textId="3B095899" w:rsidR="02A4D3BC" w:rsidRDefault="02A4D3BC" w:rsidP="00FA5780">
          <w:pPr>
            <w:pStyle w:val="Header"/>
            <w:ind w:left="-115"/>
          </w:pPr>
        </w:p>
      </w:tc>
      <w:tc>
        <w:tcPr>
          <w:tcW w:w="5005" w:type="dxa"/>
        </w:tcPr>
        <w:p w14:paraId="0FEA1299" w14:textId="43468C69" w:rsidR="02A4D3BC" w:rsidRDefault="02A4D3BC" w:rsidP="00FA5780">
          <w:pPr>
            <w:pStyle w:val="Header"/>
            <w:jc w:val="center"/>
          </w:pPr>
        </w:p>
      </w:tc>
      <w:tc>
        <w:tcPr>
          <w:tcW w:w="5005" w:type="dxa"/>
        </w:tcPr>
        <w:p w14:paraId="32B04359" w14:textId="406A6B5F" w:rsidR="02A4D3BC" w:rsidRDefault="02A4D3BC" w:rsidP="00FA5780">
          <w:pPr>
            <w:pStyle w:val="Header"/>
            <w:ind w:right="-115"/>
            <w:jc w:val="right"/>
          </w:pPr>
        </w:p>
      </w:tc>
    </w:tr>
  </w:tbl>
  <w:p w14:paraId="7896F581" w14:textId="16F6FC2D" w:rsidR="00E16C76" w:rsidRDefault="00E16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AA75" w14:textId="77777777" w:rsidR="001E5551" w:rsidRDefault="001E5551" w:rsidP="00DD3A79">
      <w:pPr>
        <w:spacing w:line="240" w:lineRule="auto"/>
      </w:pPr>
      <w:r>
        <w:separator/>
      </w:r>
    </w:p>
  </w:footnote>
  <w:footnote w:type="continuationSeparator" w:id="0">
    <w:p w14:paraId="344B2758" w14:textId="77777777" w:rsidR="001E5551" w:rsidRDefault="001E5551" w:rsidP="00DD3A79">
      <w:pPr>
        <w:spacing w:line="240" w:lineRule="auto"/>
      </w:pPr>
      <w:r>
        <w:continuationSeparator/>
      </w:r>
    </w:p>
  </w:footnote>
  <w:footnote w:type="continuationNotice" w:id="1">
    <w:p w14:paraId="7211D9E8" w14:textId="77777777" w:rsidR="001E5551" w:rsidRDefault="001E5551">
      <w:pPr>
        <w:spacing w:after="0" w:line="240" w:lineRule="auto"/>
      </w:pPr>
    </w:p>
  </w:footnote>
  <w:footnote w:id="2">
    <w:p w14:paraId="7039B59E" w14:textId="77777777" w:rsidR="00E803D1" w:rsidRDefault="00E803D1" w:rsidP="00E803D1">
      <w:pPr>
        <w:pStyle w:val="FootnoteText"/>
      </w:pPr>
      <w:r w:rsidRPr="00396C7D">
        <w:rPr>
          <w:rStyle w:val="FootnoteReference"/>
          <w:rFonts w:ascii="Tahoma" w:hAnsi="Tahoma" w:cs="Tahoma"/>
        </w:rPr>
        <w:footnoteRef/>
      </w:r>
      <w:r w:rsidRPr="00396C7D">
        <w:rPr>
          <w:rFonts w:ascii="Tahoma" w:hAnsi="Tahoma" w:cs="Tahoma"/>
        </w:rPr>
        <w:t xml:space="preserve"> Nurodytas specialistas </w:t>
      </w:r>
      <w:r>
        <w:rPr>
          <w:rFonts w:ascii="Tahoma" w:hAnsi="Tahoma" w:cs="Tahoma"/>
          <w:b/>
          <w:bCs/>
          <w:color w:val="FF0000"/>
          <w:u w:val="single"/>
        </w:rPr>
        <w:t>turi</w:t>
      </w:r>
      <w:r w:rsidRPr="00396C7D">
        <w:rPr>
          <w:rFonts w:ascii="Tahoma" w:hAnsi="Tahoma" w:cs="Tahoma"/>
          <w:b/>
          <w:bCs/>
          <w:color w:val="FF0000"/>
        </w:rPr>
        <w:t xml:space="preserve"> būti tas pats asmuo</w:t>
      </w:r>
      <w:r w:rsidRPr="00396C7D">
        <w:rPr>
          <w:rFonts w:ascii="Tahoma" w:hAnsi="Tahoma" w:cs="Tahoma"/>
        </w:rPr>
        <w:t>, kurį tiekėjas turi (ar pasitelks) įrodinėdamas kvalifikacijos atitiktį Pirkimo sąlygose</w:t>
      </w:r>
      <w:r w:rsidRPr="00396C7D">
        <w:rPr>
          <w:rFonts w:ascii="Tahoma" w:hAnsi="Tahoma" w:cs="Tahoma"/>
          <w:bCs/>
        </w:rPr>
        <w:t xml:space="preserve"> </w:t>
      </w:r>
      <w:r w:rsidRPr="00396C7D">
        <w:rPr>
          <w:rFonts w:ascii="Tahoma" w:hAnsi="Tahoma" w:cs="Tahoma"/>
        </w:rPr>
        <w:t>nustatytiems</w:t>
      </w:r>
      <w:r w:rsidRPr="00396C7D">
        <w:rPr>
          <w:rFonts w:ascii="Tahoma" w:hAnsi="Tahoma" w:cs="Tahoma"/>
          <w:bCs/>
        </w:rPr>
        <w:t xml:space="preserve"> kvalifikacijos </w:t>
      </w:r>
      <w:r w:rsidRPr="00396C7D">
        <w:rPr>
          <w:rFonts w:ascii="Tahoma" w:hAnsi="Tahoma" w:cs="Tahoma"/>
        </w:rPr>
        <w:t>reikalavimams</w:t>
      </w:r>
      <w:r w:rsidRPr="00396C7D">
        <w:rPr>
          <w:rFonts w:ascii="Tahoma" w:hAnsi="Tahoma" w:cs="Tahoma"/>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2A4D3BC" w14:paraId="5EBC9A97" w14:textId="77777777" w:rsidTr="00FA5780">
      <w:trPr>
        <w:trHeight w:val="300"/>
      </w:trPr>
      <w:tc>
        <w:tcPr>
          <w:tcW w:w="5005" w:type="dxa"/>
        </w:tcPr>
        <w:p w14:paraId="3D55E1BD" w14:textId="6C3A4C1F" w:rsidR="02A4D3BC" w:rsidRDefault="02A4D3BC" w:rsidP="00FA5780">
          <w:pPr>
            <w:pStyle w:val="Header"/>
            <w:ind w:left="-115"/>
          </w:pPr>
        </w:p>
      </w:tc>
      <w:tc>
        <w:tcPr>
          <w:tcW w:w="5005" w:type="dxa"/>
        </w:tcPr>
        <w:p w14:paraId="66B28407" w14:textId="0EBFBEC3" w:rsidR="02A4D3BC" w:rsidRDefault="02A4D3BC" w:rsidP="00FA5780">
          <w:pPr>
            <w:pStyle w:val="Header"/>
            <w:jc w:val="center"/>
          </w:pPr>
        </w:p>
      </w:tc>
      <w:tc>
        <w:tcPr>
          <w:tcW w:w="5005" w:type="dxa"/>
        </w:tcPr>
        <w:p w14:paraId="1E160E64" w14:textId="1DE3F745" w:rsidR="02A4D3BC" w:rsidRDefault="02A4D3BC" w:rsidP="00FA5780">
          <w:pPr>
            <w:pStyle w:val="Header"/>
            <w:ind w:right="-115"/>
            <w:jc w:val="right"/>
          </w:pPr>
        </w:p>
      </w:tc>
    </w:tr>
  </w:tbl>
  <w:p w14:paraId="45CF2397" w14:textId="0A0157B9" w:rsidR="00E16C76" w:rsidRDefault="00E16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54E"/>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C931D5"/>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126E22"/>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A93BFC"/>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169930D2"/>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6D741C"/>
    <w:multiLevelType w:val="hybridMultilevel"/>
    <w:tmpl w:val="21E46F48"/>
    <w:lvl w:ilvl="0" w:tplc="0427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A72ED"/>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1B04F7"/>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315F426F"/>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327B4D98"/>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4876896"/>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24747A"/>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201688"/>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571FD3"/>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45B6ECA"/>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BC6C37"/>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5736108"/>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B2903DF"/>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2" w15:restartNumberingAfterBreak="0">
    <w:nsid w:val="5B772595"/>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7C2DA8"/>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0320B95"/>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16E5A66"/>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2404A29"/>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803A3D"/>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 w15:restartNumberingAfterBreak="0">
    <w:nsid w:val="745F44A8"/>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9632AF9"/>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798954FF"/>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BA7514"/>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52952473">
    <w:abstractNumId w:val="3"/>
  </w:num>
  <w:num w:numId="2" w16cid:durableId="1988901249">
    <w:abstractNumId w:val="23"/>
  </w:num>
  <w:num w:numId="3" w16cid:durableId="304433515">
    <w:abstractNumId w:val="17"/>
  </w:num>
  <w:num w:numId="4" w16cid:durableId="2136873199">
    <w:abstractNumId w:val="10"/>
  </w:num>
  <w:num w:numId="5" w16cid:durableId="1109275492">
    <w:abstractNumId w:val="2"/>
  </w:num>
  <w:num w:numId="6" w16cid:durableId="2079787315">
    <w:abstractNumId w:val="11"/>
  </w:num>
  <w:num w:numId="7" w16cid:durableId="1028068816">
    <w:abstractNumId w:val="27"/>
  </w:num>
  <w:num w:numId="8" w16cid:durableId="1981957372">
    <w:abstractNumId w:val="25"/>
  </w:num>
  <w:num w:numId="9" w16cid:durableId="564489948">
    <w:abstractNumId w:val="14"/>
  </w:num>
  <w:num w:numId="10" w16cid:durableId="392970201">
    <w:abstractNumId w:val="13"/>
  </w:num>
  <w:num w:numId="11" w16cid:durableId="700396035">
    <w:abstractNumId w:val="29"/>
  </w:num>
  <w:num w:numId="12" w16cid:durableId="1484082990">
    <w:abstractNumId w:val="32"/>
  </w:num>
  <w:num w:numId="13" w16cid:durableId="2079935012">
    <w:abstractNumId w:val="28"/>
  </w:num>
  <w:num w:numId="14" w16cid:durableId="1135103662">
    <w:abstractNumId w:val="21"/>
  </w:num>
  <w:num w:numId="15" w16cid:durableId="1684168408">
    <w:abstractNumId w:val="1"/>
  </w:num>
  <w:num w:numId="16" w16cid:durableId="2092004215">
    <w:abstractNumId w:val="5"/>
  </w:num>
  <w:num w:numId="17" w16cid:durableId="305941538">
    <w:abstractNumId w:val="31"/>
  </w:num>
  <w:num w:numId="18" w16cid:durableId="682585718">
    <w:abstractNumId w:val="0"/>
  </w:num>
  <w:num w:numId="19" w16cid:durableId="521170926">
    <w:abstractNumId w:val="9"/>
  </w:num>
  <w:num w:numId="20" w16cid:durableId="1134448409">
    <w:abstractNumId w:val="19"/>
  </w:num>
  <w:num w:numId="21" w16cid:durableId="1139493642">
    <w:abstractNumId w:val="20"/>
  </w:num>
  <w:num w:numId="22" w16cid:durableId="76480758">
    <w:abstractNumId w:val="18"/>
  </w:num>
  <w:num w:numId="23" w16cid:durableId="1656715453">
    <w:abstractNumId w:val="4"/>
  </w:num>
  <w:num w:numId="24" w16cid:durableId="879510283">
    <w:abstractNumId w:val="8"/>
  </w:num>
  <w:num w:numId="25" w16cid:durableId="1833527229">
    <w:abstractNumId w:val="12"/>
  </w:num>
  <w:num w:numId="26" w16cid:durableId="132870944">
    <w:abstractNumId w:val="22"/>
  </w:num>
  <w:num w:numId="27" w16cid:durableId="952321899">
    <w:abstractNumId w:val="15"/>
  </w:num>
  <w:num w:numId="28" w16cid:durableId="1208563247">
    <w:abstractNumId w:val="30"/>
  </w:num>
  <w:num w:numId="29" w16cid:durableId="375079734">
    <w:abstractNumId w:val="16"/>
  </w:num>
  <w:num w:numId="30" w16cid:durableId="1016998751">
    <w:abstractNumId w:val="26"/>
  </w:num>
  <w:num w:numId="31" w16cid:durableId="379089750">
    <w:abstractNumId w:val="6"/>
  </w:num>
  <w:num w:numId="32" w16cid:durableId="1164199309">
    <w:abstractNumId w:val="24"/>
  </w:num>
  <w:num w:numId="33" w16cid:durableId="204363332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147B0"/>
    <w:rsid w:val="000219FD"/>
    <w:rsid w:val="0002322A"/>
    <w:rsid w:val="00030027"/>
    <w:rsid w:val="00047EA1"/>
    <w:rsid w:val="000717C3"/>
    <w:rsid w:val="00074FBD"/>
    <w:rsid w:val="0008187E"/>
    <w:rsid w:val="0008343E"/>
    <w:rsid w:val="0008680E"/>
    <w:rsid w:val="00093579"/>
    <w:rsid w:val="00096F4C"/>
    <w:rsid w:val="000A4D2C"/>
    <w:rsid w:val="000B008D"/>
    <w:rsid w:val="000B3C92"/>
    <w:rsid w:val="000C0F13"/>
    <w:rsid w:val="000D4CF4"/>
    <w:rsid w:val="000F46B6"/>
    <w:rsid w:val="000F57B2"/>
    <w:rsid w:val="00100095"/>
    <w:rsid w:val="00110F8D"/>
    <w:rsid w:val="00111122"/>
    <w:rsid w:val="001134B3"/>
    <w:rsid w:val="0012236B"/>
    <w:rsid w:val="0012257D"/>
    <w:rsid w:val="001254DA"/>
    <w:rsid w:val="00147FC6"/>
    <w:rsid w:val="0015193A"/>
    <w:rsid w:val="00155A96"/>
    <w:rsid w:val="001813F9"/>
    <w:rsid w:val="00185994"/>
    <w:rsid w:val="00192F10"/>
    <w:rsid w:val="00196648"/>
    <w:rsid w:val="001A1835"/>
    <w:rsid w:val="001A4D32"/>
    <w:rsid w:val="001B02C8"/>
    <w:rsid w:val="001D0689"/>
    <w:rsid w:val="001D1AA9"/>
    <w:rsid w:val="001D754B"/>
    <w:rsid w:val="001E0B85"/>
    <w:rsid w:val="001E1443"/>
    <w:rsid w:val="001E223C"/>
    <w:rsid w:val="001E2E9B"/>
    <w:rsid w:val="001E5551"/>
    <w:rsid w:val="001E603F"/>
    <w:rsid w:val="001E66C9"/>
    <w:rsid w:val="001E6AF6"/>
    <w:rsid w:val="001F27FB"/>
    <w:rsid w:val="001F4702"/>
    <w:rsid w:val="001F557B"/>
    <w:rsid w:val="00207BF0"/>
    <w:rsid w:val="00210000"/>
    <w:rsid w:val="00213FAD"/>
    <w:rsid w:val="002211EA"/>
    <w:rsid w:val="002309BB"/>
    <w:rsid w:val="002504FE"/>
    <w:rsid w:val="00271686"/>
    <w:rsid w:val="002A622A"/>
    <w:rsid w:val="002A7375"/>
    <w:rsid w:val="002A7660"/>
    <w:rsid w:val="002B3133"/>
    <w:rsid w:val="002B3578"/>
    <w:rsid w:val="002B3F78"/>
    <w:rsid w:val="002C7913"/>
    <w:rsid w:val="002D17E1"/>
    <w:rsid w:val="002D1E49"/>
    <w:rsid w:val="002E3611"/>
    <w:rsid w:val="002F0395"/>
    <w:rsid w:val="002F7B40"/>
    <w:rsid w:val="003109BF"/>
    <w:rsid w:val="0031141F"/>
    <w:rsid w:val="00330D8D"/>
    <w:rsid w:val="003349A6"/>
    <w:rsid w:val="003637CE"/>
    <w:rsid w:val="0036647D"/>
    <w:rsid w:val="00376EF8"/>
    <w:rsid w:val="00385519"/>
    <w:rsid w:val="00396C7D"/>
    <w:rsid w:val="00397204"/>
    <w:rsid w:val="003A5373"/>
    <w:rsid w:val="003A55B7"/>
    <w:rsid w:val="003B7DB7"/>
    <w:rsid w:val="003C2905"/>
    <w:rsid w:val="003C2C7C"/>
    <w:rsid w:val="003D4E29"/>
    <w:rsid w:val="003E48E6"/>
    <w:rsid w:val="003F4CD6"/>
    <w:rsid w:val="0042610B"/>
    <w:rsid w:val="00426418"/>
    <w:rsid w:val="0043576F"/>
    <w:rsid w:val="00435F9D"/>
    <w:rsid w:val="0044482D"/>
    <w:rsid w:val="00447CCB"/>
    <w:rsid w:val="00461869"/>
    <w:rsid w:val="00471E1A"/>
    <w:rsid w:val="00484334"/>
    <w:rsid w:val="00486195"/>
    <w:rsid w:val="004C18E2"/>
    <w:rsid w:val="004C2F98"/>
    <w:rsid w:val="004D06D9"/>
    <w:rsid w:val="004D6539"/>
    <w:rsid w:val="004E258B"/>
    <w:rsid w:val="004F234A"/>
    <w:rsid w:val="004F466C"/>
    <w:rsid w:val="00503BF2"/>
    <w:rsid w:val="005159F3"/>
    <w:rsid w:val="00517E23"/>
    <w:rsid w:val="00524D1D"/>
    <w:rsid w:val="00524D2F"/>
    <w:rsid w:val="0052557E"/>
    <w:rsid w:val="00527084"/>
    <w:rsid w:val="005315BB"/>
    <w:rsid w:val="00533021"/>
    <w:rsid w:val="0053364A"/>
    <w:rsid w:val="005544DE"/>
    <w:rsid w:val="00565E38"/>
    <w:rsid w:val="00572BA6"/>
    <w:rsid w:val="00580E3E"/>
    <w:rsid w:val="00591A4D"/>
    <w:rsid w:val="00595386"/>
    <w:rsid w:val="005A30D5"/>
    <w:rsid w:val="005B515F"/>
    <w:rsid w:val="005D3221"/>
    <w:rsid w:val="005D6F73"/>
    <w:rsid w:val="005E0B52"/>
    <w:rsid w:val="005F2D42"/>
    <w:rsid w:val="0061048C"/>
    <w:rsid w:val="00616661"/>
    <w:rsid w:val="0061755D"/>
    <w:rsid w:val="006209A8"/>
    <w:rsid w:val="00642AB8"/>
    <w:rsid w:val="006620EF"/>
    <w:rsid w:val="00667A67"/>
    <w:rsid w:val="00672D56"/>
    <w:rsid w:val="00673245"/>
    <w:rsid w:val="00673AEE"/>
    <w:rsid w:val="00673E38"/>
    <w:rsid w:val="00676866"/>
    <w:rsid w:val="00680272"/>
    <w:rsid w:val="006813FB"/>
    <w:rsid w:val="00682ECC"/>
    <w:rsid w:val="00691423"/>
    <w:rsid w:val="00693753"/>
    <w:rsid w:val="00694929"/>
    <w:rsid w:val="00695CCF"/>
    <w:rsid w:val="0069719C"/>
    <w:rsid w:val="006A78C7"/>
    <w:rsid w:val="006E2987"/>
    <w:rsid w:val="006E6639"/>
    <w:rsid w:val="006F45FE"/>
    <w:rsid w:val="006F6802"/>
    <w:rsid w:val="00700211"/>
    <w:rsid w:val="0071030F"/>
    <w:rsid w:val="00714E90"/>
    <w:rsid w:val="007163F3"/>
    <w:rsid w:val="00731EB5"/>
    <w:rsid w:val="0074173C"/>
    <w:rsid w:val="00747F0A"/>
    <w:rsid w:val="0075619B"/>
    <w:rsid w:val="00761C33"/>
    <w:rsid w:val="0078342E"/>
    <w:rsid w:val="00794DAD"/>
    <w:rsid w:val="007C051B"/>
    <w:rsid w:val="007D2856"/>
    <w:rsid w:val="007E040D"/>
    <w:rsid w:val="007E21D3"/>
    <w:rsid w:val="007F01E8"/>
    <w:rsid w:val="008218F0"/>
    <w:rsid w:val="008435F7"/>
    <w:rsid w:val="00854580"/>
    <w:rsid w:val="00856DCF"/>
    <w:rsid w:val="008604E6"/>
    <w:rsid w:val="008626F8"/>
    <w:rsid w:val="00862D89"/>
    <w:rsid w:val="0087776E"/>
    <w:rsid w:val="00882CEF"/>
    <w:rsid w:val="00885C0F"/>
    <w:rsid w:val="008A39D8"/>
    <w:rsid w:val="008A4D7F"/>
    <w:rsid w:val="008C0E19"/>
    <w:rsid w:val="008D10D9"/>
    <w:rsid w:val="008F63B6"/>
    <w:rsid w:val="00901885"/>
    <w:rsid w:val="00910FA2"/>
    <w:rsid w:val="00911159"/>
    <w:rsid w:val="00927F21"/>
    <w:rsid w:val="00930C01"/>
    <w:rsid w:val="00930EFE"/>
    <w:rsid w:val="009462B6"/>
    <w:rsid w:val="009464BA"/>
    <w:rsid w:val="00946859"/>
    <w:rsid w:val="009534FF"/>
    <w:rsid w:val="00975D3D"/>
    <w:rsid w:val="00975E3C"/>
    <w:rsid w:val="009964DF"/>
    <w:rsid w:val="009B03D7"/>
    <w:rsid w:val="009B1200"/>
    <w:rsid w:val="009C0127"/>
    <w:rsid w:val="009D2AB5"/>
    <w:rsid w:val="009E2253"/>
    <w:rsid w:val="009F5B1E"/>
    <w:rsid w:val="009F650C"/>
    <w:rsid w:val="009F700E"/>
    <w:rsid w:val="00A1404D"/>
    <w:rsid w:val="00A20041"/>
    <w:rsid w:val="00A21090"/>
    <w:rsid w:val="00A3092E"/>
    <w:rsid w:val="00A4295D"/>
    <w:rsid w:val="00A7318A"/>
    <w:rsid w:val="00A73894"/>
    <w:rsid w:val="00A81179"/>
    <w:rsid w:val="00A87BAE"/>
    <w:rsid w:val="00AA69EC"/>
    <w:rsid w:val="00AB57A3"/>
    <w:rsid w:val="00AE3F17"/>
    <w:rsid w:val="00AE62A4"/>
    <w:rsid w:val="00AE7F9E"/>
    <w:rsid w:val="00AF3E8C"/>
    <w:rsid w:val="00AF4FCB"/>
    <w:rsid w:val="00AF5FD8"/>
    <w:rsid w:val="00B16E28"/>
    <w:rsid w:val="00B25FD4"/>
    <w:rsid w:val="00B309FD"/>
    <w:rsid w:val="00B35E1B"/>
    <w:rsid w:val="00B448C6"/>
    <w:rsid w:val="00B51584"/>
    <w:rsid w:val="00B529E9"/>
    <w:rsid w:val="00B52A4E"/>
    <w:rsid w:val="00B76466"/>
    <w:rsid w:val="00B90940"/>
    <w:rsid w:val="00BA3AC9"/>
    <w:rsid w:val="00BB26D7"/>
    <w:rsid w:val="00BB3666"/>
    <w:rsid w:val="00BC065D"/>
    <w:rsid w:val="00BC077E"/>
    <w:rsid w:val="00BC519A"/>
    <w:rsid w:val="00BE2F22"/>
    <w:rsid w:val="00BE6E00"/>
    <w:rsid w:val="00C005F1"/>
    <w:rsid w:val="00C20C18"/>
    <w:rsid w:val="00C23778"/>
    <w:rsid w:val="00C25723"/>
    <w:rsid w:val="00C34C77"/>
    <w:rsid w:val="00C63389"/>
    <w:rsid w:val="00C65998"/>
    <w:rsid w:val="00C750FE"/>
    <w:rsid w:val="00C83535"/>
    <w:rsid w:val="00C93F2D"/>
    <w:rsid w:val="00CA4CB4"/>
    <w:rsid w:val="00CB1386"/>
    <w:rsid w:val="00CB2494"/>
    <w:rsid w:val="00CB6C7E"/>
    <w:rsid w:val="00CB6E94"/>
    <w:rsid w:val="00CD0AB3"/>
    <w:rsid w:val="00CD552D"/>
    <w:rsid w:val="00CF29AD"/>
    <w:rsid w:val="00CF59E9"/>
    <w:rsid w:val="00CF7774"/>
    <w:rsid w:val="00D02F77"/>
    <w:rsid w:val="00D126EB"/>
    <w:rsid w:val="00D2150A"/>
    <w:rsid w:val="00D22E1C"/>
    <w:rsid w:val="00D25A72"/>
    <w:rsid w:val="00D2621B"/>
    <w:rsid w:val="00D3171E"/>
    <w:rsid w:val="00D46E3E"/>
    <w:rsid w:val="00D5174E"/>
    <w:rsid w:val="00D55248"/>
    <w:rsid w:val="00D65108"/>
    <w:rsid w:val="00D65B87"/>
    <w:rsid w:val="00D6665C"/>
    <w:rsid w:val="00D71B51"/>
    <w:rsid w:val="00D910F7"/>
    <w:rsid w:val="00DA098A"/>
    <w:rsid w:val="00DA53E0"/>
    <w:rsid w:val="00DA7150"/>
    <w:rsid w:val="00DB3EF2"/>
    <w:rsid w:val="00DC36D7"/>
    <w:rsid w:val="00DD3A79"/>
    <w:rsid w:val="00DE2CE1"/>
    <w:rsid w:val="00DF5DCA"/>
    <w:rsid w:val="00DF5EA0"/>
    <w:rsid w:val="00E071F0"/>
    <w:rsid w:val="00E13FA9"/>
    <w:rsid w:val="00E15CB4"/>
    <w:rsid w:val="00E16C76"/>
    <w:rsid w:val="00E22942"/>
    <w:rsid w:val="00E24615"/>
    <w:rsid w:val="00E33A76"/>
    <w:rsid w:val="00E3646B"/>
    <w:rsid w:val="00E377C8"/>
    <w:rsid w:val="00E56E91"/>
    <w:rsid w:val="00E625FF"/>
    <w:rsid w:val="00E75D76"/>
    <w:rsid w:val="00E803D1"/>
    <w:rsid w:val="00E906D7"/>
    <w:rsid w:val="00EA3A71"/>
    <w:rsid w:val="00EA603F"/>
    <w:rsid w:val="00EE09EF"/>
    <w:rsid w:val="00EE1532"/>
    <w:rsid w:val="00EE16D5"/>
    <w:rsid w:val="00EF480D"/>
    <w:rsid w:val="00F11B0D"/>
    <w:rsid w:val="00F11BA7"/>
    <w:rsid w:val="00F12EA9"/>
    <w:rsid w:val="00F2326A"/>
    <w:rsid w:val="00F236F0"/>
    <w:rsid w:val="00F24960"/>
    <w:rsid w:val="00F350AC"/>
    <w:rsid w:val="00F408FA"/>
    <w:rsid w:val="00F4683A"/>
    <w:rsid w:val="00F85553"/>
    <w:rsid w:val="00F9601A"/>
    <w:rsid w:val="00FA1392"/>
    <w:rsid w:val="00FA2650"/>
    <w:rsid w:val="00FA340F"/>
    <w:rsid w:val="00FA54D4"/>
    <w:rsid w:val="00FA5780"/>
    <w:rsid w:val="00FB5675"/>
    <w:rsid w:val="00FD0BB3"/>
    <w:rsid w:val="00FD0EBA"/>
    <w:rsid w:val="00FD40F1"/>
    <w:rsid w:val="00FD4B6D"/>
    <w:rsid w:val="00FD7BDC"/>
    <w:rsid w:val="00FE3C47"/>
    <w:rsid w:val="00FF4359"/>
    <w:rsid w:val="02A4D3BC"/>
    <w:rsid w:val="08D3F691"/>
    <w:rsid w:val="133477AA"/>
    <w:rsid w:val="1871AC14"/>
    <w:rsid w:val="1F76D3A5"/>
    <w:rsid w:val="22B01992"/>
    <w:rsid w:val="25E2F6BF"/>
    <w:rsid w:val="2DD5239E"/>
    <w:rsid w:val="2F83DE06"/>
    <w:rsid w:val="36E64A91"/>
    <w:rsid w:val="431D94B4"/>
    <w:rsid w:val="457E1760"/>
    <w:rsid w:val="56105F47"/>
    <w:rsid w:val="5BA4F34F"/>
    <w:rsid w:val="62485809"/>
    <w:rsid w:val="6B3865EC"/>
    <w:rsid w:val="72C7F50C"/>
    <w:rsid w:val="7DB2211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3EBC47DB-8D6A-4E4F-9AD7-6FCD6A7C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2309BB"/>
    <w:pPr>
      <w:spacing w:line="240" w:lineRule="auto"/>
    </w:pPr>
    <w:rPr>
      <w:b/>
      <w:bCs/>
    </w:rPr>
  </w:style>
  <w:style w:type="character" w:customStyle="1" w:styleId="CommentSubjectChar">
    <w:name w:val="Comment Subject Char"/>
    <w:basedOn w:val="CommentTextChar"/>
    <w:link w:val="CommentSubject"/>
    <w:uiPriority w:val="99"/>
    <w:semiHidden/>
    <w:rsid w:val="002309BB"/>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63BF0-929A-47AE-911E-A9A2FBD3EDCA}">
  <ds:schemaRefs>
    <ds:schemaRef ds:uri="http://schemas.microsoft.com/sharepoint/v3/contenttype/forms"/>
  </ds:schemaRefs>
</ds:datastoreItem>
</file>

<file path=customXml/itemProps2.xml><?xml version="1.0" encoding="utf-8"?>
<ds:datastoreItem xmlns:ds="http://schemas.openxmlformats.org/officeDocument/2006/customXml" ds:itemID="{C83C21CA-4AC9-4272-BA49-3AD32B365857}">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41D302E3-39B1-42CB-837E-342A4ADCB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2691</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56</cp:revision>
  <dcterms:created xsi:type="dcterms:W3CDTF">2025-03-22T16:26:00Z</dcterms:created>
  <dcterms:modified xsi:type="dcterms:W3CDTF">2025-07-02T08:29:00Z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