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F8B3" w14:textId="77777777" w:rsidR="00B90306" w:rsidRDefault="00B90306" w:rsidP="00B90306">
      <w:pPr>
        <w:tabs>
          <w:tab w:val="left" w:pos="1134"/>
        </w:tabs>
        <w:rPr>
          <w:rFonts w:ascii="Verdana" w:hAnsi="Verdana"/>
          <w:b/>
          <w:bCs/>
          <w:sz w:val="20"/>
        </w:rPr>
      </w:pPr>
      <w:r w:rsidRPr="004D0226">
        <w:rPr>
          <w:rFonts w:ascii="Verdana" w:hAnsi="Verdana"/>
          <w:b/>
          <w:bCs/>
          <w:sz w:val="20"/>
        </w:rPr>
        <w:t>DĖL PIRKIMO SĄLYGŲ PAAIŠKINIMO</w:t>
      </w:r>
    </w:p>
    <w:p w14:paraId="764B00F4" w14:textId="77777777" w:rsidR="00B90306" w:rsidRDefault="00B90306" w:rsidP="00B90306">
      <w:pPr>
        <w:ind w:firstLine="567"/>
        <w:jc w:val="both"/>
        <w:rPr>
          <w:rFonts w:ascii="Verdana" w:hAnsi="Verdana"/>
          <w:sz w:val="20"/>
        </w:rPr>
      </w:pPr>
    </w:p>
    <w:p w14:paraId="7793304A" w14:textId="6CA8091E" w:rsidR="00B90306" w:rsidRPr="00B90306" w:rsidRDefault="00B90306" w:rsidP="00B90306">
      <w:pPr>
        <w:ind w:firstLine="567"/>
        <w:jc w:val="both"/>
        <w:rPr>
          <w:rFonts w:ascii="Verdana" w:hAnsi="Verdana"/>
          <w:sz w:val="20"/>
        </w:rPr>
      </w:pPr>
      <w:r w:rsidRPr="00B90306">
        <w:rPr>
          <w:rFonts w:ascii="Verdana" w:hAnsi="Verdana"/>
          <w:sz w:val="20"/>
        </w:rPr>
        <w:t xml:space="preserve">VšĮ Lietuvos nacionalinis radijas ir televizija (toliau – Perkančioji organizacija arba LRT) vykdo supaprastintą </w:t>
      </w:r>
      <w:r w:rsidRPr="00B90306">
        <w:rPr>
          <w:rFonts w:ascii="Verdana" w:hAnsi="Verdana"/>
          <w:i/>
          <w:iCs/>
          <w:sz w:val="20"/>
        </w:rPr>
        <w:t>Užklausų ir projektų valdymo sistemos pirkimą</w:t>
      </w:r>
      <w:r w:rsidRPr="00B90306">
        <w:rPr>
          <w:rFonts w:ascii="Verdana" w:hAnsi="Verdana"/>
          <w:sz w:val="20"/>
        </w:rPr>
        <w:t xml:space="preserve"> atviro konkurso būdu (pirkimo Nr. 3267249).</w:t>
      </w:r>
    </w:p>
    <w:p w14:paraId="64B07267" w14:textId="77777777" w:rsidR="00B90306" w:rsidRPr="00B90306" w:rsidRDefault="00B90306" w:rsidP="00B90306">
      <w:pPr>
        <w:ind w:firstLine="567"/>
        <w:jc w:val="both"/>
        <w:rPr>
          <w:rFonts w:ascii="Verdana" w:hAnsi="Verdana"/>
          <w:sz w:val="20"/>
        </w:rPr>
      </w:pPr>
    </w:p>
    <w:p w14:paraId="76F84675" w14:textId="324EBFE6" w:rsidR="00B90306" w:rsidRDefault="00B90306" w:rsidP="00B90306">
      <w:pPr>
        <w:ind w:firstLine="567"/>
        <w:jc w:val="both"/>
        <w:rPr>
          <w:rFonts w:ascii="Verdana" w:hAnsi="Verdana"/>
          <w:sz w:val="20"/>
        </w:rPr>
      </w:pPr>
      <w:r w:rsidRPr="00B90306">
        <w:rPr>
          <w:rFonts w:ascii="Verdana" w:hAnsi="Verdana"/>
          <w:sz w:val="20"/>
        </w:rPr>
        <w:t xml:space="preserve">Informuojame, kad Perkančioji organizacija 2025 m. birželio </w:t>
      </w:r>
      <w:r w:rsidR="00360FD5">
        <w:rPr>
          <w:rFonts w:ascii="Verdana" w:hAnsi="Verdana"/>
          <w:sz w:val="20"/>
        </w:rPr>
        <w:t>25</w:t>
      </w:r>
      <w:r w:rsidRPr="00B90306">
        <w:rPr>
          <w:rFonts w:ascii="Verdana" w:hAnsi="Verdana"/>
          <w:sz w:val="20"/>
        </w:rPr>
        <w:t xml:space="preserve"> d. </w:t>
      </w:r>
      <w:r w:rsidR="00360FD5">
        <w:rPr>
          <w:rFonts w:ascii="Verdana" w:hAnsi="Verdana"/>
          <w:sz w:val="20"/>
        </w:rPr>
        <w:t xml:space="preserve"> ir  </w:t>
      </w:r>
      <w:r w:rsidR="00360FD5" w:rsidRPr="00360FD5">
        <w:rPr>
          <w:rFonts w:ascii="Verdana" w:hAnsi="Verdana"/>
          <w:sz w:val="20"/>
        </w:rPr>
        <w:t xml:space="preserve">2025 m. liepos 1 d. </w:t>
      </w:r>
      <w:r w:rsidRPr="00B90306">
        <w:rPr>
          <w:rFonts w:ascii="Verdana" w:hAnsi="Verdana"/>
          <w:sz w:val="20"/>
        </w:rPr>
        <w:t>CVP IS susirašinėjimo priemonėmis gavo klausim</w:t>
      </w:r>
      <w:r w:rsidR="00360FD5">
        <w:rPr>
          <w:rFonts w:ascii="Verdana" w:hAnsi="Verdana"/>
          <w:sz w:val="20"/>
        </w:rPr>
        <w:t>ų</w:t>
      </w:r>
      <w:r w:rsidRPr="00B90306">
        <w:rPr>
          <w:rFonts w:ascii="Verdana" w:hAnsi="Verdana"/>
          <w:sz w:val="20"/>
        </w:rPr>
        <w:t xml:space="preserve"> dėl Pirkimo sąlygų. LRT viešųjų pirkimų komisija (toliau – Komisija) išnagrinėjo gautus klausimus ir teikia atsakymus, t.</w:t>
      </w:r>
      <w:r w:rsidR="00360FD5">
        <w:rPr>
          <w:rFonts w:ascii="Verdana" w:hAnsi="Verdana"/>
          <w:sz w:val="20"/>
        </w:rPr>
        <w:t xml:space="preserve"> </w:t>
      </w:r>
      <w:r w:rsidRPr="00B90306">
        <w:rPr>
          <w:rFonts w:ascii="Verdana" w:hAnsi="Verdana"/>
          <w:sz w:val="20"/>
        </w:rPr>
        <w:t>y. paaiškina Pirkimo sąlygas:</w:t>
      </w:r>
    </w:p>
    <w:p w14:paraId="194B3EB7" w14:textId="77777777" w:rsidR="00B90306" w:rsidRDefault="00B90306" w:rsidP="004D0226">
      <w:pPr>
        <w:ind w:firstLine="567"/>
        <w:jc w:val="both"/>
        <w:rPr>
          <w:rFonts w:ascii="Verdana" w:hAnsi="Verdana"/>
          <w:sz w:val="20"/>
        </w:rPr>
      </w:pPr>
    </w:p>
    <w:p w14:paraId="7F963F12" w14:textId="071CCD2F" w:rsidR="00807A7C" w:rsidRPr="001631D2" w:rsidRDefault="001631D2" w:rsidP="004D0226">
      <w:pPr>
        <w:ind w:firstLine="567"/>
        <w:jc w:val="both"/>
        <w:rPr>
          <w:rFonts w:ascii="Verdana" w:hAnsi="Verdana"/>
          <w:noProof/>
          <w:sz w:val="20"/>
        </w:rPr>
      </w:pPr>
      <w:r w:rsidRPr="001631D2">
        <w:rPr>
          <w:rFonts w:ascii="Verdana" w:hAnsi="Verdana"/>
          <w:sz w:val="20"/>
        </w:rPr>
        <w:t>Pateikiame klausimus dėl pirkimo sąlygų patikslinimo</w:t>
      </w:r>
      <w:r w:rsidR="004D0226" w:rsidRPr="001631D2">
        <w:rPr>
          <w:rFonts w:ascii="Verdana" w:hAnsi="Verdana"/>
          <w:noProof/>
          <w:sz w:val="20"/>
        </w:rPr>
        <w:t>:</w:t>
      </w:r>
    </w:p>
    <w:tbl>
      <w:tblPr>
        <w:tblStyle w:val="TableGrid"/>
        <w:tblW w:w="9776" w:type="dxa"/>
        <w:jc w:val="center"/>
        <w:tblLook w:val="04A0" w:firstRow="1" w:lastRow="0" w:firstColumn="1" w:lastColumn="0" w:noHBand="0" w:noVBand="1"/>
      </w:tblPr>
      <w:tblGrid>
        <w:gridCol w:w="704"/>
        <w:gridCol w:w="4536"/>
        <w:gridCol w:w="4536"/>
      </w:tblGrid>
      <w:tr w:rsidR="001631D2" w:rsidRPr="004D0226" w14:paraId="0047A8CE" w14:textId="77777777" w:rsidTr="001631D2">
        <w:trPr>
          <w:jc w:val="center"/>
        </w:trPr>
        <w:tc>
          <w:tcPr>
            <w:tcW w:w="704" w:type="dxa"/>
            <w:shd w:val="clear" w:color="auto" w:fill="DEEAF6" w:themeFill="accent5" w:themeFillTint="33"/>
            <w:vAlign w:val="center"/>
          </w:tcPr>
          <w:p w14:paraId="4C181E46" w14:textId="3D427A4A" w:rsidR="001631D2" w:rsidRPr="004D0226" w:rsidRDefault="001631D2" w:rsidP="001631D2">
            <w:pPr>
              <w:ind w:hanging="24"/>
              <w:jc w:val="center"/>
              <w:rPr>
                <w:rFonts w:ascii="Verdana" w:hAnsi="Verdana"/>
                <w:b/>
                <w:bCs/>
                <w:sz w:val="20"/>
              </w:rPr>
            </w:pPr>
            <w:r>
              <w:rPr>
                <w:rFonts w:ascii="Verdana" w:hAnsi="Verdana"/>
                <w:b/>
                <w:bCs/>
                <w:sz w:val="20"/>
              </w:rPr>
              <w:t xml:space="preserve">Eil. </w:t>
            </w:r>
            <w:r w:rsidRPr="004D0226">
              <w:rPr>
                <w:rFonts w:ascii="Verdana" w:hAnsi="Verdana"/>
                <w:b/>
                <w:bCs/>
                <w:sz w:val="20"/>
              </w:rPr>
              <w:t>Nr.</w:t>
            </w:r>
          </w:p>
          <w:p w14:paraId="3F073272" w14:textId="7366A8B7" w:rsidR="001631D2" w:rsidRPr="004D0226" w:rsidRDefault="001631D2" w:rsidP="0073381C">
            <w:pPr>
              <w:jc w:val="center"/>
              <w:rPr>
                <w:rFonts w:ascii="Verdana" w:hAnsi="Verdana"/>
                <w:b/>
                <w:bCs/>
                <w:sz w:val="20"/>
              </w:rPr>
            </w:pPr>
          </w:p>
        </w:tc>
        <w:tc>
          <w:tcPr>
            <w:tcW w:w="4536" w:type="dxa"/>
            <w:shd w:val="clear" w:color="auto" w:fill="DEEAF6" w:themeFill="accent5" w:themeFillTint="33"/>
            <w:vAlign w:val="center"/>
          </w:tcPr>
          <w:p w14:paraId="030BFDC0" w14:textId="59CF6535" w:rsidR="001631D2" w:rsidRPr="004D0226" w:rsidRDefault="00360FD5" w:rsidP="0073381C">
            <w:pPr>
              <w:jc w:val="center"/>
              <w:rPr>
                <w:rFonts w:ascii="Verdana" w:hAnsi="Verdana"/>
                <w:b/>
                <w:bCs/>
                <w:sz w:val="20"/>
                <w:lang w:val="en-US"/>
              </w:rPr>
            </w:pPr>
            <w:r>
              <w:rPr>
                <w:rFonts w:ascii="Verdana" w:hAnsi="Verdana"/>
                <w:b/>
                <w:bCs/>
                <w:sz w:val="20"/>
              </w:rPr>
              <w:t>Tiekėjo k</w:t>
            </w:r>
            <w:r w:rsidR="001631D2" w:rsidRPr="004D0226">
              <w:rPr>
                <w:rFonts w:ascii="Verdana" w:hAnsi="Verdana"/>
                <w:b/>
                <w:bCs/>
                <w:sz w:val="20"/>
              </w:rPr>
              <w:t>lausimas</w:t>
            </w:r>
          </w:p>
          <w:p w14:paraId="7F9C3451" w14:textId="2841235B" w:rsidR="001631D2" w:rsidRPr="00360FD5" w:rsidRDefault="00360FD5" w:rsidP="0073381C">
            <w:pPr>
              <w:jc w:val="center"/>
              <w:rPr>
                <w:rFonts w:ascii="Verdana" w:hAnsi="Verdana"/>
                <w:sz w:val="20"/>
              </w:rPr>
            </w:pPr>
            <w:r w:rsidRPr="00360FD5">
              <w:rPr>
                <w:rFonts w:ascii="Verdana" w:hAnsi="Verdana"/>
                <w:sz w:val="20"/>
              </w:rPr>
              <w:t>(tekstas nėra redaguotas)</w:t>
            </w:r>
          </w:p>
        </w:tc>
        <w:tc>
          <w:tcPr>
            <w:tcW w:w="4536" w:type="dxa"/>
            <w:shd w:val="clear" w:color="auto" w:fill="DEEAF6" w:themeFill="accent5" w:themeFillTint="33"/>
            <w:vAlign w:val="center"/>
          </w:tcPr>
          <w:p w14:paraId="3F4B441E" w14:textId="0271C4CF" w:rsidR="001631D2" w:rsidRPr="004D0226" w:rsidRDefault="00360FD5" w:rsidP="0073381C">
            <w:pPr>
              <w:jc w:val="center"/>
              <w:rPr>
                <w:rFonts w:ascii="Verdana" w:hAnsi="Verdana"/>
                <w:b/>
                <w:bCs/>
                <w:sz w:val="20"/>
              </w:rPr>
            </w:pPr>
            <w:r>
              <w:rPr>
                <w:rFonts w:ascii="Verdana" w:hAnsi="Verdana"/>
                <w:b/>
                <w:bCs/>
                <w:sz w:val="20"/>
              </w:rPr>
              <w:t>Komisijos a</w:t>
            </w:r>
            <w:r w:rsidR="001631D2" w:rsidRPr="004D0226">
              <w:rPr>
                <w:rFonts w:ascii="Verdana" w:hAnsi="Verdana"/>
                <w:b/>
                <w:bCs/>
                <w:sz w:val="20"/>
              </w:rPr>
              <w:t>tsakymas</w:t>
            </w:r>
          </w:p>
          <w:p w14:paraId="26901378" w14:textId="311861AD" w:rsidR="001631D2" w:rsidRPr="004D0226" w:rsidRDefault="001631D2" w:rsidP="0073381C">
            <w:pPr>
              <w:jc w:val="center"/>
              <w:rPr>
                <w:rFonts w:ascii="Verdana" w:hAnsi="Verdana"/>
                <w:b/>
                <w:bCs/>
                <w:sz w:val="20"/>
              </w:rPr>
            </w:pPr>
          </w:p>
        </w:tc>
      </w:tr>
      <w:tr w:rsidR="001631D2" w:rsidRPr="004D0226" w14:paraId="2CBFDD4A" w14:textId="77777777" w:rsidTr="001631D2">
        <w:trPr>
          <w:trHeight w:val="839"/>
          <w:jc w:val="center"/>
        </w:trPr>
        <w:tc>
          <w:tcPr>
            <w:tcW w:w="704" w:type="dxa"/>
          </w:tcPr>
          <w:p w14:paraId="5823A1E1" w14:textId="23C9EF77" w:rsidR="001631D2" w:rsidRPr="004D0226" w:rsidRDefault="001631D2" w:rsidP="006165BF">
            <w:pPr>
              <w:spacing w:after="240"/>
              <w:jc w:val="center"/>
              <w:rPr>
                <w:rFonts w:ascii="Verdana" w:hAnsi="Verdana"/>
                <w:sz w:val="20"/>
              </w:rPr>
            </w:pPr>
            <w:r w:rsidRPr="004D0226">
              <w:rPr>
                <w:rFonts w:ascii="Verdana" w:hAnsi="Verdana"/>
                <w:sz w:val="20"/>
              </w:rPr>
              <w:t>1.</w:t>
            </w:r>
          </w:p>
        </w:tc>
        <w:tc>
          <w:tcPr>
            <w:tcW w:w="4536" w:type="dxa"/>
          </w:tcPr>
          <w:p w14:paraId="7033FF15"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punkte 9.3 numatyta, kad „Tiekėjas, vadovaujantis Bendrųjų pirkimo sąlygų 13.6 punktu, Techninėje specifikacijoje stulpelyje „Siūlomi parametrai“ nurodytą informaciją galės paaiškinti tik tuo atveju...“, tačiau pirkimo sąlygų dokumente „Bendrosios sąlygos“ punkte 13.6 numatyta, kad „Perkančioji organizacija turi teisę prašyti, kad tiekėjai pratęstų pasiūlymų galiojimą iki konkrečiai nurodyto termino“, o tai neatitinka konteksto.</w:t>
            </w:r>
          </w:p>
          <w:p w14:paraId="062D9B09" w14:textId="15CDB474" w:rsidR="001631D2" w:rsidRPr="004D0226" w:rsidRDefault="001631D2" w:rsidP="001631D2">
            <w:pPr>
              <w:spacing w:after="240"/>
              <w:jc w:val="both"/>
              <w:rPr>
                <w:rFonts w:ascii="Verdana" w:hAnsi="Verdana"/>
                <w:sz w:val="20"/>
              </w:rPr>
            </w:pPr>
            <w:r w:rsidRPr="001631D2">
              <w:rPr>
                <w:rFonts w:ascii="Verdana" w:hAnsi="Verdana"/>
                <w:sz w:val="20"/>
              </w:rPr>
              <w:t>Prašome patikslinti punkto numerį (patikslinti, kokiu atveju Tiekėjas galės paaiškinti TS stulpelyje „Siūlomi parametrai“ nurodytą informaciją).</w:t>
            </w:r>
          </w:p>
        </w:tc>
        <w:tc>
          <w:tcPr>
            <w:tcW w:w="4536" w:type="dxa"/>
          </w:tcPr>
          <w:p w14:paraId="4BF0A8AA" w14:textId="77777777" w:rsidR="00360FD5" w:rsidRPr="00360FD5" w:rsidRDefault="00360FD5" w:rsidP="00360FD5">
            <w:pPr>
              <w:jc w:val="both"/>
              <w:rPr>
                <w:rFonts w:ascii="Verdana" w:eastAsia="Verdana" w:hAnsi="Verdana" w:cs="Verdana"/>
                <w:sz w:val="20"/>
              </w:rPr>
            </w:pPr>
            <w:r w:rsidRPr="00360FD5">
              <w:rPr>
                <w:rFonts w:ascii="Verdana" w:eastAsia="Verdana" w:hAnsi="Verdana" w:cs="Verdana"/>
                <w:sz w:val="20"/>
              </w:rPr>
              <w:t>Perkančioji organizacija patikslina 2 priedo „Techninė specifikacija“ 9.3 punktą:</w:t>
            </w:r>
          </w:p>
          <w:p w14:paraId="1EA14AD0" w14:textId="6A83603D" w:rsidR="001631D2" w:rsidRPr="004D0226" w:rsidRDefault="00360FD5" w:rsidP="00360FD5">
            <w:pPr>
              <w:jc w:val="both"/>
              <w:rPr>
                <w:rFonts w:ascii="Verdana" w:eastAsia="Verdana" w:hAnsi="Verdana" w:cs="Verdana"/>
                <w:sz w:val="20"/>
              </w:rPr>
            </w:pPr>
            <w:r w:rsidRPr="00360FD5">
              <w:rPr>
                <w:rFonts w:ascii="Verdana" w:eastAsia="Verdana" w:hAnsi="Verdana" w:cs="Verdana"/>
                <w:sz w:val="20"/>
              </w:rPr>
              <w:t>„</w:t>
            </w:r>
            <w:r w:rsidRPr="00360FD5">
              <w:rPr>
                <w:rFonts w:ascii="Verdana" w:eastAsia="Verdana" w:hAnsi="Verdana" w:cs="Verdana"/>
                <w:i/>
                <w:iCs/>
                <w:sz w:val="20"/>
              </w:rPr>
              <w:t>Tiekėjas, vadovaujantis Bendrųjų pirkimo sąlygų 17.4 punktu, Techninėje specifikacijoje stulpelyje „Siūlomi parametrai“ nurodytą informaciją galės paaiškinti tik tuo atveju, jeigu:</w:t>
            </w:r>
            <w:r w:rsidRPr="00360FD5">
              <w:rPr>
                <w:rFonts w:ascii="Verdana" w:eastAsia="Verdana" w:hAnsi="Verdana" w:cs="Verdana"/>
                <w:sz w:val="20"/>
              </w:rPr>
              <w:t>“</w:t>
            </w:r>
          </w:p>
        </w:tc>
      </w:tr>
      <w:tr w:rsidR="001631D2" w:rsidRPr="004D0226" w14:paraId="66B866F2" w14:textId="77777777" w:rsidTr="001631D2">
        <w:trPr>
          <w:trHeight w:val="839"/>
          <w:jc w:val="center"/>
        </w:trPr>
        <w:tc>
          <w:tcPr>
            <w:tcW w:w="704" w:type="dxa"/>
          </w:tcPr>
          <w:p w14:paraId="2EAA736E" w14:textId="2F92812B" w:rsidR="001631D2" w:rsidRPr="004D0226" w:rsidRDefault="001631D2" w:rsidP="006165BF">
            <w:pPr>
              <w:spacing w:after="240"/>
              <w:jc w:val="center"/>
              <w:rPr>
                <w:rFonts w:ascii="Verdana" w:hAnsi="Verdana"/>
                <w:sz w:val="20"/>
              </w:rPr>
            </w:pPr>
            <w:r>
              <w:rPr>
                <w:rFonts w:ascii="Verdana" w:hAnsi="Verdana"/>
                <w:sz w:val="20"/>
              </w:rPr>
              <w:t>2.</w:t>
            </w:r>
          </w:p>
        </w:tc>
        <w:tc>
          <w:tcPr>
            <w:tcW w:w="4536" w:type="dxa"/>
          </w:tcPr>
          <w:p w14:paraId="3108BE61"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punkte 13.3 numatyta, kad „Ne vėliau kaip per 5 (penkias) darbo dienas nuo Sutarties įsigaliojimo, Tiekėjas privalo pateikti ir susiderinti su Perkančiąja organizacija dokumentaciją (nurodyta 22 punkte)“.</w:t>
            </w:r>
          </w:p>
          <w:p w14:paraId="5C1B0F03" w14:textId="377C6179" w:rsidR="001631D2" w:rsidRPr="001631D2" w:rsidRDefault="001631D2" w:rsidP="001631D2">
            <w:pPr>
              <w:spacing w:after="240"/>
              <w:jc w:val="both"/>
              <w:rPr>
                <w:rFonts w:ascii="Verdana" w:hAnsi="Verdana"/>
                <w:sz w:val="20"/>
              </w:rPr>
            </w:pPr>
            <w:r w:rsidRPr="001631D2">
              <w:rPr>
                <w:rFonts w:ascii="Verdana" w:hAnsi="Verdana"/>
                <w:sz w:val="20"/>
              </w:rPr>
              <w:t>Prašome patikslinti, kurią konkrečiai dokumentaciją tiekėjas turės pateikti ir susiderinti per 5 darbo dienas. Neįmanoma per 5 darbo dienas pateikti visos dokumentacijos, nes pvz. „Sistemos instrukcijos (naudotojo vadovas)“, „Testavimo ataskaitos ir defektų registras“ ir „Migravimo ataskaita“, gali būti pateikiama tik po atitinkamų paslaugų suteikimo, t. y. po sistemos pritaikymo, testavimo ir duomenų migravimo pabaigos.</w:t>
            </w:r>
          </w:p>
        </w:tc>
        <w:tc>
          <w:tcPr>
            <w:tcW w:w="4536" w:type="dxa"/>
          </w:tcPr>
          <w:p w14:paraId="151BCDF2" w14:textId="2BD9D5BF" w:rsidR="001631D2" w:rsidRPr="004D0226" w:rsidRDefault="00091A46" w:rsidP="001631D2">
            <w:pPr>
              <w:jc w:val="both"/>
              <w:rPr>
                <w:rFonts w:ascii="Verdana" w:eastAsia="Verdana" w:hAnsi="Verdana" w:cs="Verdana"/>
                <w:sz w:val="20"/>
              </w:rPr>
            </w:pPr>
            <w:r w:rsidRPr="00091A46">
              <w:rPr>
                <w:rFonts w:ascii="Verdana" w:eastAsia="Verdana" w:hAnsi="Verdana" w:cs="Verdana"/>
                <w:sz w:val="20"/>
              </w:rPr>
              <w:t xml:space="preserve">Perkančioji organizacija patikslina 2 priedo „Techninė specifikacija“ </w:t>
            </w:r>
            <w:r>
              <w:rPr>
                <w:rFonts w:ascii="Verdana" w:eastAsia="Verdana" w:hAnsi="Verdana" w:cs="Verdana"/>
                <w:sz w:val="20"/>
              </w:rPr>
              <w:t>13</w:t>
            </w:r>
            <w:r w:rsidRPr="00091A46">
              <w:rPr>
                <w:rFonts w:ascii="Verdana" w:eastAsia="Verdana" w:hAnsi="Verdana" w:cs="Verdana"/>
                <w:sz w:val="20"/>
              </w:rPr>
              <w:t>.3 punktą:</w:t>
            </w:r>
            <w:r>
              <w:t xml:space="preserve"> </w:t>
            </w:r>
            <w:r w:rsidRPr="00091A46">
              <w:rPr>
                <w:rFonts w:ascii="Verdana" w:hAnsi="Verdana"/>
                <w:i/>
                <w:iCs/>
              </w:rPr>
              <w:t>„</w:t>
            </w:r>
            <w:r w:rsidRPr="00091A46">
              <w:rPr>
                <w:rFonts w:ascii="Verdana" w:eastAsia="Verdana" w:hAnsi="Verdana" w:cs="Verdana"/>
                <w:b/>
                <w:bCs/>
                <w:i/>
                <w:iCs/>
                <w:sz w:val="20"/>
              </w:rPr>
              <w:t>II alternatyva</w:t>
            </w:r>
            <w:r w:rsidRPr="00091A46">
              <w:rPr>
                <w:rFonts w:ascii="Verdana" w:eastAsia="Verdana" w:hAnsi="Verdana" w:cs="Verdana"/>
                <w:i/>
                <w:iCs/>
                <w:sz w:val="20"/>
              </w:rPr>
              <w:t>. Ne vėliau kaip per 5 (penkias) darbo dienas nuo Sutarties įsigaliojimo, Tiekėjas privalo pateikti ir susiderinti su Perkančiąja organizacija dokumentacij</w:t>
            </w:r>
            <w:r>
              <w:rPr>
                <w:rFonts w:ascii="Verdana" w:eastAsia="Verdana" w:hAnsi="Verdana" w:cs="Verdana"/>
                <w:i/>
                <w:iCs/>
                <w:sz w:val="20"/>
              </w:rPr>
              <w:t>os</w:t>
            </w:r>
            <w:r w:rsidRPr="00091A46">
              <w:rPr>
                <w:rFonts w:ascii="Verdana" w:eastAsia="Verdana" w:hAnsi="Verdana" w:cs="Verdana"/>
                <w:i/>
                <w:iCs/>
                <w:sz w:val="20"/>
              </w:rPr>
              <w:t xml:space="preserve"> (nurodyt</w:t>
            </w:r>
            <w:r w:rsidR="001F1A09">
              <w:rPr>
                <w:rFonts w:ascii="Verdana" w:eastAsia="Verdana" w:hAnsi="Verdana" w:cs="Verdana"/>
                <w:i/>
                <w:iCs/>
                <w:sz w:val="20"/>
              </w:rPr>
              <w:t>os</w:t>
            </w:r>
            <w:r w:rsidRPr="00091A46">
              <w:rPr>
                <w:rFonts w:ascii="Verdana" w:eastAsia="Verdana" w:hAnsi="Verdana" w:cs="Verdana"/>
                <w:i/>
                <w:iCs/>
                <w:sz w:val="20"/>
              </w:rPr>
              <w:t xml:space="preserve"> 22 punkte)</w:t>
            </w:r>
            <w:r>
              <w:rPr>
                <w:rFonts w:ascii="Verdana" w:eastAsia="Verdana" w:hAnsi="Verdana" w:cs="Verdana"/>
                <w:i/>
                <w:iCs/>
                <w:sz w:val="20"/>
              </w:rPr>
              <w:t xml:space="preserve"> pateikimo planą</w:t>
            </w:r>
            <w:r w:rsidRPr="00091A46">
              <w:rPr>
                <w:rFonts w:ascii="Verdana" w:eastAsia="Verdana" w:hAnsi="Verdana" w:cs="Verdana"/>
                <w:i/>
                <w:iCs/>
                <w:sz w:val="20"/>
              </w:rPr>
              <w:t>, detal</w:t>
            </w:r>
            <w:r>
              <w:rPr>
                <w:rFonts w:ascii="Verdana" w:eastAsia="Verdana" w:hAnsi="Verdana" w:cs="Verdana"/>
                <w:i/>
                <w:iCs/>
                <w:sz w:val="20"/>
              </w:rPr>
              <w:t>ius</w:t>
            </w:r>
            <w:r w:rsidRPr="00091A46">
              <w:rPr>
                <w:rFonts w:ascii="Verdana" w:eastAsia="Verdana" w:hAnsi="Verdana" w:cs="Verdana"/>
                <w:i/>
                <w:iCs/>
                <w:sz w:val="20"/>
              </w:rPr>
              <w:t xml:space="preserve"> diegimo ir migracijos planus, kuriuose privalo būti išvardinti diegimo žingsniai, terminai, duomenų analizės ir duomenų migravimo paruošimo etapai. Detalūs diegimo ir migracijos planai turės būti suderinti su Perkančiąja organizacija</w:t>
            </w:r>
            <w:r>
              <w:rPr>
                <w:rFonts w:ascii="Verdana" w:eastAsia="Verdana" w:hAnsi="Verdana" w:cs="Verdana"/>
                <w:i/>
                <w:iCs/>
                <w:sz w:val="20"/>
              </w:rPr>
              <w:t>.“</w:t>
            </w:r>
          </w:p>
        </w:tc>
      </w:tr>
      <w:tr w:rsidR="001631D2" w:rsidRPr="004D0226" w14:paraId="2B0E09CE" w14:textId="77777777" w:rsidTr="001631D2">
        <w:trPr>
          <w:trHeight w:val="839"/>
          <w:jc w:val="center"/>
        </w:trPr>
        <w:tc>
          <w:tcPr>
            <w:tcW w:w="704" w:type="dxa"/>
          </w:tcPr>
          <w:p w14:paraId="1E0AF505" w14:textId="549AFD99" w:rsidR="001631D2" w:rsidRDefault="001631D2" w:rsidP="006165BF">
            <w:pPr>
              <w:spacing w:after="240"/>
              <w:jc w:val="center"/>
              <w:rPr>
                <w:rFonts w:ascii="Verdana" w:hAnsi="Verdana"/>
                <w:sz w:val="20"/>
              </w:rPr>
            </w:pPr>
            <w:r>
              <w:rPr>
                <w:rFonts w:ascii="Verdana" w:hAnsi="Verdana"/>
                <w:sz w:val="20"/>
              </w:rPr>
              <w:t>3</w:t>
            </w:r>
          </w:p>
        </w:tc>
        <w:tc>
          <w:tcPr>
            <w:tcW w:w="4536" w:type="dxa"/>
          </w:tcPr>
          <w:p w14:paraId="7E49D2E8" w14:textId="77777777" w:rsidR="001631D2" w:rsidRPr="001631D2" w:rsidRDefault="001631D2" w:rsidP="001631D2">
            <w:pPr>
              <w:spacing w:after="240"/>
              <w:jc w:val="both"/>
              <w:rPr>
                <w:rFonts w:ascii="Verdana" w:hAnsi="Verdana"/>
                <w:sz w:val="20"/>
              </w:rPr>
            </w:pPr>
            <w:r w:rsidRPr="001631D2">
              <w:rPr>
                <w:rFonts w:ascii="Verdana" w:hAnsi="Verdana"/>
                <w:sz w:val="20"/>
              </w:rPr>
              <w:t xml:space="preserve">Pirkimo sąlygų 2 priede „Techninė specifikacija“ punkte 13.6 numatyta, kad „Ne vėliau kaip per 20 (dvidešimt) darbo dienų nuo dokumentacijos pateikimo, Tiekėjas privalo perduoti LRT naudojimui </w:t>
            </w:r>
            <w:r w:rsidRPr="001631D2">
              <w:rPr>
                <w:rFonts w:ascii="Verdana" w:hAnsi="Verdana"/>
                <w:sz w:val="20"/>
              </w:rPr>
              <w:lastRenderedPageBreak/>
              <w:t>pilnai įdiegtą ir ištestuotą sistemą“, o punkte 13.8 numatyta, kad „Sistema turi būti įdiegta, sukonfigūruota, perkelti istoriniai duomenys, atlikti naudotojų mokymai ir Sistema turi būti pilnai veikianti pagal Techninės specifikacijos reikalavimus ne vėliau kaip iki 2025-12-08, 00 val.“.</w:t>
            </w:r>
          </w:p>
          <w:p w14:paraId="25668D9F" w14:textId="712CF934" w:rsidR="001631D2" w:rsidRPr="001631D2" w:rsidRDefault="001631D2" w:rsidP="001631D2">
            <w:pPr>
              <w:spacing w:after="240"/>
              <w:jc w:val="both"/>
              <w:rPr>
                <w:rFonts w:ascii="Verdana" w:hAnsi="Verdana"/>
                <w:sz w:val="20"/>
              </w:rPr>
            </w:pPr>
            <w:r w:rsidRPr="001631D2">
              <w:rPr>
                <w:rFonts w:ascii="Verdana" w:hAnsi="Verdana"/>
                <w:sz w:val="20"/>
              </w:rPr>
              <w:t>Prašome patikslinti, iki kada Tiekėjas privalo perduoti LRT naudojimui pilnai įdiegtą ir ištestuotą sistemą, nes pagal šiuos punktus datos gali skirtis.</w:t>
            </w:r>
          </w:p>
        </w:tc>
        <w:tc>
          <w:tcPr>
            <w:tcW w:w="4536" w:type="dxa"/>
          </w:tcPr>
          <w:p w14:paraId="206EEFE3" w14:textId="0F6B3CAF" w:rsidR="001F1A09" w:rsidRPr="001F1A09" w:rsidRDefault="001F1A09" w:rsidP="001F1A09">
            <w:pPr>
              <w:jc w:val="both"/>
              <w:rPr>
                <w:rFonts w:ascii="Verdana" w:eastAsia="Verdana" w:hAnsi="Verdana" w:cs="Verdana"/>
                <w:sz w:val="20"/>
              </w:rPr>
            </w:pPr>
            <w:r>
              <w:rPr>
                <w:rFonts w:ascii="Verdana" w:eastAsia="Verdana" w:hAnsi="Verdana" w:cs="Verdana"/>
                <w:sz w:val="20"/>
              </w:rPr>
              <w:lastRenderedPageBreak/>
              <w:t xml:space="preserve">Techninės specifikacijos </w:t>
            </w:r>
            <w:r w:rsidRPr="001F1A09">
              <w:rPr>
                <w:rFonts w:ascii="Verdana" w:eastAsia="Verdana" w:hAnsi="Verdana" w:cs="Verdana"/>
                <w:sz w:val="20"/>
              </w:rPr>
              <w:t xml:space="preserve">13.6 </w:t>
            </w:r>
            <w:r>
              <w:rPr>
                <w:rFonts w:ascii="Verdana" w:eastAsia="Verdana" w:hAnsi="Verdana" w:cs="Verdana"/>
                <w:sz w:val="20"/>
              </w:rPr>
              <w:t xml:space="preserve">punkte </w:t>
            </w:r>
            <w:r w:rsidRPr="001F1A09">
              <w:rPr>
                <w:rFonts w:ascii="Verdana" w:eastAsia="Verdana" w:hAnsi="Verdana" w:cs="Verdana"/>
                <w:sz w:val="20"/>
              </w:rPr>
              <w:t>nurodytas 20</w:t>
            </w:r>
            <w:r>
              <w:rPr>
                <w:rFonts w:ascii="Verdana" w:eastAsia="Verdana" w:hAnsi="Verdana" w:cs="Verdana"/>
                <w:sz w:val="20"/>
              </w:rPr>
              <w:t xml:space="preserve"> (dvidešimties)</w:t>
            </w:r>
            <w:r w:rsidRPr="001F1A09">
              <w:rPr>
                <w:rFonts w:ascii="Verdana" w:eastAsia="Verdana" w:hAnsi="Verdana" w:cs="Verdana"/>
                <w:sz w:val="20"/>
              </w:rPr>
              <w:t xml:space="preserve"> darbo dienų terminas skaičiuojamas nuo dokumentacijos plano pateikimo dienos, tačiau bet kuriuo atveju jis negali viršyti </w:t>
            </w:r>
            <w:r w:rsidRPr="001F1A09">
              <w:rPr>
                <w:rFonts w:ascii="Verdana" w:eastAsia="Verdana" w:hAnsi="Verdana" w:cs="Verdana"/>
                <w:sz w:val="20"/>
              </w:rPr>
              <w:lastRenderedPageBreak/>
              <w:t xml:space="preserve">13.8 </w:t>
            </w:r>
            <w:r>
              <w:rPr>
                <w:rFonts w:ascii="Verdana" w:eastAsia="Verdana" w:hAnsi="Verdana" w:cs="Verdana"/>
                <w:sz w:val="20"/>
              </w:rPr>
              <w:t xml:space="preserve">punkte </w:t>
            </w:r>
            <w:r w:rsidRPr="001F1A09">
              <w:rPr>
                <w:rFonts w:ascii="Verdana" w:eastAsia="Verdana" w:hAnsi="Verdana" w:cs="Verdana"/>
                <w:sz w:val="20"/>
              </w:rPr>
              <w:t>nustatytos galutinės datos – 2025-12-08 00 val.</w:t>
            </w:r>
          </w:p>
          <w:p w14:paraId="6A53C734" w14:textId="2A58E192" w:rsidR="001631D2" w:rsidRPr="004D0226" w:rsidRDefault="001F1A09" w:rsidP="001F1A09">
            <w:pPr>
              <w:jc w:val="both"/>
              <w:rPr>
                <w:rFonts w:ascii="Verdana" w:eastAsia="Verdana" w:hAnsi="Verdana" w:cs="Verdana"/>
                <w:sz w:val="20"/>
              </w:rPr>
            </w:pPr>
            <w:r w:rsidRPr="001F1A09">
              <w:rPr>
                <w:rFonts w:ascii="Verdana" w:eastAsia="Verdana" w:hAnsi="Verdana" w:cs="Verdana"/>
                <w:sz w:val="20"/>
              </w:rPr>
              <w:t>Todėl Tiekėjas prival</w:t>
            </w:r>
            <w:r>
              <w:rPr>
                <w:rFonts w:ascii="Verdana" w:eastAsia="Verdana" w:hAnsi="Verdana" w:cs="Verdana"/>
                <w:sz w:val="20"/>
              </w:rPr>
              <w:t>ės</w:t>
            </w:r>
            <w:r w:rsidRPr="001F1A09">
              <w:rPr>
                <w:rFonts w:ascii="Verdana" w:eastAsia="Verdana" w:hAnsi="Verdana" w:cs="Verdana"/>
                <w:sz w:val="20"/>
              </w:rPr>
              <w:t xml:space="preserve"> perduoti LRT naudojimui pilnai įdiegtą ir ištestuotą sistemą per 20 darbo dienų nuo dokumentacijos plano pateikimo dienos, bet ne vėliau kaip iki 2025-12-08</w:t>
            </w:r>
            <w:r>
              <w:rPr>
                <w:rFonts w:ascii="Verdana" w:eastAsia="Verdana" w:hAnsi="Verdana" w:cs="Verdana"/>
                <w:sz w:val="20"/>
              </w:rPr>
              <w:t xml:space="preserve"> imtinai.</w:t>
            </w:r>
          </w:p>
        </w:tc>
      </w:tr>
      <w:tr w:rsidR="001631D2" w:rsidRPr="004D0226" w14:paraId="2231CE7B" w14:textId="77777777" w:rsidTr="001631D2">
        <w:trPr>
          <w:trHeight w:val="839"/>
          <w:jc w:val="center"/>
        </w:trPr>
        <w:tc>
          <w:tcPr>
            <w:tcW w:w="704" w:type="dxa"/>
          </w:tcPr>
          <w:p w14:paraId="6B94D33B" w14:textId="6BCAFF0D" w:rsidR="001631D2" w:rsidRDefault="001631D2" w:rsidP="006165BF">
            <w:pPr>
              <w:spacing w:after="240"/>
              <w:jc w:val="center"/>
              <w:rPr>
                <w:rFonts w:ascii="Verdana" w:hAnsi="Verdana"/>
                <w:sz w:val="20"/>
              </w:rPr>
            </w:pPr>
            <w:r>
              <w:rPr>
                <w:rFonts w:ascii="Verdana" w:hAnsi="Verdana"/>
                <w:sz w:val="20"/>
              </w:rPr>
              <w:lastRenderedPageBreak/>
              <w:t>4</w:t>
            </w:r>
          </w:p>
        </w:tc>
        <w:tc>
          <w:tcPr>
            <w:tcW w:w="4536" w:type="dxa"/>
          </w:tcPr>
          <w:p w14:paraId="07849AC0"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punkte 14 numatyta, kad „Prekės bei Paslaugos atitinkančios Techninės specifikacijos reikalavimus turi būti pristatytos ir įdiegtos/teikiamos adresu S. Konarskio g. 49, 03123 Vilnius arba nuotoliniu būdu“.</w:t>
            </w:r>
          </w:p>
          <w:p w14:paraId="47785BF2" w14:textId="05315E91" w:rsidR="001631D2" w:rsidRPr="001631D2" w:rsidRDefault="001631D2" w:rsidP="001631D2">
            <w:pPr>
              <w:spacing w:after="240"/>
              <w:jc w:val="both"/>
              <w:rPr>
                <w:rFonts w:ascii="Verdana" w:hAnsi="Verdana"/>
                <w:sz w:val="20"/>
              </w:rPr>
            </w:pPr>
            <w:r w:rsidRPr="001631D2">
              <w:rPr>
                <w:rFonts w:ascii="Verdana" w:hAnsi="Verdana"/>
                <w:sz w:val="20"/>
              </w:rPr>
              <w:t>Prašome patikslinti, ar Perkančioji organizacija suteiks galimybę paslaugas teikti nuotoliniu būdu.</w:t>
            </w:r>
          </w:p>
        </w:tc>
        <w:tc>
          <w:tcPr>
            <w:tcW w:w="4536" w:type="dxa"/>
          </w:tcPr>
          <w:p w14:paraId="6F6C20C3" w14:textId="3F7F3872" w:rsidR="001631D2" w:rsidRPr="004D0226" w:rsidRDefault="001F1A09" w:rsidP="001631D2">
            <w:pPr>
              <w:jc w:val="both"/>
              <w:rPr>
                <w:rFonts w:ascii="Verdana" w:eastAsia="Verdana" w:hAnsi="Verdana" w:cs="Verdana"/>
                <w:sz w:val="20"/>
              </w:rPr>
            </w:pPr>
            <w:r>
              <w:rPr>
                <w:rFonts w:ascii="Verdana" w:eastAsia="Verdana" w:hAnsi="Verdana" w:cs="Verdana"/>
                <w:sz w:val="20"/>
              </w:rPr>
              <w:t>P</w:t>
            </w:r>
            <w:r w:rsidRPr="001F1A09">
              <w:rPr>
                <w:rFonts w:ascii="Verdana" w:eastAsia="Verdana" w:hAnsi="Verdana" w:cs="Verdana"/>
                <w:sz w:val="20"/>
              </w:rPr>
              <w:t>aslaugas bus galima teikti nuotoliniu būdu, jei tai netrukdys jų kokybiškam atlikimui ir Perkančiosios organizacijos saugumui. Esant būtinybei, darbai gali būti vykdomi ir adresu S. Konarskio g. 49, Vilnius.</w:t>
            </w:r>
          </w:p>
        </w:tc>
      </w:tr>
      <w:tr w:rsidR="001631D2" w:rsidRPr="004D0226" w14:paraId="3D488AF1" w14:textId="77777777" w:rsidTr="001631D2">
        <w:trPr>
          <w:trHeight w:val="839"/>
          <w:jc w:val="center"/>
        </w:trPr>
        <w:tc>
          <w:tcPr>
            <w:tcW w:w="704" w:type="dxa"/>
          </w:tcPr>
          <w:p w14:paraId="53E301B0" w14:textId="2307107A" w:rsidR="001631D2" w:rsidRDefault="001631D2" w:rsidP="006165BF">
            <w:pPr>
              <w:spacing w:after="240"/>
              <w:jc w:val="center"/>
              <w:rPr>
                <w:rFonts w:ascii="Verdana" w:hAnsi="Verdana"/>
                <w:sz w:val="20"/>
              </w:rPr>
            </w:pPr>
            <w:r>
              <w:rPr>
                <w:rFonts w:ascii="Verdana" w:hAnsi="Verdana"/>
                <w:sz w:val="20"/>
              </w:rPr>
              <w:t>5</w:t>
            </w:r>
          </w:p>
        </w:tc>
        <w:tc>
          <w:tcPr>
            <w:tcW w:w="4536" w:type="dxa"/>
          </w:tcPr>
          <w:p w14:paraId="6AB73F9B" w14:textId="77777777" w:rsidR="001631D2" w:rsidRDefault="001631D2" w:rsidP="001631D2">
            <w:pPr>
              <w:spacing w:after="240"/>
              <w:jc w:val="both"/>
              <w:rPr>
                <w:rFonts w:ascii="Verdana" w:hAnsi="Verdana"/>
                <w:sz w:val="20"/>
              </w:rPr>
            </w:pPr>
            <w:r w:rsidRPr="001631D2">
              <w:rPr>
                <w:rFonts w:ascii="Verdana" w:hAnsi="Verdana"/>
                <w:sz w:val="20"/>
              </w:rPr>
              <w:t xml:space="preserve">Pirkimo sąlygų 2 priede „Techninė specifikacija“ lentelėje Nr. 3 punkte 2 numatyta, kad „Sistema turi palaikyti ne mažiau kaip 200 vienu metu dirbančių naudotojų, </w:t>
            </w:r>
            <w:proofErr w:type="spellStart"/>
            <w:r w:rsidRPr="001631D2">
              <w:rPr>
                <w:rFonts w:ascii="Verdana" w:hAnsi="Verdana"/>
                <w:sz w:val="20"/>
              </w:rPr>
              <w:t>t.y</w:t>
            </w:r>
            <w:proofErr w:type="spellEnd"/>
            <w:r w:rsidRPr="001631D2">
              <w:rPr>
                <w:rFonts w:ascii="Verdana" w:hAnsi="Verdana"/>
                <w:sz w:val="20"/>
              </w:rPr>
              <w:t>. sprendžiant krepinius ir valdant projektus“.</w:t>
            </w:r>
          </w:p>
          <w:p w14:paraId="5DA95583" w14:textId="77777777" w:rsidR="001631D2" w:rsidRPr="001631D2" w:rsidRDefault="001631D2" w:rsidP="001631D2">
            <w:pPr>
              <w:spacing w:after="240"/>
              <w:jc w:val="both"/>
              <w:rPr>
                <w:rFonts w:ascii="Verdana" w:hAnsi="Verdana"/>
                <w:sz w:val="20"/>
              </w:rPr>
            </w:pPr>
            <w:r w:rsidRPr="001631D2">
              <w:rPr>
                <w:rFonts w:ascii="Verdana" w:hAnsi="Verdana"/>
                <w:sz w:val="20"/>
              </w:rPr>
              <w:t>Prašome patikslinti, ar reikalavimas būtų tenkinamas, jeigu būtų pateikiama 200 vardinių licencijų (kai kiekvienas specialistas turi savo asmeninę licenciją ir gali bet kada prisijungti, vienu metu gali prisijungti 200 specialistų).</w:t>
            </w:r>
          </w:p>
          <w:p w14:paraId="46C4A6A9" w14:textId="44425D41" w:rsidR="001631D2" w:rsidRPr="001631D2" w:rsidRDefault="001631D2" w:rsidP="001631D2">
            <w:pPr>
              <w:spacing w:after="240"/>
              <w:jc w:val="both"/>
              <w:rPr>
                <w:rFonts w:ascii="Verdana" w:hAnsi="Verdana"/>
                <w:sz w:val="20"/>
              </w:rPr>
            </w:pPr>
            <w:r w:rsidRPr="001631D2">
              <w:rPr>
                <w:rFonts w:ascii="Verdana" w:hAnsi="Verdana"/>
                <w:sz w:val="20"/>
              </w:rPr>
              <w:t>Prašome patikslinti, kokio tipo licencijos šiuo metu naudojamos turimoje sistemoje (</w:t>
            </w:r>
            <w:proofErr w:type="spellStart"/>
            <w:r w:rsidRPr="001631D2">
              <w:rPr>
                <w:rFonts w:ascii="Verdana" w:hAnsi="Verdana"/>
                <w:sz w:val="20"/>
              </w:rPr>
              <w:t>Jira</w:t>
            </w:r>
            <w:proofErr w:type="spellEnd"/>
            <w:r w:rsidRPr="001631D2">
              <w:rPr>
                <w:rFonts w:ascii="Verdana" w:hAnsi="Verdana"/>
                <w:sz w:val="20"/>
              </w:rPr>
              <w:t>).</w:t>
            </w:r>
          </w:p>
        </w:tc>
        <w:tc>
          <w:tcPr>
            <w:tcW w:w="4536" w:type="dxa"/>
          </w:tcPr>
          <w:p w14:paraId="57DE035E" w14:textId="1E85407A" w:rsidR="001F1A09" w:rsidRPr="001F1A09" w:rsidRDefault="001F1A09" w:rsidP="001F1A09">
            <w:pPr>
              <w:jc w:val="both"/>
              <w:rPr>
                <w:rFonts w:ascii="Verdana" w:eastAsia="Verdana" w:hAnsi="Verdana" w:cs="Verdana"/>
                <w:sz w:val="20"/>
              </w:rPr>
            </w:pPr>
            <w:r w:rsidRPr="001F1A09">
              <w:rPr>
                <w:rFonts w:ascii="Verdana" w:eastAsia="Verdana" w:hAnsi="Verdana" w:cs="Verdana"/>
                <w:sz w:val="20"/>
              </w:rPr>
              <w:t>Dabartinės licencijos nurodytos Techninė</w:t>
            </w:r>
            <w:r>
              <w:rPr>
                <w:rFonts w:ascii="Verdana" w:eastAsia="Verdana" w:hAnsi="Verdana" w:cs="Verdana"/>
                <w:sz w:val="20"/>
              </w:rPr>
              <w:t>s</w:t>
            </w:r>
            <w:r w:rsidRPr="001F1A09">
              <w:rPr>
                <w:rFonts w:ascii="Verdana" w:eastAsia="Verdana" w:hAnsi="Verdana" w:cs="Verdana"/>
                <w:sz w:val="20"/>
              </w:rPr>
              <w:t xml:space="preserve"> specifikacij</w:t>
            </w:r>
            <w:r>
              <w:rPr>
                <w:rFonts w:ascii="Verdana" w:eastAsia="Verdana" w:hAnsi="Verdana" w:cs="Verdana"/>
                <w:sz w:val="20"/>
              </w:rPr>
              <w:t>os</w:t>
            </w:r>
            <w:r w:rsidRPr="001F1A09">
              <w:rPr>
                <w:rFonts w:ascii="Verdana" w:eastAsia="Verdana" w:hAnsi="Verdana" w:cs="Verdana"/>
                <w:sz w:val="20"/>
              </w:rPr>
              <w:t xml:space="preserve"> 1 lentelėje.</w:t>
            </w:r>
            <w:r w:rsidR="00912CD2">
              <w:rPr>
                <w:rFonts w:ascii="Verdana" w:eastAsia="Verdana" w:hAnsi="Verdana" w:cs="Verdana"/>
                <w:sz w:val="20"/>
              </w:rPr>
              <w:t xml:space="preserve"> </w:t>
            </w:r>
            <w:r w:rsidRPr="001F1A09">
              <w:rPr>
                <w:rFonts w:ascii="Verdana" w:eastAsia="Verdana" w:hAnsi="Verdana" w:cs="Verdana"/>
                <w:sz w:val="20"/>
              </w:rPr>
              <w:t>200</w:t>
            </w:r>
            <w:r w:rsidR="00912CD2">
              <w:rPr>
                <w:rFonts w:ascii="Verdana" w:eastAsia="Verdana" w:hAnsi="Verdana" w:cs="Verdana"/>
                <w:sz w:val="20"/>
              </w:rPr>
              <w:t xml:space="preserve"> vnt.</w:t>
            </w:r>
            <w:r>
              <w:rPr>
                <w:rFonts w:ascii="Verdana" w:eastAsia="Verdana" w:hAnsi="Verdana" w:cs="Verdana"/>
                <w:sz w:val="20"/>
              </w:rPr>
              <w:t xml:space="preserve"> </w:t>
            </w:r>
            <w:r w:rsidRPr="001F1A09">
              <w:rPr>
                <w:rFonts w:ascii="Verdana" w:eastAsia="Verdana" w:hAnsi="Verdana" w:cs="Verdana"/>
                <w:sz w:val="20"/>
              </w:rPr>
              <w:t>vardinių licencijų nepakanka, nes reikia palaikyti 200</w:t>
            </w:r>
            <w:r>
              <w:rPr>
                <w:rFonts w:ascii="Verdana" w:eastAsia="Verdana" w:hAnsi="Verdana" w:cs="Verdana"/>
                <w:sz w:val="20"/>
              </w:rPr>
              <w:t xml:space="preserve"> </w:t>
            </w:r>
            <w:r w:rsidRPr="001F1A09">
              <w:rPr>
                <w:rFonts w:ascii="Verdana" w:eastAsia="Verdana" w:hAnsi="Verdana" w:cs="Verdana"/>
                <w:sz w:val="20"/>
              </w:rPr>
              <w:t>naudotojų projektų valdymui ir dar 100 kreipinių sprendimui.</w:t>
            </w:r>
          </w:p>
          <w:p w14:paraId="7B341F30" w14:textId="72F57D45" w:rsidR="001F1A09" w:rsidRPr="001F1A09" w:rsidRDefault="001F1A09" w:rsidP="001F1A09">
            <w:pPr>
              <w:jc w:val="both"/>
              <w:rPr>
                <w:rFonts w:ascii="Verdana" w:eastAsia="Verdana" w:hAnsi="Verdana" w:cs="Verdana"/>
                <w:sz w:val="20"/>
              </w:rPr>
            </w:pPr>
            <w:r w:rsidRPr="001F1A09">
              <w:rPr>
                <w:rFonts w:ascii="Verdana" w:eastAsia="Verdana" w:hAnsi="Verdana" w:cs="Verdana"/>
                <w:sz w:val="20"/>
              </w:rPr>
              <w:t xml:space="preserve">Jei licencijos yra konkurencinės (leidžia vienu metu dirbti 200 naudotojų), </w:t>
            </w:r>
            <w:r>
              <w:rPr>
                <w:rFonts w:ascii="Verdana" w:eastAsia="Verdana" w:hAnsi="Verdana" w:cs="Verdana"/>
                <w:sz w:val="20"/>
              </w:rPr>
              <w:t xml:space="preserve">tai </w:t>
            </w:r>
            <w:r w:rsidRPr="001F1A09">
              <w:rPr>
                <w:rFonts w:ascii="Verdana" w:eastAsia="Verdana" w:hAnsi="Verdana" w:cs="Verdana"/>
                <w:sz w:val="20"/>
              </w:rPr>
              <w:t>reikalavimas tenkinamas.</w:t>
            </w:r>
          </w:p>
          <w:p w14:paraId="013A868D" w14:textId="2868BB7F" w:rsidR="001631D2" w:rsidRPr="004D0226" w:rsidRDefault="001F1A09" w:rsidP="001F1A09">
            <w:pPr>
              <w:jc w:val="both"/>
              <w:rPr>
                <w:rFonts w:ascii="Verdana" w:eastAsia="Verdana" w:hAnsi="Verdana" w:cs="Verdana"/>
                <w:sz w:val="20"/>
              </w:rPr>
            </w:pPr>
            <w:r w:rsidRPr="001F1A09">
              <w:rPr>
                <w:rFonts w:ascii="Verdana" w:eastAsia="Verdana" w:hAnsi="Verdana" w:cs="Verdana"/>
                <w:sz w:val="20"/>
              </w:rPr>
              <w:t>Naudotojų, kurie registruoja kreipinius</w:t>
            </w:r>
            <w:r>
              <w:rPr>
                <w:rFonts w:ascii="Verdana" w:eastAsia="Verdana" w:hAnsi="Verdana" w:cs="Verdana"/>
                <w:sz w:val="20"/>
              </w:rPr>
              <w:t xml:space="preserve">, </w:t>
            </w:r>
            <w:r w:rsidRPr="001F1A09">
              <w:rPr>
                <w:rFonts w:ascii="Verdana" w:eastAsia="Verdana" w:hAnsi="Verdana" w:cs="Verdana"/>
                <w:sz w:val="20"/>
              </w:rPr>
              <w:t>kiekis turėtų būti ne mažesnis nei 1500</w:t>
            </w:r>
            <w:r w:rsidR="00912CD2">
              <w:rPr>
                <w:rFonts w:ascii="Verdana" w:eastAsia="Verdana" w:hAnsi="Verdana" w:cs="Verdana"/>
                <w:sz w:val="20"/>
              </w:rPr>
              <w:t xml:space="preserve">, </w:t>
            </w:r>
            <w:r w:rsidRPr="001F1A09">
              <w:rPr>
                <w:rFonts w:ascii="Verdana" w:eastAsia="Verdana" w:hAnsi="Verdana" w:cs="Verdana"/>
                <w:sz w:val="20"/>
              </w:rPr>
              <w:t>o vienu metu gali prisijungti ne mažiau nei 200</w:t>
            </w:r>
            <w:r>
              <w:rPr>
                <w:rFonts w:ascii="Verdana" w:eastAsia="Verdana" w:hAnsi="Verdana" w:cs="Verdana"/>
                <w:sz w:val="20"/>
              </w:rPr>
              <w:t xml:space="preserve"> </w:t>
            </w:r>
            <w:r w:rsidRPr="001F1A09">
              <w:rPr>
                <w:rFonts w:ascii="Verdana" w:eastAsia="Verdana" w:hAnsi="Verdana" w:cs="Verdana"/>
                <w:sz w:val="20"/>
              </w:rPr>
              <w:t>naudotojų.</w:t>
            </w:r>
          </w:p>
        </w:tc>
      </w:tr>
      <w:tr w:rsidR="001631D2" w:rsidRPr="004D0226" w14:paraId="5923D63C" w14:textId="77777777" w:rsidTr="001631D2">
        <w:trPr>
          <w:trHeight w:val="839"/>
          <w:jc w:val="center"/>
        </w:trPr>
        <w:tc>
          <w:tcPr>
            <w:tcW w:w="704" w:type="dxa"/>
          </w:tcPr>
          <w:p w14:paraId="6B5B478F" w14:textId="4EDE9FAD" w:rsidR="001631D2" w:rsidRDefault="001631D2" w:rsidP="006165BF">
            <w:pPr>
              <w:spacing w:after="240"/>
              <w:jc w:val="center"/>
              <w:rPr>
                <w:rFonts w:ascii="Verdana" w:hAnsi="Verdana"/>
                <w:sz w:val="20"/>
              </w:rPr>
            </w:pPr>
            <w:r>
              <w:rPr>
                <w:rFonts w:ascii="Verdana" w:hAnsi="Verdana"/>
                <w:sz w:val="20"/>
              </w:rPr>
              <w:t>6</w:t>
            </w:r>
          </w:p>
        </w:tc>
        <w:tc>
          <w:tcPr>
            <w:tcW w:w="4536" w:type="dxa"/>
          </w:tcPr>
          <w:p w14:paraId="6D8B6E80" w14:textId="77777777" w:rsidR="001631D2" w:rsidRDefault="001631D2" w:rsidP="001631D2">
            <w:pPr>
              <w:spacing w:after="240"/>
              <w:jc w:val="both"/>
              <w:rPr>
                <w:rFonts w:ascii="Verdana" w:hAnsi="Verdana"/>
                <w:sz w:val="20"/>
              </w:rPr>
            </w:pPr>
            <w:r w:rsidRPr="001631D2">
              <w:rPr>
                <w:rFonts w:ascii="Verdana" w:hAnsi="Verdana"/>
                <w:sz w:val="20"/>
              </w:rPr>
              <w:t>Pirkimo sąlygų 2 priede „Techninė specifikacija“ lentelėje Nr. 3 punkte 6 numatyta, kad „Sistema turi turėti pilnai lokalizuotą naudotojo sąsają lietuvių kalba. Visi naudotojui matomi tekstai (meniu, mygtukai, pranešimai, pagalbos langai, klaidų pranešimai ir kt.) turi būti pateikti taisyklinga lietuvių kalba (taikoma visoms sistemos dalims)“.</w:t>
            </w:r>
          </w:p>
          <w:p w14:paraId="27D52EF7" w14:textId="13E61AAD" w:rsidR="001631D2" w:rsidRPr="001631D2" w:rsidRDefault="001631D2" w:rsidP="001631D2">
            <w:pPr>
              <w:spacing w:after="240"/>
              <w:jc w:val="both"/>
              <w:rPr>
                <w:rFonts w:ascii="Verdana" w:hAnsi="Verdana"/>
                <w:sz w:val="20"/>
              </w:rPr>
            </w:pPr>
            <w:r w:rsidRPr="001631D2">
              <w:rPr>
                <w:rFonts w:ascii="Verdana" w:hAnsi="Verdana"/>
                <w:sz w:val="20"/>
              </w:rPr>
              <w:t>Prašome patikslinti, ar šiuo metu turima sistema (</w:t>
            </w:r>
            <w:proofErr w:type="spellStart"/>
            <w:r w:rsidRPr="001631D2">
              <w:rPr>
                <w:rFonts w:ascii="Verdana" w:hAnsi="Verdana"/>
                <w:sz w:val="20"/>
              </w:rPr>
              <w:t>Jira</w:t>
            </w:r>
            <w:proofErr w:type="spellEnd"/>
            <w:r w:rsidRPr="001631D2">
              <w:rPr>
                <w:rFonts w:ascii="Verdana" w:hAnsi="Verdana"/>
                <w:sz w:val="20"/>
              </w:rPr>
              <w:t>) yra naudojama lietuvių kalba.</w:t>
            </w:r>
          </w:p>
        </w:tc>
        <w:tc>
          <w:tcPr>
            <w:tcW w:w="4536" w:type="dxa"/>
          </w:tcPr>
          <w:p w14:paraId="38777081" w14:textId="0CB0B511" w:rsidR="001631D2" w:rsidRPr="004D0226" w:rsidRDefault="001F1A09" w:rsidP="001F1A09">
            <w:pPr>
              <w:jc w:val="both"/>
              <w:rPr>
                <w:rFonts w:ascii="Verdana" w:eastAsia="Verdana" w:hAnsi="Verdana" w:cs="Verdana"/>
                <w:sz w:val="20"/>
              </w:rPr>
            </w:pPr>
            <w:r w:rsidRPr="001F1A09">
              <w:rPr>
                <w:rFonts w:ascii="Verdana" w:eastAsia="Verdana" w:hAnsi="Verdana" w:cs="Verdana"/>
                <w:sz w:val="20"/>
              </w:rPr>
              <w:t>Šiuo metu naudojama sistema (</w:t>
            </w:r>
            <w:proofErr w:type="spellStart"/>
            <w:r w:rsidRPr="001F1A09">
              <w:rPr>
                <w:rFonts w:ascii="Verdana" w:eastAsia="Verdana" w:hAnsi="Verdana" w:cs="Verdana"/>
                <w:sz w:val="20"/>
              </w:rPr>
              <w:t>Jira</w:t>
            </w:r>
            <w:proofErr w:type="spellEnd"/>
            <w:r w:rsidRPr="001F1A09">
              <w:rPr>
                <w:rFonts w:ascii="Verdana" w:eastAsia="Verdana" w:hAnsi="Verdana" w:cs="Verdana"/>
                <w:sz w:val="20"/>
              </w:rPr>
              <w:t>) yra lokalizuota į lietuvių kalbą, todėl naudotojui pateikiama lietuviška aplinka.</w:t>
            </w:r>
            <w:r>
              <w:rPr>
                <w:rFonts w:ascii="Verdana" w:eastAsia="Verdana" w:hAnsi="Verdana" w:cs="Verdana"/>
                <w:sz w:val="20"/>
              </w:rPr>
              <w:t xml:space="preserve"> </w:t>
            </w:r>
            <w:r w:rsidRPr="001F1A09">
              <w:rPr>
                <w:rFonts w:ascii="Verdana" w:eastAsia="Verdana" w:hAnsi="Verdana" w:cs="Verdana"/>
                <w:sz w:val="20"/>
              </w:rPr>
              <w:t>Pildydamas užklausas ar naudodamasis sistema, naudotojas mato pagrindinius meniu punktus, mygtukus, pranešimus ir kitą svarbią informaciją lietuvių kalba.</w:t>
            </w:r>
          </w:p>
        </w:tc>
      </w:tr>
      <w:tr w:rsidR="001631D2" w:rsidRPr="004D0226" w14:paraId="047552D6" w14:textId="77777777" w:rsidTr="001631D2">
        <w:trPr>
          <w:trHeight w:val="839"/>
          <w:jc w:val="center"/>
        </w:trPr>
        <w:tc>
          <w:tcPr>
            <w:tcW w:w="704" w:type="dxa"/>
          </w:tcPr>
          <w:p w14:paraId="2E0F41CF" w14:textId="7D9A1252" w:rsidR="001631D2" w:rsidRDefault="001631D2" w:rsidP="006165BF">
            <w:pPr>
              <w:spacing w:after="240"/>
              <w:jc w:val="center"/>
              <w:rPr>
                <w:rFonts w:ascii="Verdana" w:hAnsi="Verdana"/>
                <w:sz w:val="20"/>
              </w:rPr>
            </w:pPr>
            <w:r>
              <w:rPr>
                <w:rFonts w:ascii="Verdana" w:hAnsi="Verdana"/>
                <w:sz w:val="20"/>
              </w:rPr>
              <w:lastRenderedPageBreak/>
              <w:t>7</w:t>
            </w:r>
          </w:p>
        </w:tc>
        <w:tc>
          <w:tcPr>
            <w:tcW w:w="4536" w:type="dxa"/>
          </w:tcPr>
          <w:p w14:paraId="7D64E3C8"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lentelėje Nr. 3 punkte 15 numatyta, kad „Modulis turi turėti funkcionalumą inventorizuoti IT techninę įrangą“.</w:t>
            </w:r>
          </w:p>
          <w:p w14:paraId="1A5C5B13" w14:textId="22836525" w:rsidR="001631D2" w:rsidRPr="001631D2" w:rsidRDefault="001631D2" w:rsidP="001631D2">
            <w:pPr>
              <w:spacing w:after="240"/>
              <w:jc w:val="both"/>
              <w:rPr>
                <w:rFonts w:ascii="Verdana" w:hAnsi="Verdana"/>
                <w:sz w:val="20"/>
              </w:rPr>
            </w:pPr>
            <w:r w:rsidRPr="001631D2">
              <w:rPr>
                <w:rFonts w:ascii="Verdana" w:hAnsi="Verdana"/>
                <w:sz w:val="20"/>
              </w:rPr>
              <w:t>Prašome patikslinti, kiek maždaug vienetų ir kokių tipų (pvz., serveriai, tinklo įranga ir pan.) IT techninės įrangos būtų inventorizuojama (apytiksliai).</w:t>
            </w:r>
          </w:p>
        </w:tc>
        <w:tc>
          <w:tcPr>
            <w:tcW w:w="4536" w:type="dxa"/>
          </w:tcPr>
          <w:p w14:paraId="641E9635" w14:textId="5B494E19" w:rsidR="001631D2" w:rsidRPr="004D0226" w:rsidRDefault="001F1A09" w:rsidP="001631D2">
            <w:pPr>
              <w:jc w:val="both"/>
              <w:rPr>
                <w:rFonts w:ascii="Verdana" w:eastAsia="Verdana" w:hAnsi="Verdana" w:cs="Verdana"/>
                <w:sz w:val="20"/>
              </w:rPr>
            </w:pPr>
            <w:r w:rsidRPr="001F1A09">
              <w:rPr>
                <w:rFonts w:ascii="Verdana" w:eastAsia="Verdana" w:hAnsi="Verdana" w:cs="Verdana"/>
                <w:sz w:val="20"/>
              </w:rPr>
              <w:t xml:space="preserve">Modulis neturi riboti ir </w:t>
            </w:r>
            <w:r>
              <w:rPr>
                <w:rFonts w:ascii="Verdana" w:eastAsia="Verdana" w:hAnsi="Verdana" w:cs="Verdana"/>
                <w:sz w:val="20"/>
              </w:rPr>
              <w:t xml:space="preserve">privalo </w:t>
            </w:r>
            <w:r w:rsidRPr="001F1A09">
              <w:rPr>
                <w:rFonts w:ascii="Verdana" w:eastAsia="Verdana" w:hAnsi="Verdana" w:cs="Verdana"/>
                <w:sz w:val="20"/>
              </w:rPr>
              <w:t>leisti sąsajas su bet kokiomis IT techninėmis įrangos, neįvardijant konkrečių</w:t>
            </w:r>
            <w:r>
              <w:rPr>
                <w:rFonts w:ascii="Verdana" w:eastAsia="Verdana" w:hAnsi="Verdana" w:cs="Verdana"/>
                <w:sz w:val="20"/>
              </w:rPr>
              <w:t>.</w:t>
            </w:r>
          </w:p>
        </w:tc>
      </w:tr>
      <w:tr w:rsidR="001631D2" w:rsidRPr="004D0226" w14:paraId="3C5CC44A" w14:textId="77777777" w:rsidTr="001631D2">
        <w:trPr>
          <w:trHeight w:val="839"/>
          <w:jc w:val="center"/>
        </w:trPr>
        <w:tc>
          <w:tcPr>
            <w:tcW w:w="704" w:type="dxa"/>
          </w:tcPr>
          <w:p w14:paraId="1AB0113E" w14:textId="4DE32373" w:rsidR="001631D2" w:rsidRDefault="001631D2" w:rsidP="006165BF">
            <w:pPr>
              <w:spacing w:after="240"/>
              <w:jc w:val="center"/>
              <w:rPr>
                <w:rFonts w:ascii="Verdana" w:hAnsi="Verdana"/>
                <w:sz w:val="20"/>
              </w:rPr>
            </w:pPr>
            <w:r>
              <w:rPr>
                <w:rFonts w:ascii="Verdana" w:hAnsi="Verdana"/>
                <w:sz w:val="20"/>
              </w:rPr>
              <w:t>8</w:t>
            </w:r>
          </w:p>
        </w:tc>
        <w:tc>
          <w:tcPr>
            <w:tcW w:w="4536" w:type="dxa"/>
          </w:tcPr>
          <w:p w14:paraId="63B8E3FA"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lentelėje Nr. 3 punkte 75.1 numatyta, kad „Funkcionalumas importuoti infrastruktūros komponentų duomenis iš išorinių šaltinių (per API ar failų importą)“.</w:t>
            </w:r>
          </w:p>
          <w:p w14:paraId="6F9248F8" w14:textId="470EE99A" w:rsidR="001631D2" w:rsidRPr="001631D2" w:rsidRDefault="001631D2" w:rsidP="001631D2">
            <w:pPr>
              <w:spacing w:after="240"/>
              <w:jc w:val="both"/>
              <w:rPr>
                <w:rFonts w:ascii="Verdana" w:hAnsi="Verdana"/>
                <w:sz w:val="20"/>
              </w:rPr>
            </w:pPr>
            <w:r w:rsidRPr="001631D2">
              <w:rPr>
                <w:rFonts w:ascii="Verdana" w:hAnsi="Verdana"/>
                <w:sz w:val="20"/>
              </w:rPr>
              <w:t xml:space="preserve">Prašome patikslinti, ar Perkančioji organizacija turi kokią nors sistemą (išorinį šaltinį) pvz. </w:t>
            </w:r>
            <w:proofErr w:type="spellStart"/>
            <w:r w:rsidRPr="001631D2">
              <w:rPr>
                <w:rFonts w:ascii="Verdana" w:hAnsi="Verdana"/>
                <w:sz w:val="20"/>
              </w:rPr>
              <w:t>Zabbix</w:t>
            </w:r>
            <w:proofErr w:type="spellEnd"/>
            <w:r w:rsidRPr="001631D2">
              <w:rPr>
                <w:rFonts w:ascii="Verdana" w:hAnsi="Verdana"/>
                <w:sz w:val="20"/>
              </w:rPr>
              <w:t xml:space="preserve"> ar pan., iš kurios būtų galima (per API ar failų importą) importuoti ir sinchronizuoti infrastruktūros komponentų duomenis.</w:t>
            </w:r>
          </w:p>
        </w:tc>
        <w:tc>
          <w:tcPr>
            <w:tcW w:w="4536" w:type="dxa"/>
          </w:tcPr>
          <w:p w14:paraId="5A063CF1" w14:textId="6C2D69E6" w:rsidR="001631D2" w:rsidRPr="004D0226" w:rsidRDefault="001F1A09" w:rsidP="001631D2">
            <w:pPr>
              <w:jc w:val="both"/>
              <w:rPr>
                <w:rFonts w:ascii="Verdana" w:eastAsia="Verdana" w:hAnsi="Verdana" w:cs="Verdana"/>
                <w:sz w:val="20"/>
              </w:rPr>
            </w:pPr>
            <w:r w:rsidRPr="001F1A09">
              <w:rPr>
                <w:rFonts w:ascii="Verdana" w:eastAsia="Verdana" w:hAnsi="Verdana" w:cs="Verdana"/>
                <w:sz w:val="20"/>
              </w:rPr>
              <w:t>Perkančioji organizacija turi sistemą, iš kurios būtų galimybė importuoti ir sinchronizuoti infrastruktūros komponentų duomenis.</w:t>
            </w:r>
          </w:p>
        </w:tc>
      </w:tr>
      <w:tr w:rsidR="001631D2" w:rsidRPr="004D0226" w14:paraId="794D03A2" w14:textId="77777777" w:rsidTr="001631D2">
        <w:trPr>
          <w:trHeight w:val="839"/>
          <w:jc w:val="center"/>
        </w:trPr>
        <w:tc>
          <w:tcPr>
            <w:tcW w:w="704" w:type="dxa"/>
          </w:tcPr>
          <w:p w14:paraId="71F768E6" w14:textId="1A91677F" w:rsidR="001631D2" w:rsidRDefault="001631D2" w:rsidP="006165BF">
            <w:pPr>
              <w:spacing w:after="240"/>
              <w:jc w:val="center"/>
              <w:rPr>
                <w:rFonts w:ascii="Verdana" w:hAnsi="Verdana"/>
                <w:sz w:val="20"/>
              </w:rPr>
            </w:pPr>
            <w:r>
              <w:rPr>
                <w:rFonts w:ascii="Verdana" w:hAnsi="Verdana"/>
                <w:sz w:val="20"/>
              </w:rPr>
              <w:t>9</w:t>
            </w:r>
          </w:p>
        </w:tc>
        <w:tc>
          <w:tcPr>
            <w:tcW w:w="4536" w:type="dxa"/>
          </w:tcPr>
          <w:p w14:paraId="3B802CF3" w14:textId="68971B36" w:rsidR="001631D2" w:rsidRPr="001631D2" w:rsidRDefault="001631D2" w:rsidP="001631D2">
            <w:pPr>
              <w:spacing w:after="240"/>
              <w:jc w:val="both"/>
              <w:rPr>
                <w:rFonts w:ascii="Verdana" w:hAnsi="Verdana"/>
                <w:sz w:val="20"/>
              </w:rPr>
            </w:pPr>
            <w:r w:rsidRPr="001631D2">
              <w:rPr>
                <w:rFonts w:ascii="Verdana" w:hAnsi="Verdana"/>
                <w:sz w:val="20"/>
              </w:rPr>
              <w:t xml:space="preserve">Jeigu Perkančioji organizacija turi kokią nors sistemą (išorinį šaltinį) pvz. </w:t>
            </w:r>
            <w:proofErr w:type="spellStart"/>
            <w:r w:rsidRPr="001631D2">
              <w:rPr>
                <w:rFonts w:ascii="Verdana" w:hAnsi="Verdana"/>
                <w:sz w:val="20"/>
              </w:rPr>
              <w:t>Zabbix</w:t>
            </w:r>
            <w:proofErr w:type="spellEnd"/>
            <w:r w:rsidRPr="001631D2">
              <w:rPr>
                <w:rFonts w:ascii="Verdana" w:hAnsi="Verdana"/>
                <w:sz w:val="20"/>
              </w:rPr>
              <w:t xml:space="preserve"> ar pan., prašome patikslinti, ar būtų reikalingas dar papildomai ir įrangos inventorizavimas pagal lentelės 3 punktą 15.</w:t>
            </w:r>
          </w:p>
        </w:tc>
        <w:tc>
          <w:tcPr>
            <w:tcW w:w="4536" w:type="dxa"/>
          </w:tcPr>
          <w:p w14:paraId="3F49479C" w14:textId="5787B446" w:rsidR="001631D2" w:rsidRPr="004D0226" w:rsidRDefault="001F1A09" w:rsidP="001631D2">
            <w:pPr>
              <w:jc w:val="both"/>
              <w:rPr>
                <w:rFonts w:ascii="Verdana" w:eastAsia="Verdana" w:hAnsi="Verdana" w:cs="Verdana"/>
                <w:sz w:val="20"/>
              </w:rPr>
            </w:pPr>
            <w:r w:rsidRPr="001F1A09">
              <w:rPr>
                <w:rFonts w:ascii="Verdana" w:eastAsia="Verdana" w:hAnsi="Verdana" w:cs="Verdana"/>
                <w:sz w:val="20"/>
              </w:rPr>
              <w:t>Taip, būtų reikalingas.</w:t>
            </w:r>
          </w:p>
        </w:tc>
      </w:tr>
      <w:tr w:rsidR="001631D2" w:rsidRPr="004D0226" w14:paraId="564B6AC6" w14:textId="77777777" w:rsidTr="001631D2">
        <w:trPr>
          <w:trHeight w:val="839"/>
          <w:jc w:val="center"/>
        </w:trPr>
        <w:tc>
          <w:tcPr>
            <w:tcW w:w="704" w:type="dxa"/>
          </w:tcPr>
          <w:p w14:paraId="6098CF36" w14:textId="521FD0B5" w:rsidR="001631D2" w:rsidRDefault="001631D2" w:rsidP="006165BF">
            <w:pPr>
              <w:spacing w:after="240"/>
              <w:jc w:val="center"/>
              <w:rPr>
                <w:rFonts w:ascii="Verdana" w:hAnsi="Verdana"/>
                <w:sz w:val="20"/>
              </w:rPr>
            </w:pPr>
            <w:r>
              <w:rPr>
                <w:rFonts w:ascii="Verdana" w:hAnsi="Verdana"/>
                <w:sz w:val="20"/>
              </w:rPr>
              <w:t>10</w:t>
            </w:r>
          </w:p>
        </w:tc>
        <w:tc>
          <w:tcPr>
            <w:tcW w:w="4536" w:type="dxa"/>
          </w:tcPr>
          <w:p w14:paraId="11648AB3"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punkte 7.7 numatyta, kad „Garantinis periodas – tai 2 (dviejų) mėn. laikotarpis, kai Tiekėjas suteikia garantiją funkcionalumui (tai gali būti visa Sistema ar atskirai sukurta funkcija) sutartam laikui. Šiuo periodu Tiekėjas šalina funkcionalumo klaidas“.</w:t>
            </w:r>
          </w:p>
          <w:p w14:paraId="61523430" w14:textId="5929A641" w:rsidR="001631D2" w:rsidRPr="001631D2" w:rsidRDefault="001631D2" w:rsidP="001631D2">
            <w:pPr>
              <w:spacing w:after="240"/>
              <w:jc w:val="both"/>
              <w:rPr>
                <w:rFonts w:ascii="Verdana" w:hAnsi="Verdana"/>
                <w:sz w:val="20"/>
              </w:rPr>
            </w:pPr>
            <w:r w:rsidRPr="001631D2">
              <w:rPr>
                <w:rFonts w:ascii="Verdana" w:hAnsi="Verdana"/>
                <w:sz w:val="20"/>
              </w:rPr>
              <w:t>Prašome patikslinti, kaip būtų taikomas garantinis periodas, jeigu naujas funkcionalumas būtų įdiegtas besibaigiant licencijų nuomos laikotarpiui, t. y., kai iki licencijų nuomos pabaigos būtų likę mažiau nei 2 (du) mėnesiai.</w:t>
            </w:r>
          </w:p>
        </w:tc>
        <w:tc>
          <w:tcPr>
            <w:tcW w:w="4536" w:type="dxa"/>
          </w:tcPr>
          <w:p w14:paraId="29A91305" w14:textId="17026F1C" w:rsidR="001631D2" w:rsidRPr="004D0226" w:rsidRDefault="001F1A09" w:rsidP="001F1A09">
            <w:pPr>
              <w:jc w:val="both"/>
              <w:rPr>
                <w:rFonts w:ascii="Verdana" w:eastAsia="Verdana" w:hAnsi="Verdana" w:cs="Verdana"/>
                <w:sz w:val="20"/>
              </w:rPr>
            </w:pPr>
            <w:r w:rsidRPr="001F1A09">
              <w:rPr>
                <w:rFonts w:ascii="Verdana" w:eastAsia="Verdana" w:hAnsi="Verdana" w:cs="Verdana"/>
                <w:sz w:val="20"/>
              </w:rPr>
              <w:t>Garantinis periodas taikomas pagal Pirkimo dokumentuose nustatytą 2 mėnesių trukmę nuo funkcionalumo įdiegimo momento, nepriklausomai nuo licencijų nuomos laikotarpio pabaigos.</w:t>
            </w:r>
            <w:r w:rsidR="0069252C">
              <w:rPr>
                <w:rFonts w:ascii="Verdana" w:eastAsia="Verdana" w:hAnsi="Verdana" w:cs="Verdana"/>
                <w:sz w:val="20"/>
              </w:rPr>
              <w:t xml:space="preserve"> </w:t>
            </w:r>
            <w:r w:rsidRPr="001F1A09">
              <w:rPr>
                <w:rFonts w:ascii="Verdana" w:eastAsia="Verdana" w:hAnsi="Verdana" w:cs="Verdana"/>
                <w:sz w:val="20"/>
              </w:rPr>
              <w:t>Jei naujas funkcionalumas įdiegiamas besibaigiant licencijų nuomos laikotarpiui, garantinis periodas vis tiek galioja visą nustatytą 2 mėnesių laikotarpį nuo įdiegimo datos.</w:t>
            </w:r>
          </w:p>
        </w:tc>
      </w:tr>
      <w:tr w:rsidR="001631D2" w:rsidRPr="004D0226" w14:paraId="23048B4C" w14:textId="77777777" w:rsidTr="001631D2">
        <w:trPr>
          <w:trHeight w:val="839"/>
          <w:jc w:val="center"/>
        </w:trPr>
        <w:tc>
          <w:tcPr>
            <w:tcW w:w="704" w:type="dxa"/>
          </w:tcPr>
          <w:p w14:paraId="4FE989F2" w14:textId="170B3D68" w:rsidR="001631D2" w:rsidRDefault="001631D2" w:rsidP="006165BF">
            <w:pPr>
              <w:spacing w:after="240"/>
              <w:jc w:val="center"/>
              <w:rPr>
                <w:rFonts w:ascii="Verdana" w:hAnsi="Verdana"/>
                <w:sz w:val="20"/>
              </w:rPr>
            </w:pPr>
            <w:r>
              <w:rPr>
                <w:rFonts w:ascii="Verdana" w:hAnsi="Verdana"/>
                <w:sz w:val="20"/>
              </w:rPr>
              <w:t>11</w:t>
            </w:r>
          </w:p>
        </w:tc>
        <w:tc>
          <w:tcPr>
            <w:tcW w:w="4536" w:type="dxa"/>
          </w:tcPr>
          <w:p w14:paraId="235EBCBE" w14:textId="77777777" w:rsidR="001631D2" w:rsidRPr="001631D2" w:rsidRDefault="001631D2" w:rsidP="001631D2">
            <w:pPr>
              <w:spacing w:after="240"/>
              <w:jc w:val="both"/>
              <w:rPr>
                <w:rFonts w:ascii="Verdana" w:hAnsi="Verdana"/>
                <w:sz w:val="20"/>
              </w:rPr>
            </w:pPr>
            <w:r w:rsidRPr="001631D2">
              <w:rPr>
                <w:rFonts w:ascii="Verdana" w:hAnsi="Verdana"/>
                <w:sz w:val="20"/>
              </w:rPr>
              <w:t>Pirkimo sąlygų 2 priede „Techninė specifikacija“ nurodyti reikalavimai ne IT padalinių paslaugų užklausų valdymui (pvz., Televizijos technikos užklausos, Radijo technikos užklausos, TV Departamento užklausos ir pan.).</w:t>
            </w:r>
          </w:p>
          <w:p w14:paraId="4D5DD93D" w14:textId="047B7B5A" w:rsidR="001631D2" w:rsidRPr="001631D2" w:rsidRDefault="001631D2" w:rsidP="001631D2">
            <w:pPr>
              <w:spacing w:after="240"/>
              <w:jc w:val="both"/>
              <w:rPr>
                <w:rFonts w:ascii="Verdana" w:hAnsi="Verdana"/>
                <w:sz w:val="20"/>
              </w:rPr>
            </w:pPr>
            <w:r w:rsidRPr="001631D2">
              <w:rPr>
                <w:rFonts w:ascii="Verdana" w:hAnsi="Verdana"/>
                <w:sz w:val="20"/>
              </w:rPr>
              <w:t xml:space="preserve">Kadangi tokių užklausų valdymo procesai specifiniai, o sistemos įdiegimo ir pritaikymo terminai trumpi, prašome iš anksto pateikti tokių užklausų valdymo </w:t>
            </w:r>
            <w:r w:rsidRPr="001631D2">
              <w:rPr>
                <w:rFonts w:ascii="Verdana" w:hAnsi="Verdana"/>
                <w:sz w:val="20"/>
              </w:rPr>
              <w:lastRenderedPageBreak/>
              <w:t>procesų schemas, kad galėtume įvertinti darbų apimtis.</w:t>
            </w:r>
          </w:p>
        </w:tc>
        <w:tc>
          <w:tcPr>
            <w:tcW w:w="4536" w:type="dxa"/>
          </w:tcPr>
          <w:p w14:paraId="2463C836" w14:textId="16C2E320" w:rsidR="001631D2" w:rsidRPr="004D0226" w:rsidRDefault="0069252C" w:rsidP="0069252C">
            <w:pPr>
              <w:jc w:val="both"/>
              <w:rPr>
                <w:rFonts w:ascii="Verdana" w:eastAsia="Verdana" w:hAnsi="Verdana" w:cs="Verdana"/>
                <w:sz w:val="20"/>
              </w:rPr>
            </w:pPr>
            <w:r w:rsidRPr="0069252C">
              <w:rPr>
                <w:rFonts w:ascii="Verdana" w:eastAsia="Verdana" w:hAnsi="Verdana" w:cs="Verdana"/>
                <w:sz w:val="20"/>
              </w:rPr>
              <w:lastRenderedPageBreak/>
              <w:t>Ne IT padalinių</w:t>
            </w:r>
            <w:r>
              <w:rPr>
                <w:rFonts w:ascii="Verdana" w:eastAsia="Verdana" w:hAnsi="Verdana" w:cs="Verdana"/>
                <w:sz w:val="20"/>
              </w:rPr>
              <w:t xml:space="preserve"> </w:t>
            </w:r>
            <w:r w:rsidRPr="0069252C">
              <w:rPr>
                <w:rFonts w:ascii="Verdana" w:eastAsia="Verdana" w:hAnsi="Verdana" w:cs="Verdana"/>
                <w:sz w:val="20"/>
              </w:rPr>
              <w:t>paslaugų (televizijos</w:t>
            </w:r>
            <w:r>
              <w:rPr>
                <w:rFonts w:ascii="Verdana" w:eastAsia="Verdana" w:hAnsi="Verdana" w:cs="Verdana"/>
                <w:sz w:val="20"/>
              </w:rPr>
              <w:t xml:space="preserve"> </w:t>
            </w:r>
            <w:r w:rsidRPr="0069252C">
              <w:rPr>
                <w:rFonts w:ascii="Verdana" w:eastAsia="Verdana" w:hAnsi="Verdana" w:cs="Verdana"/>
                <w:sz w:val="20"/>
              </w:rPr>
              <w:t xml:space="preserve">ir </w:t>
            </w:r>
            <w:r>
              <w:rPr>
                <w:rFonts w:ascii="Verdana" w:eastAsia="Verdana" w:hAnsi="Verdana" w:cs="Verdana"/>
                <w:sz w:val="20"/>
              </w:rPr>
              <w:t>r</w:t>
            </w:r>
            <w:r w:rsidRPr="0069252C">
              <w:rPr>
                <w:rFonts w:ascii="Verdana" w:eastAsia="Verdana" w:hAnsi="Verdana" w:cs="Verdana"/>
                <w:sz w:val="20"/>
              </w:rPr>
              <w:t xml:space="preserve">adijo technikos, TV </w:t>
            </w:r>
            <w:r>
              <w:rPr>
                <w:rFonts w:ascii="Verdana" w:eastAsia="Verdana" w:hAnsi="Verdana" w:cs="Verdana"/>
                <w:sz w:val="20"/>
              </w:rPr>
              <w:t>d</w:t>
            </w:r>
            <w:r w:rsidRPr="0069252C">
              <w:rPr>
                <w:rFonts w:ascii="Verdana" w:eastAsia="Verdana" w:hAnsi="Verdana" w:cs="Verdana"/>
                <w:sz w:val="20"/>
              </w:rPr>
              <w:t>epartamento ir kt.) užklausų valdymo procesai yra praktiškai identiškai struktūruoti kaip ir IT paslaugų procesai arba net paprastesni. Pagrindiniai skirtumai paveiks tik užklausų kategorijas ir sistemų pavadinimus.</w:t>
            </w:r>
            <w:r>
              <w:rPr>
                <w:rFonts w:ascii="Verdana" w:eastAsia="Verdana" w:hAnsi="Verdana" w:cs="Verdana"/>
                <w:sz w:val="20"/>
              </w:rPr>
              <w:t xml:space="preserve"> </w:t>
            </w:r>
            <w:r w:rsidRPr="0069252C">
              <w:rPr>
                <w:rFonts w:ascii="Verdana" w:eastAsia="Verdana" w:hAnsi="Verdana" w:cs="Verdana"/>
                <w:sz w:val="20"/>
              </w:rPr>
              <w:t>Detalūs procesų aprašymai ir schemos bu</w:t>
            </w:r>
            <w:r>
              <w:rPr>
                <w:rFonts w:ascii="Verdana" w:eastAsia="Verdana" w:hAnsi="Verdana" w:cs="Verdana"/>
                <w:sz w:val="20"/>
              </w:rPr>
              <w:t>s</w:t>
            </w:r>
            <w:r w:rsidRPr="0069252C">
              <w:rPr>
                <w:rFonts w:ascii="Verdana" w:eastAsia="Verdana" w:hAnsi="Verdana" w:cs="Verdana"/>
                <w:sz w:val="20"/>
              </w:rPr>
              <w:t xml:space="preserve"> pateiktos sutarties vykdymo metu.</w:t>
            </w:r>
          </w:p>
        </w:tc>
      </w:tr>
      <w:tr w:rsidR="00360FD5" w:rsidRPr="004D0226" w14:paraId="4665C085" w14:textId="77777777" w:rsidTr="001631D2">
        <w:trPr>
          <w:trHeight w:val="839"/>
          <w:jc w:val="center"/>
        </w:trPr>
        <w:tc>
          <w:tcPr>
            <w:tcW w:w="704" w:type="dxa"/>
          </w:tcPr>
          <w:p w14:paraId="0DEBD1F8" w14:textId="7749A3F8" w:rsidR="00360FD5" w:rsidRDefault="00360FD5" w:rsidP="006165BF">
            <w:pPr>
              <w:spacing w:after="240"/>
              <w:jc w:val="center"/>
              <w:rPr>
                <w:rFonts w:ascii="Verdana" w:hAnsi="Verdana"/>
                <w:sz w:val="20"/>
              </w:rPr>
            </w:pPr>
            <w:r>
              <w:rPr>
                <w:rFonts w:ascii="Verdana" w:hAnsi="Verdana"/>
                <w:sz w:val="20"/>
              </w:rPr>
              <w:t>12</w:t>
            </w:r>
          </w:p>
        </w:tc>
        <w:tc>
          <w:tcPr>
            <w:tcW w:w="4536" w:type="dxa"/>
          </w:tcPr>
          <w:p w14:paraId="34D29670" w14:textId="77777777" w:rsidR="00912CD2" w:rsidRPr="00912CD2" w:rsidRDefault="00912CD2" w:rsidP="00912CD2">
            <w:pPr>
              <w:spacing w:after="240"/>
              <w:jc w:val="both"/>
              <w:rPr>
                <w:rFonts w:ascii="Verdana" w:hAnsi="Verdana"/>
                <w:sz w:val="20"/>
              </w:rPr>
            </w:pPr>
            <w:r w:rsidRPr="00912CD2">
              <w:rPr>
                <w:rFonts w:ascii="Verdana" w:hAnsi="Verdana"/>
                <w:sz w:val="20"/>
              </w:rPr>
              <w:t>Pirkimo sąlygų 2 priede „Techninė specifikacija“ punkte 20 numatyta, kad „Tiekėjas privalo atlikti visų duomenų migravimą iš esamos užklausų ir projektų valdymo sistemos JIRA į naują Sistemą“.</w:t>
            </w:r>
          </w:p>
          <w:p w14:paraId="2AE2E28C" w14:textId="0DE219C9" w:rsidR="00360FD5" w:rsidRPr="001631D2" w:rsidRDefault="00912CD2" w:rsidP="00912CD2">
            <w:pPr>
              <w:spacing w:after="240"/>
              <w:jc w:val="both"/>
              <w:rPr>
                <w:rFonts w:ascii="Verdana" w:hAnsi="Verdana"/>
                <w:sz w:val="20"/>
              </w:rPr>
            </w:pPr>
            <w:r w:rsidRPr="00912CD2">
              <w:rPr>
                <w:rFonts w:ascii="Verdana" w:hAnsi="Verdana"/>
                <w:sz w:val="20"/>
              </w:rPr>
              <w:t>Kad galėtume įvertinti duomenų migravimo darbų apimtį, prašome patikslinti perkeliamų kreipinių kiekį, naudotojų kiekį, turto elementų kiekį ir pan.</w:t>
            </w:r>
          </w:p>
        </w:tc>
        <w:tc>
          <w:tcPr>
            <w:tcW w:w="4536" w:type="dxa"/>
          </w:tcPr>
          <w:p w14:paraId="5D19EB53" w14:textId="53B6A9BE" w:rsidR="00360FD5" w:rsidRPr="004D0226" w:rsidRDefault="00F77048" w:rsidP="001631D2">
            <w:pPr>
              <w:jc w:val="both"/>
              <w:rPr>
                <w:rFonts w:ascii="Verdana" w:eastAsia="Verdana" w:hAnsi="Verdana" w:cs="Verdana"/>
                <w:sz w:val="20"/>
              </w:rPr>
            </w:pPr>
            <w:r>
              <w:rPr>
                <w:rFonts w:ascii="Verdana" w:eastAsia="Verdana" w:hAnsi="Verdana" w:cs="Verdana"/>
                <w:sz w:val="20"/>
              </w:rPr>
              <w:t xml:space="preserve">Atsakymo pateikimo metu </w:t>
            </w:r>
            <w:r w:rsidR="008A3F85">
              <w:rPr>
                <w:rFonts w:ascii="Verdana" w:eastAsia="Verdana" w:hAnsi="Verdana" w:cs="Verdana"/>
                <w:sz w:val="20"/>
              </w:rPr>
              <w:t>yra apie 15000 kreipinių, v</w:t>
            </w:r>
            <w:r w:rsidR="008A3F85" w:rsidRPr="00912CD2">
              <w:rPr>
                <w:rFonts w:ascii="Verdana" w:eastAsia="Verdana" w:hAnsi="Verdana" w:cs="Verdana"/>
                <w:sz w:val="20"/>
              </w:rPr>
              <w:t xml:space="preserve">idutinis </w:t>
            </w:r>
            <w:r w:rsidR="00912CD2" w:rsidRPr="00912CD2">
              <w:rPr>
                <w:rFonts w:ascii="Verdana" w:eastAsia="Verdana" w:hAnsi="Verdana" w:cs="Verdana"/>
                <w:sz w:val="20"/>
              </w:rPr>
              <w:t>kreipinių kiekis per mėnesį</w:t>
            </w:r>
            <w:r w:rsidR="00912CD2">
              <w:rPr>
                <w:rFonts w:ascii="Verdana" w:eastAsia="Verdana" w:hAnsi="Verdana" w:cs="Verdana"/>
                <w:sz w:val="20"/>
              </w:rPr>
              <w:t xml:space="preserve"> – </w:t>
            </w:r>
            <w:r w:rsidR="00912CD2" w:rsidRPr="00912CD2">
              <w:rPr>
                <w:rFonts w:ascii="Verdana" w:eastAsia="Verdana" w:hAnsi="Verdana" w:cs="Verdana"/>
                <w:sz w:val="20"/>
              </w:rPr>
              <w:t>apie 1000</w:t>
            </w:r>
            <w:r w:rsidR="00912CD2">
              <w:rPr>
                <w:rFonts w:ascii="Verdana" w:eastAsia="Verdana" w:hAnsi="Verdana" w:cs="Verdana"/>
                <w:sz w:val="20"/>
              </w:rPr>
              <w:t xml:space="preserve"> vnt., naudotojų kiekis yra nurodytas Techninėje specifikacijoje, o turto elementų yra apie 2000 vnt. </w:t>
            </w:r>
          </w:p>
        </w:tc>
      </w:tr>
    </w:tbl>
    <w:p w14:paraId="73A8E970" w14:textId="77777777" w:rsidR="002C1F27" w:rsidRPr="002C1F27" w:rsidRDefault="002C1F27" w:rsidP="002C1F27">
      <w:pPr>
        <w:rPr>
          <w:rFonts w:ascii="Verdana" w:hAnsi="Verdana"/>
          <w:sz w:val="20"/>
        </w:rPr>
      </w:pPr>
    </w:p>
    <w:p w14:paraId="3C90C759" w14:textId="77777777" w:rsidR="002C1F27" w:rsidRPr="002C1F27" w:rsidRDefault="002C1F27" w:rsidP="002C1F27">
      <w:pPr>
        <w:rPr>
          <w:rFonts w:ascii="Verdana" w:hAnsi="Verdana"/>
          <w:sz w:val="20"/>
        </w:rPr>
      </w:pPr>
    </w:p>
    <w:p w14:paraId="42566140" w14:textId="77777777" w:rsidR="002C1F27" w:rsidRPr="002C1F27" w:rsidRDefault="002C1F27" w:rsidP="002C1F27">
      <w:pPr>
        <w:rPr>
          <w:rFonts w:ascii="Verdana" w:hAnsi="Verdana"/>
          <w:sz w:val="20"/>
        </w:rPr>
      </w:pPr>
    </w:p>
    <w:p w14:paraId="7ECEB828" w14:textId="77777777" w:rsidR="002C1F27" w:rsidRDefault="002C1F27" w:rsidP="002C1F27">
      <w:pPr>
        <w:rPr>
          <w:rFonts w:ascii="Verdana" w:hAnsi="Verdana"/>
          <w:sz w:val="20"/>
          <w:lang w:val="fi-FI"/>
        </w:rPr>
      </w:pPr>
    </w:p>
    <w:p w14:paraId="39039ACE" w14:textId="320C8F73" w:rsidR="002C1F27" w:rsidRPr="002C1F27" w:rsidRDefault="002C1F27" w:rsidP="002C1F27">
      <w:pPr>
        <w:rPr>
          <w:rFonts w:ascii="Verdana" w:hAnsi="Verdana"/>
          <w:sz w:val="20"/>
        </w:rPr>
      </w:pPr>
    </w:p>
    <w:sectPr w:rsidR="002C1F27" w:rsidRPr="002C1F27" w:rsidSect="001631D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1970" w14:textId="77777777" w:rsidR="000D5C10" w:rsidRDefault="000D5C10" w:rsidP="00BE3577">
      <w:r>
        <w:separator/>
      </w:r>
    </w:p>
  </w:endnote>
  <w:endnote w:type="continuationSeparator" w:id="0">
    <w:p w14:paraId="02934B7C" w14:textId="77777777" w:rsidR="000D5C10" w:rsidRDefault="000D5C10" w:rsidP="00BE3577">
      <w:r>
        <w:continuationSeparator/>
      </w:r>
    </w:p>
  </w:endnote>
  <w:endnote w:type="continuationNotice" w:id="1">
    <w:p w14:paraId="54CB1EFD" w14:textId="77777777" w:rsidR="000D5C10" w:rsidRDefault="000D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952E" w14:textId="77777777" w:rsidR="000D5C10" w:rsidRDefault="000D5C10" w:rsidP="00BE3577">
      <w:r>
        <w:separator/>
      </w:r>
    </w:p>
  </w:footnote>
  <w:footnote w:type="continuationSeparator" w:id="0">
    <w:p w14:paraId="650B5B74" w14:textId="77777777" w:rsidR="000D5C10" w:rsidRDefault="000D5C10" w:rsidP="00BE3577">
      <w:r>
        <w:continuationSeparator/>
      </w:r>
    </w:p>
  </w:footnote>
  <w:footnote w:type="continuationNotice" w:id="1">
    <w:p w14:paraId="128748A3" w14:textId="77777777" w:rsidR="000D5C10" w:rsidRDefault="000D5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5"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6"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8"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9"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0"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9"/>
  </w:num>
  <w:num w:numId="3" w16cid:durableId="2072922030">
    <w:abstractNumId w:val="7"/>
  </w:num>
  <w:num w:numId="4" w16cid:durableId="1318605934">
    <w:abstractNumId w:val="2"/>
  </w:num>
  <w:num w:numId="5" w16cid:durableId="2121338554">
    <w:abstractNumId w:val="4"/>
  </w:num>
  <w:num w:numId="6" w16cid:durableId="1691108302">
    <w:abstractNumId w:val="1"/>
  </w:num>
  <w:num w:numId="7" w16cid:durableId="1358192957">
    <w:abstractNumId w:val="5"/>
  </w:num>
  <w:num w:numId="8" w16cid:durableId="47723939">
    <w:abstractNumId w:val="3"/>
  </w:num>
  <w:num w:numId="9" w16cid:durableId="740449326">
    <w:abstractNumId w:val="8"/>
  </w:num>
  <w:num w:numId="10" w16cid:durableId="403457630">
    <w:abstractNumId w:val="10"/>
  </w:num>
  <w:num w:numId="11" w16cid:durableId="654722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1003C"/>
    <w:rsid w:val="00035EEA"/>
    <w:rsid w:val="00051003"/>
    <w:rsid w:val="00070DBB"/>
    <w:rsid w:val="00076032"/>
    <w:rsid w:val="00081013"/>
    <w:rsid w:val="00091A46"/>
    <w:rsid w:val="000B059C"/>
    <w:rsid w:val="000B1350"/>
    <w:rsid w:val="000B66D7"/>
    <w:rsid w:val="000C6015"/>
    <w:rsid w:val="000D5C10"/>
    <w:rsid w:val="000E1C95"/>
    <w:rsid w:val="0010691C"/>
    <w:rsid w:val="00131ED8"/>
    <w:rsid w:val="00141CDB"/>
    <w:rsid w:val="001575E7"/>
    <w:rsid w:val="00161930"/>
    <w:rsid w:val="001631D2"/>
    <w:rsid w:val="0016709B"/>
    <w:rsid w:val="001A024B"/>
    <w:rsid w:val="001F1A09"/>
    <w:rsid w:val="002056E2"/>
    <w:rsid w:val="00205D7F"/>
    <w:rsid w:val="00226F1E"/>
    <w:rsid w:val="002675F0"/>
    <w:rsid w:val="002C1F27"/>
    <w:rsid w:val="002C24CA"/>
    <w:rsid w:val="002C7100"/>
    <w:rsid w:val="002E3D64"/>
    <w:rsid w:val="00360FD5"/>
    <w:rsid w:val="00361CE2"/>
    <w:rsid w:val="00386131"/>
    <w:rsid w:val="003A150C"/>
    <w:rsid w:val="003A1583"/>
    <w:rsid w:val="003B2DC8"/>
    <w:rsid w:val="003B5E5C"/>
    <w:rsid w:val="003F50C9"/>
    <w:rsid w:val="003F55DD"/>
    <w:rsid w:val="00403512"/>
    <w:rsid w:val="0040653F"/>
    <w:rsid w:val="00452CD5"/>
    <w:rsid w:val="00461472"/>
    <w:rsid w:val="004D0226"/>
    <w:rsid w:val="004F2C0D"/>
    <w:rsid w:val="00505DC5"/>
    <w:rsid w:val="00507393"/>
    <w:rsid w:val="00523F44"/>
    <w:rsid w:val="00533E33"/>
    <w:rsid w:val="005379EB"/>
    <w:rsid w:val="00557E16"/>
    <w:rsid w:val="00564570"/>
    <w:rsid w:val="005B142A"/>
    <w:rsid w:val="005B15F3"/>
    <w:rsid w:val="005B70E0"/>
    <w:rsid w:val="005E2D91"/>
    <w:rsid w:val="006165BF"/>
    <w:rsid w:val="006565CE"/>
    <w:rsid w:val="0069252C"/>
    <w:rsid w:val="006B677B"/>
    <w:rsid w:val="006D5EDB"/>
    <w:rsid w:val="00702C18"/>
    <w:rsid w:val="00710222"/>
    <w:rsid w:val="007122AB"/>
    <w:rsid w:val="0073381C"/>
    <w:rsid w:val="00763C8C"/>
    <w:rsid w:val="00774F21"/>
    <w:rsid w:val="0078306A"/>
    <w:rsid w:val="007872B9"/>
    <w:rsid w:val="007A63B0"/>
    <w:rsid w:val="007D6E2F"/>
    <w:rsid w:val="00807A7C"/>
    <w:rsid w:val="00827F10"/>
    <w:rsid w:val="00842B8B"/>
    <w:rsid w:val="00885C70"/>
    <w:rsid w:val="008876A0"/>
    <w:rsid w:val="00895321"/>
    <w:rsid w:val="008A3F85"/>
    <w:rsid w:val="008A43D6"/>
    <w:rsid w:val="008A7CCE"/>
    <w:rsid w:val="008B7FC5"/>
    <w:rsid w:val="008F0FB9"/>
    <w:rsid w:val="009071AD"/>
    <w:rsid w:val="00912CD2"/>
    <w:rsid w:val="00972579"/>
    <w:rsid w:val="0098799F"/>
    <w:rsid w:val="009A7576"/>
    <w:rsid w:val="009F06BC"/>
    <w:rsid w:val="00A14656"/>
    <w:rsid w:val="00A7361C"/>
    <w:rsid w:val="00A764E9"/>
    <w:rsid w:val="00AA2756"/>
    <w:rsid w:val="00AD3E7C"/>
    <w:rsid w:val="00AE49A8"/>
    <w:rsid w:val="00AF3761"/>
    <w:rsid w:val="00B03E0E"/>
    <w:rsid w:val="00B64FD3"/>
    <w:rsid w:val="00B90306"/>
    <w:rsid w:val="00BA0E36"/>
    <w:rsid w:val="00BA4793"/>
    <w:rsid w:val="00BC3BCA"/>
    <w:rsid w:val="00BE3577"/>
    <w:rsid w:val="00C26956"/>
    <w:rsid w:val="00C27153"/>
    <w:rsid w:val="00C362A8"/>
    <w:rsid w:val="00C91337"/>
    <w:rsid w:val="00CA230F"/>
    <w:rsid w:val="00CA70D3"/>
    <w:rsid w:val="00CB1DF7"/>
    <w:rsid w:val="00CC360A"/>
    <w:rsid w:val="00CE5197"/>
    <w:rsid w:val="00CF6618"/>
    <w:rsid w:val="00D065BD"/>
    <w:rsid w:val="00D1773B"/>
    <w:rsid w:val="00D31089"/>
    <w:rsid w:val="00D35DF9"/>
    <w:rsid w:val="00DC4B31"/>
    <w:rsid w:val="00DE4D59"/>
    <w:rsid w:val="00E26D3E"/>
    <w:rsid w:val="00E67890"/>
    <w:rsid w:val="00E74D4F"/>
    <w:rsid w:val="00E81252"/>
    <w:rsid w:val="00E86EC1"/>
    <w:rsid w:val="00E95332"/>
    <w:rsid w:val="00EA43CE"/>
    <w:rsid w:val="00EB3978"/>
    <w:rsid w:val="00F32CB9"/>
    <w:rsid w:val="00F42C16"/>
    <w:rsid w:val="00F77048"/>
    <w:rsid w:val="00FA7524"/>
    <w:rsid w:val="00FC4EA6"/>
    <w:rsid w:val="00FD579D"/>
    <w:rsid w:val="0286B111"/>
    <w:rsid w:val="03CA7EE3"/>
    <w:rsid w:val="0504188B"/>
    <w:rsid w:val="052DFF9A"/>
    <w:rsid w:val="0547F0A9"/>
    <w:rsid w:val="054B9591"/>
    <w:rsid w:val="05E3298F"/>
    <w:rsid w:val="05E63A65"/>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4CCCD1"/>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5DBC9D"/>
    <w:rsid w:val="31AF53C1"/>
    <w:rsid w:val="32C2D17D"/>
    <w:rsid w:val="32EC6F16"/>
    <w:rsid w:val="349645C3"/>
    <w:rsid w:val="36480A94"/>
    <w:rsid w:val="3765C253"/>
    <w:rsid w:val="377AE9DD"/>
    <w:rsid w:val="37B78B14"/>
    <w:rsid w:val="382732F3"/>
    <w:rsid w:val="3844E978"/>
    <w:rsid w:val="39056B8C"/>
    <w:rsid w:val="3977DB82"/>
    <w:rsid w:val="3988F842"/>
    <w:rsid w:val="39B8E92E"/>
    <w:rsid w:val="3BDF3DCB"/>
    <w:rsid w:val="3C1DD974"/>
    <w:rsid w:val="3CDD783E"/>
    <w:rsid w:val="3D26AFCA"/>
    <w:rsid w:val="3D7B4945"/>
    <w:rsid w:val="3DD1CEC1"/>
    <w:rsid w:val="3E3A5B1B"/>
    <w:rsid w:val="3EBDA200"/>
    <w:rsid w:val="3F445014"/>
    <w:rsid w:val="3FE3FB5F"/>
    <w:rsid w:val="40BEE6D0"/>
    <w:rsid w:val="42424663"/>
    <w:rsid w:val="425C131A"/>
    <w:rsid w:val="437D4CB9"/>
    <w:rsid w:val="44189EDD"/>
    <w:rsid w:val="44C9BC21"/>
    <w:rsid w:val="452EF467"/>
    <w:rsid w:val="4540329B"/>
    <w:rsid w:val="454A7C8C"/>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DF537A7"/>
    <w:rsid w:val="5E46011F"/>
    <w:rsid w:val="5E52B33F"/>
    <w:rsid w:val="5E532F98"/>
    <w:rsid w:val="5EC9F9F6"/>
    <w:rsid w:val="608E4A78"/>
    <w:rsid w:val="60E1B7EA"/>
    <w:rsid w:val="6132B9F5"/>
    <w:rsid w:val="6171AE6C"/>
    <w:rsid w:val="62C7900C"/>
    <w:rsid w:val="62DE6F1C"/>
    <w:rsid w:val="631753E7"/>
    <w:rsid w:val="6428E015"/>
    <w:rsid w:val="64FD0AF3"/>
    <w:rsid w:val="6515B8AB"/>
    <w:rsid w:val="65C7AF7C"/>
    <w:rsid w:val="66A584DE"/>
    <w:rsid w:val="66C67928"/>
    <w:rsid w:val="676F30A0"/>
    <w:rsid w:val="67E11E58"/>
    <w:rsid w:val="68ECBC95"/>
    <w:rsid w:val="69872EC1"/>
    <w:rsid w:val="69AB2F83"/>
    <w:rsid w:val="69B4ECA3"/>
    <w:rsid w:val="6A9D59A9"/>
    <w:rsid w:val="6B144DDA"/>
    <w:rsid w:val="6B70DA17"/>
    <w:rsid w:val="6B8A6922"/>
    <w:rsid w:val="6BCA63C6"/>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7B97B79"/>
    <w:rsid w:val="7801A002"/>
    <w:rsid w:val="781D4726"/>
    <w:rsid w:val="78805241"/>
    <w:rsid w:val="78AE617E"/>
    <w:rsid w:val="7AA8D4EE"/>
    <w:rsid w:val="7AD3DCFC"/>
    <w:rsid w:val="7AFF7003"/>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E8BBCD69-943D-462C-A8BB-FFDD441E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26F1E"/>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CF6618"/>
    <w:rPr>
      <w:sz w:val="16"/>
      <w:szCs w:val="16"/>
    </w:rPr>
  </w:style>
  <w:style w:type="paragraph" w:styleId="CommentText">
    <w:name w:val="annotation text"/>
    <w:basedOn w:val="Normal"/>
    <w:link w:val="CommentTextChar"/>
    <w:uiPriority w:val="99"/>
    <w:unhideWhenUsed/>
    <w:rsid w:val="00CF6618"/>
    <w:rPr>
      <w:sz w:val="20"/>
    </w:rPr>
  </w:style>
  <w:style w:type="character" w:customStyle="1" w:styleId="CommentTextChar">
    <w:name w:val="Comment Text Char"/>
    <w:basedOn w:val="DefaultParagraphFont"/>
    <w:link w:val="CommentText"/>
    <w:uiPriority w:val="99"/>
    <w:rsid w:val="00CF6618"/>
    <w:rPr>
      <w:rFonts w:ascii="Times New Roman" w:eastAsia="Times New Roman" w:hAnsi="Times New Roman" w:cs="Times New Roman"/>
      <w:szCs w:val="20"/>
      <w:lang w:eastAsia="lt-LT"/>
    </w:rPr>
  </w:style>
  <w:style w:type="paragraph" w:styleId="CommentSubject">
    <w:name w:val="annotation subject"/>
    <w:basedOn w:val="CommentText"/>
    <w:next w:val="CommentText"/>
    <w:link w:val="CommentSubjectChar"/>
    <w:uiPriority w:val="99"/>
    <w:semiHidden/>
    <w:unhideWhenUsed/>
    <w:rsid w:val="00CF6618"/>
    <w:rPr>
      <w:b/>
      <w:bCs/>
    </w:rPr>
  </w:style>
  <w:style w:type="character" w:customStyle="1" w:styleId="CommentSubjectChar">
    <w:name w:val="Comment Subject Char"/>
    <w:basedOn w:val="CommentTextChar"/>
    <w:link w:val="CommentSubject"/>
    <w:uiPriority w:val="99"/>
    <w:semiHidden/>
    <w:rsid w:val="00CF6618"/>
    <w:rPr>
      <w:rFonts w:ascii="Times New Roman" w:eastAsia="Times New Roman" w:hAnsi="Times New Roman" w:cs="Times New Roman"/>
      <w:b/>
      <w:bCs/>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914508902">
      <w:bodyDiv w:val="1"/>
      <w:marLeft w:val="0"/>
      <w:marRight w:val="0"/>
      <w:marTop w:val="0"/>
      <w:marBottom w:val="0"/>
      <w:divBdr>
        <w:top w:val="none" w:sz="0" w:space="0" w:color="auto"/>
        <w:left w:val="none" w:sz="0" w:space="0" w:color="auto"/>
        <w:bottom w:val="none" w:sz="0" w:space="0" w:color="auto"/>
        <w:right w:val="none" w:sz="0" w:space="0" w:color="auto"/>
      </w:divBdr>
    </w:div>
    <w:div w:id="1398746058">
      <w:bodyDiv w:val="1"/>
      <w:marLeft w:val="0"/>
      <w:marRight w:val="0"/>
      <w:marTop w:val="0"/>
      <w:marBottom w:val="0"/>
      <w:divBdr>
        <w:top w:val="none" w:sz="0" w:space="0" w:color="auto"/>
        <w:left w:val="none" w:sz="0" w:space="0" w:color="auto"/>
        <w:bottom w:val="none" w:sz="0" w:space="0" w:color="auto"/>
        <w:right w:val="none" w:sz="0" w:space="0" w:color="auto"/>
      </w:divBdr>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7a56b5-dc8a-47f5-b3a3-e8fe681333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9" ma:contentTypeDescription="Kurkite naują dokumentą." ma:contentTypeScope="" ma:versionID="e330c7d665eae2122d5d975eb6790731">
  <xsd:schema xmlns:xsd="http://www.w3.org/2001/XMLSchema" xmlns:xs="http://www.w3.org/2001/XMLSchema" xmlns:p="http://schemas.microsoft.com/office/2006/metadata/properties" xmlns:ns2="bc7a56b5-dc8a-47f5-b3a3-e8fe6813337a" targetNamespace="http://schemas.microsoft.com/office/2006/metadata/properties" ma:root="true" ma:fieldsID="9f958ccf137a7f04592b4a2be38cd1f0"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48EC0-C6AD-4A9F-A6BF-830C95E473F1}">
  <ds:schemaRefs>
    <ds:schemaRef ds:uri="http://www.w3.org/XML/1998/namespace"/>
    <ds:schemaRef ds:uri="bc7a56b5-dc8a-47f5-b3a3-e8fe6813337a"/>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F1B1A36-7AF3-4BB2-BC0A-B0C9E8F23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4.xml><?xml version="1.0" encoding="utf-8"?>
<ds:datastoreItem xmlns:ds="http://schemas.openxmlformats.org/officeDocument/2006/customXml" ds:itemID="{369CC1B5-19D3-49B7-B086-DFF41728AD0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6087</Words>
  <Characters>3471</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Agnė Pavilonė</cp:lastModifiedBy>
  <cp:revision>3</cp:revision>
  <cp:lastPrinted>2023-06-30T02:12:00Z</cp:lastPrinted>
  <dcterms:created xsi:type="dcterms:W3CDTF">2025-07-02T08:31:00Z</dcterms:created>
  <dcterms:modified xsi:type="dcterms:W3CDTF">2025-07-02T08:32:00Z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