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left="4320"/>
        <w:textAlignment w:val="baseline"/>
        <w:rPr>
          <w:rFonts w:ascii="Segoe UI" w:hAnsi="Segoe UI" w:cs="Segoe UI"/>
          <w:sz w:val="18"/>
          <w:szCs w:val="18"/>
        </w:rPr>
      </w:pPr>
      <w:r>
        <w:rPr>
          <w:szCs w:val="24"/>
        </w:rPr>
      </w:r>
    </w:p>
    <w:p>
      <w:pPr>
        <w:pStyle w:val="Normal"/>
        <w:widowControl w:val="false"/>
        <w:pBdr/>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pBdr/>
        <w:tabs>
          <w:tab w:val="clear" w:pos="1296"/>
          <w:tab w:val="left" w:pos="567" w:leader="none"/>
          <w:tab w:val="left" w:pos="851" w:leader="none"/>
        </w:tabs>
        <w:jc w:val="center"/>
        <w:rPr>
          <w:b/>
          <w:bCs/>
          <w:caps/>
          <w:szCs w:val="24"/>
        </w:rPr>
      </w:pPr>
      <w:r>
        <w:rPr>
          <w:caps/>
          <w:szCs w:val="24"/>
        </w:rPr>
      </w:r>
    </w:p>
    <w:p>
      <w:pPr>
        <w:pStyle w:val="Normal"/>
        <w:jc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7"/>
        <w:gridCol w:w="2178"/>
        <w:gridCol w:w="2361"/>
        <w:gridCol w:w="2571"/>
      </w:tblGrid>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1296"/>
                <w:tab w:val="left" w:pos="993" w:leader="none"/>
              </w:tabs>
              <w:spacing w:before="0" w:after="0"/>
              <w:ind w:hanging="0" w:left="0"/>
              <w:contextualSpacing/>
              <w:jc w:val="both"/>
              <w:rPr>
                <w:rFonts w:ascii="Times New Roman" w:hAnsi="Times New Roman"/>
              </w:rPr>
            </w:pPr>
            <w:r>
              <w:rPr>
                <w:rFonts w:eastAsia="Calibri" w:cs="Times New Roman" w:ascii="Times New Roman" w:hAnsi="Times New Roman"/>
                <w:sz w:val="24"/>
              </w:rPr>
              <w:t>Mokymosi medžiagos parengimo nuotoliniam mokymuisi virtualioje aplinkoje „Moodle“,</w:t>
            </w:r>
          </w:p>
        </w:tc>
      </w:tr>
      <w:tr>
        <w:trPr/>
        <w:tc>
          <w:tcPr>
            <w:tcW w:w="2447"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b/>
                <w:bCs/>
                <w:lang w:val="lt-LT"/>
              </w:rPr>
              <w:t>Higienos institutas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rPr>
              <w:t>S</w:t>
            </w:r>
            <w:r>
              <w:rPr>
                <w:rStyle w:val="DefaultParagraphFont"/>
                <w:rFonts w:cs="Times New Roman"/>
                <w:lang w:val="lt-LT"/>
              </w:rPr>
              <w:t>tudentų</w:t>
            </w:r>
            <w:r>
              <w:rPr>
                <w:rStyle w:val="DefaultParagraphFont"/>
                <w:rFonts w:cs="Times New Roman"/>
              </w:rPr>
              <w:t xml:space="preserve"> g. </w:t>
            </w:r>
            <w:r>
              <w:rPr>
                <w:rStyle w:val="DefaultParagraphFont"/>
                <w:rFonts w:cs="Times New Roman"/>
                <w:lang w:val="lt-LT"/>
              </w:rPr>
              <w:t>45A</w:t>
            </w:r>
            <w:r>
              <w:rPr>
                <w:rStyle w:val="DefaultParagraphFont"/>
                <w:rFonts w:cs="Times New Roman"/>
              </w:rPr>
              <w:t>,</w:t>
            </w:r>
            <w:r>
              <w:rPr>
                <w:rStyle w:val="DefaultParagraphFont"/>
                <w:rFonts w:cs="Times New Roman"/>
                <w:lang w:val="lt-LT"/>
              </w:rPr>
              <w:t xml:space="preserve"> 08107 </w:t>
            </w:r>
            <w:r>
              <w:rPr>
                <w:rStyle w:val="DefaultParagraphFont"/>
                <w:rFonts w:cs="Times New Roman"/>
              </w:rPr>
              <w:t>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lang w:val="lt-LT"/>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lang w:val="lt-LT"/>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57"/>
        <w:gridCol w:w="37"/>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Tiekėjas įsipareigoja Sutartyje numatytomis sąlygomis suteikti Pirkėjui </w:t>
            </w:r>
            <w:r>
              <w:rPr>
                <w:rFonts w:eastAsia="Calibri" w:cs="Times New Roman"/>
                <w:sz w:val="24"/>
                <w:szCs w:val="24"/>
              </w:rPr>
              <w:t>mokymosi medžiagos parengimo nuotoliniam mokymuisi virtualioje aplinkoje „Moodle“</w:t>
            </w:r>
            <w:r>
              <w:rPr>
                <w:rStyle w:val="DefaultParagraphFont"/>
                <w:color w:val="000000"/>
              </w:rPr>
              <w:t xml:space="preserve"> (toliau – Paslaugos).</w:t>
            </w:r>
          </w:p>
          <w:p>
            <w:pPr>
              <w:pStyle w:val="Normal"/>
              <w:jc w:val="both"/>
              <w:rPr/>
            </w:pPr>
            <w:r>
              <w:rPr>
                <w:rStyle w:val="DefaultParagraphFont"/>
                <w:color w:val="000000"/>
                <w:kern w:val="2"/>
                <w:szCs w:val="24"/>
              </w:rPr>
              <w:t>Išsamus Paslaugų aprašymas ir kiti reikalavimai teikiamoms Paslaugoms nustatyti</w:t>
            </w:r>
            <w:r>
              <w:rPr>
                <w:rStyle w:val="DefaultParagraphFont"/>
                <w:color w:val="000000"/>
                <w:kern w:val="2"/>
                <w:szCs w:val="24"/>
                <w:shd w:fill="FFFFFF" w:val="clear"/>
              </w:rPr>
              <w:t xml:space="preserve"> Sutarties priede Nr.</w:t>
            </w:r>
            <w:r>
              <w:rPr>
                <w:rStyle w:val="DefaultParagraphFont"/>
                <w:color w:val="000000"/>
                <w:kern w:val="2"/>
                <w:szCs w:val="24"/>
                <w:shd w:fill="FFFFFF" w:val="clear"/>
                <w:lang w:val="lt-LT"/>
              </w:rPr>
              <w:t xml:space="preserve"> 1 </w:t>
            </w:r>
            <w:r>
              <w:rPr>
                <w:rStyle w:val="DefaultParagraphFont"/>
                <w:color w:val="000000"/>
                <w:kern w:val="2"/>
                <w:szCs w:val="24"/>
                <w:shd w:fill="FFFFFF" w:val="clear"/>
              </w:rPr>
              <w:t>„Techninė specifikacija“ (toliau – Techninė specifikacija) ir Sutarties priede Nr.</w:t>
            </w:r>
            <w:r>
              <w:rPr>
                <w:rStyle w:val="DefaultParagraphFont"/>
                <w:color w:val="000000"/>
                <w:kern w:val="2"/>
                <w:szCs w:val="24"/>
                <w:shd w:fill="FFFFFF" w:val="clear"/>
                <w:lang w:val="lt-LT"/>
              </w:rPr>
              <w:t xml:space="preserve"> 2 </w:t>
            </w:r>
            <w:r>
              <w:rPr>
                <w:rStyle w:val="DefaultParagraphFont"/>
                <w:color w:val="000000"/>
                <w:kern w:val="2"/>
                <w:szCs w:val="24"/>
                <w:shd w:fill="FFFFFF" w:val="clear"/>
              </w:rPr>
              <w:t>„Pasiūlymas“.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rStyle w:val="DefaultParagraphFont"/>
                <w:rFonts w:eastAsia="Calibri" w:cs="Times New Roman"/>
                <w:color w:val="000000"/>
                <w:kern w:val="2"/>
                <w:sz w:val="24"/>
                <w:szCs w:val="24"/>
              </w:rPr>
              <w:t>Mokymosi medžiagos parengimo nuotoliniam mokymuisi virtualioje aplinkoje „Moodle“</w:t>
            </w:r>
            <w:r>
              <w:rPr>
                <w:rStyle w:val="DefaultParagraphFont"/>
                <w:color w:val="000000"/>
                <w:kern w:val="2"/>
                <w:szCs w:val="24"/>
              </w:rPr>
              <w:t xml:space="preserve"> (toliau – Paslaugos) [</w:t>
            </w:r>
            <w:r>
              <w:rPr>
                <w:rStyle w:val="DefaultParagraphFont"/>
                <w:i/>
                <w:iCs/>
                <w:color w:val="B2B2B2"/>
                <w:kern w:val="2"/>
                <w:szCs w:val="24"/>
              </w:rPr>
              <w:t xml:space="preserve">nurodyti pirkimo </w:t>
            </w:r>
            <w:r>
              <w:rPr>
                <w:rStyle w:val="DefaultParagraphFont"/>
                <w:i/>
                <w:iCs/>
                <w:color w:val="B2B2B2"/>
                <w:kern w:val="2"/>
                <w:szCs w:val="24"/>
                <w:lang w:val="lt-LT"/>
              </w:rPr>
              <w:t>ID</w:t>
            </w:r>
            <w:r>
              <w:rPr>
                <w:rStyle w:val="DefaultParagraphFont"/>
                <w:color w:val="000000"/>
                <w:kern w:val="2"/>
                <w:szCs w:val="24"/>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rStyle w:val="DefaultParagraphFont"/>
                <w:color w:val="000000"/>
                <w:sz w:val="24"/>
                <w:szCs w:val="24"/>
              </w:rPr>
              <w:t>Tiekėjas įsipareigoja suteikti Paslaugas Techninėje specifikacijoje nurodytų e</w:t>
            </w:r>
            <w:r>
              <w:rPr>
                <w:color w:val="000000"/>
                <w:sz w:val="24"/>
                <w:szCs w:val="24"/>
              </w:rPr>
              <w:t xml:space="preserve">tapų eiliškumu, terminais ir sąlygomis. </w:t>
            </w:r>
            <w:r>
              <w:rPr>
                <w:color w:val="000000"/>
                <w:sz w:val="24"/>
                <w:szCs w:val="24"/>
                <w:lang w:val="lt-LT"/>
              </w:rPr>
              <w:t>Be</w:t>
            </w:r>
            <w:r>
              <w:rPr>
                <w:color w:val="000000"/>
                <w:sz w:val="24"/>
                <w:szCs w:val="24"/>
                <w:lang w:val="en-US"/>
              </w:rPr>
              <w:t>ndra paslaug</w:t>
            </w:r>
            <w:r>
              <w:rPr>
                <w:color w:val="000000"/>
                <w:sz w:val="24"/>
                <w:szCs w:val="24"/>
                <w:lang w:val="lt-LT"/>
              </w:rPr>
              <w:t xml:space="preserve">ų teikimo trukmė yra </w:t>
            </w:r>
            <w:r>
              <w:rPr>
                <w:color w:val="000000"/>
                <w:sz w:val="24"/>
                <w:szCs w:val="24"/>
                <w:lang w:val="lt-LT"/>
              </w:rPr>
              <w:t>4</w:t>
            </w:r>
            <w:r>
              <w:rPr>
                <w:color w:val="000000"/>
                <w:sz w:val="24"/>
                <w:szCs w:val="24"/>
                <w:lang w:val="lt-LT"/>
              </w:rPr>
              <w:t xml:space="preserve"> mėn.</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t>Netaikoma</w:t>
            </w:r>
          </w:p>
          <w:p>
            <w:pPr>
              <w:pStyle w:val="Normal"/>
              <w:jc w:val="both"/>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p>
            <w:pPr>
              <w:pStyle w:val="Normal"/>
              <w:rPr>
                <w:szCs w:val="24"/>
              </w:rPr>
            </w:pPr>
            <w:r>
              <w:rPr/>
            </w:r>
          </w:p>
        </w:tc>
      </w:tr>
      <w:tr>
        <w:trPr>
          <w:trHeight w:val="994"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Turi būti pateikiami šie dokumentai: </w:t>
            </w:r>
            <w:r>
              <w:rPr>
                <w:rStyle w:val="DefaultParagraphFont"/>
                <w:color w:val="4472C4"/>
                <w:kern w:val="2"/>
                <w:szCs w:val="24"/>
              </w:rPr>
              <w:t xml:space="preserve"> </w:t>
            </w:r>
            <w:r>
              <w:rPr>
                <w:rStyle w:val="DefaultParagraphFont"/>
                <w:color w:val="000000"/>
                <w:kern w:val="2"/>
                <w:szCs w:val="24"/>
              </w:rPr>
              <w:t xml:space="preserve">Paslaugų perdavimo-priėmimo aktas, </w:t>
            </w:r>
            <w:r>
              <w:rPr>
                <w:rStyle w:val="DefaultParagraphFont"/>
                <w:color w:val="000000"/>
                <w:kern w:val="2"/>
                <w:szCs w:val="24"/>
                <w:lang w:val="lt-LT"/>
              </w:rPr>
              <w:t>s</w:t>
            </w:r>
            <w:r>
              <w:rPr>
                <w:rStyle w:val="DefaultParagraphFont"/>
                <w:color w:val="000000"/>
                <w:kern w:val="2"/>
                <w:szCs w:val="24"/>
              </w:rPr>
              <w:t>ąskaita.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Fiksuotos kainos kainodara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rStyle w:val="DefaultParagraphFont"/>
                <w:color w:val="4472C4"/>
              </w:rPr>
              <w:t>(nurodyti sumą skaičiais)</w:t>
            </w:r>
            <w:r>
              <w:rPr/>
              <w:t xml:space="preserve"> Eur </w:t>
            </w:r>
            <w:r>
              <w:rPr>
                <w:rStyle w:val="DefaultParagraphFont"/>
                <w:color w:val="4472C4"/>
              </w:rPr>
              <w:t>(nurodyti sumą žodžiais)</w:t>
            </w:r>
            <w:r>
              <w:rPr/>
              <w:t xml:space="preserve"> be PVM.</w:t>
            </w:r>
          </w:p>
          <w:p>
            <w:pPr>
              <w:pStyle w:val="Normal"/>
              <w:rPr/>
            </w:pPr>
            <w:r>
              <w:rPr/>
              <w:t xml:space="preserve">PVM sudaro </w:t>
            </w:r>
            <w:r>
              <w:rPr>
                <w:rStyle w:val="DefaultParagraphFont"/>
                <w:color w:val="4472C4"/>
              </w:rPr>
              <w:t>(nurodyti sumą skaičiais)</w:t>
            </w:r>
            <w:r>
              <w:rPr/>
              <w:t xml:space="preserve"> Eur </w:t>
            </w:r>
            <w:r>
              <w:rPr>
                <w:rStyle w:val="DefaultParagraphFont"/>
                <w:color w:val="4472C4"/>
              </w:rPr>
              <w:t>(nurodyti sumą žodžiais)</w:t>
            </w:r>
            <w:r>
              <w:rPr/>
              <w:t>.</w:t>
            </w:r>
          </w:p>
          <w:p>
            <w:pPr>
              <w:pStyle w:val="Normal"/>
              <w:rPr/>
            </w:pPr>
            <w:r>
              <w:rPr/>
              <w:t xml:space="preserve">Sutarties kaina yra </w:t>
            </w:r>
            <w:r>
              <w:rPr>
                <w:rStyle w:val="DefaultParagraphFont"/>
                <w:color w:val="4472C4"/>
              </w:rPr>
              <w:t>(nurodyti sumą skaičiais)</w:t>
            </w:r>
            <w:r>
              <w:rPr/>
              <w:t xml:space="preserve"> Eur </w:t>
            </w:r>
            <w:r>
              <w:rPr>
                <w:rStyle w:val="DefaultParagraphFont"/>
                <w:color w:val="4472C4"/>
              </w:rPr>
              <w:t>(nurodyti sumą žodžiais)</w:t>
            </w:r>
            <w:r>
              <w:rPr/>
              <w:t xml:space="preserve"> su PVM.</w:t>
            </w:r>
          </w:p>
          <w:p>
            <w:pPr>
              <w:pStyle w:val="Normal"/>
              <w:rPr>
                <w:rStyle w:val="DefaultParagraphFont"/>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color w:val="FF0000"/>
                <w:kern w:val="2"/>
                <w:szCs w:val="24"/>
              </w:rPr>
              <w:t xml:space="preserve"> </w:t>
            </w:r>
            <w:r>
              <w:rPr>
                <w:color w:val="000000"/>
                <w:kern w:val="2"/>
                <w:szCs w:val="24"/>
              </w:rPr>
              <w:t>Sutarties  kain</w:t>
            </w:r>
            <w:r>
              <w:rPr>
                <w:color w:val="000000"/>
                <w:kern w:val="2"/>
                <w:szCs w:val="24"/>
                <w:lang w:val="lt-LT"/>
              </w:rPr>
              <w:t>a</w:t>
            </w:r>
            <w:r>
              <w:rPr>
                <w:color w:val="000000"/>
                <w:kern w:val="2"/>
                <w:szCs w:val="24"/>
              </w:rPr>
              <w:t xml:space="preserve"> bus perskaičiuojami:</w:t>
            </w:r>
          </w:p>
          <w:p>
            <w:pPr>
              <w:pStyle w:val="Normal"/>
              <w:rPr>
                <w:color w:val="FF0000"/>
                <w:kern w:val="2"/>
                <w:szCs w:val="24"/>
              </w:rPr>
            </w:pPr>
            <w:r>
              <w:rPr>
                <w:color w:val="000000"/>
                <w:kern w:val="2"/>
                <w:szCs w:val="24"/>
              </w:rPr>
              <w:t>5.3.1. dėl PVM tarifo pasikeitimo</w:t>
            </w:r>
            <w:r>
              <w:rPr>
                <w:rStyle w:val="DefaultParagraphFont"/>
                <w:color w:val="000000"/>
                <w:kern w:val="2"/>
                <w:szCs w:val="24"/>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kern w:val="2"/>
                <w:szCs w:val="24"/>
              </w:rPr>
              <w:t>Perskaičiuota (-i) Sutarties kaina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
                <w:kern w:val="2"/>
                <w:szCs w:val="24"/>
              </w:rPr>
              <w:t>5.3.3. Sutarties kainos / įkainių peržiūra dėl kainų lygio pokyčio</w:t>
            </w:r>
          </w:p>
          <w:p>
            <w:pPr>
              <w:pStyle w:val="Normal"/>
              <w:rPr>
                <w:kern w:val="2"/>
                <w:szCs w:val="24"/>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Netaikoma</w:t>
            </w:r>
          </w:p>
          <w:p>
            <w:pPr>
              <w:pStyle w:val="Normal"/>
              <w:rPr>
                <w:kern w:val="2"/>
                <w:szCs w:val="24"/>
              </w:rPr>
            </w:pPr>
            <w:r>
              <w:rPr>
                <w:kern w:val="2"/>
                <w:szCs w:val="24"/>
              </w:rPr>
            </w:r>
          </w:p>
          <w:p>
            <w:pPr>
              <w:pStyle w:val="Normal"/>
              <w:rPr>
                <w:color w:val="4472C4"/>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kern w:val="2"/>
                <w:szCs w:val="24"/>
                <w:shd w:fill="FFFFFF" w:val="clear"/>
              </w:rPr>
              <w:t xml:space="preserve">Pirkėjas atsiskaito su Tiekėju ne vėliau kaip per 30 nuo Sąskaitos gavimo dienos, </w:t>
            </w:r>
            <w:r>
              <w:rPr>
                <w:rStyle w:val="DefaultParagraphFont"/>
                <w:color w:val="000000"/>
                <w:kern w:val="2"/>
                <w:szCs w:val="24"/>
                <w:shd w:fill="FFFFFF" w:val="clear"/>
              </w:rPr>
              <w:t xml:space="preserve"> s</w:t>
            </w:r>
            <w:r>
              <w:rPr>
                <w:rStyle w:val="DefaultParagraphFont"/>
                <w:color w:val="000000"/>
                <w:kern w:val="2"/>
                <w:szCs w:val="24"/>
                <w:shd w:fill="FFFFFF" w:val="clear"/>
                <w:lang w:val="lt-LT"/>
              </w:rPr>
              <w:t>uteikus paslaugas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spacing w:lineRule="auto" w:line="259"/>
              <w:rPr>
                <w:color w:val="000000"/>
                <w:kern w:val="2"/>
                <w:szCs w:val="24"/>
                <w:shd w:fill="FFFFFF" w:val="clear"/>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6.3. Kokybinių kriterijų įgyvendinimo ir 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kern w:val="2"/>
                <w:szCs w:val="24"/>
                <w:lang w:val="lt-LT"/>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b w:val="false"/>
                <w:bCs w:val="false"/>
                <w:kern w:val="2"/>
                <w:szCs w:val="24"/>
              </w:rPr>
              <w:t>Sutarties vykdymui pasitelkiami subtiekėjai ir (ar) specialistai yra nurodyti Sutarties priede</w:t>
            </w:r>
            <w:r>
              <w:rPr>
                <w:b w:val="false"/>
                <w:bCs w:val="false"/>
                <w:color w:val="000000"/>
                <w:kern w:val="2"/>
                <w:szCs w:val="24"/>
              </w:rPr>
              <w:t xml:space="preserve"> Nr.</w:t>
            </w:r>
            <w:r>
              <w:rPr>
                <w:b w:val="false"/>
                <w:bCs w:val="false"/>
                <w:color w:val="000000"/>
                <w:kern w:val="2"/>
                <w:szCs w:val="24"/>
                <w:shd w:fill="FFFFFF" w:val="clear"/>
                <w:lang w:val="lt-LT"/>
              </w:rPr>
              <w:t xml:space="preserve"> </w:t>
            </w:r>
            <w:r>
              <w:rPr>
                <w:rStyle w:val="DefaultParagraphFont"/>
                <w:b w:val="false"/>
                <w:bCs w:val="false"/>
                <w:color w:val="000000"/>
                <w:kern w:val="2"/>
                <w:szCs w:val="24"/>
                <w:shd w:fill="FFFFFF" w:val="clear"/>
                <w:lang w:val="lt-LT"/>
              </w:rPr>
              <w:t>3</w:t>
            </w:r>
            <w:r>
              <w:rPr>
                <w:b w:val="false"/>
                <w:bCs w:val="false"/>
                <w:color w:val="000000"/>
                <w:kern w:val="2"/>
                <w:szCs w:val="24"/>
                <w:shd w:fill="FFFFFF" w:val="clear"/>
                <w:lang w:val="lt-LT"/>
              </w:rPr>
              <w:t xml:space="preserve"> </w:t>
            </w:r>
            <w:r>
              <w:rPr>
                <w:b w:val="false"/>
                <w:bCs w:val="false"/>
                <w:color w:val="000000"/>
                <w:kern w:val="2"/>
                <w:szCs w:val="24"/>
                <w:shd w:fill="FFFFFF" w:val="clear"/>
              </w:rPr>
              <w:t>„</w:t>
            </w:r>
            <w:r>
              <w:rPr>
                <w:b w:val="false"/>
                <w:bCs w:val="false"/>
                <w:kern w:val="2"/>
                <w:szCs w:val="24"/>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kern w:val="2"/>
                <w:szCs w:val="24"/>
              </w:rPr>
            </w:pPr>
            <w:r>
              <w:rPr>
                <w:kern w:val="2"/>
                <w:szCs w:val="24"/>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szCs w:val="24"/>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olor w:val="000000"/>
              </w:rPr>
            </w:pPr>
            <w:r>
              <w:rPr>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1296"/>
                <w:tab w:val="left" w:pos="5760" w:leader="none"/>
              </w:tabs>
              <w:spacing w:before="0" w:after="120"/>
              <w:jc w:val="both"/>
              <w:rPr/>
            </w:pPr>
            <w:r>
              <w:rPr>
                <w:rStyle w:val="DefaultParagraphFont"/>
                <w:shd w:fill="FFFFFF" w:val="clear"/>
              </w:rPr>
              <w:t>Jei</w:t>
            </w:r>
            <w:r>
              <w:rPr>
                <w:rStyle w:val="DefaultParagraphFont"/>
                <w:shd w:fill="FFFFFF" w:val="clear"/>
                <w:lang w:val="lt-LT"/>
              </w:rPr>
              <w:t xml:space="preserve"> Paslaugų t</w:t>
            </w:r>
            <w:r>
              <w:rPr>
                <w:rStyle w:val="DefaultParagraphFont"/>
                <w:shd w:fill="FFFFFF" w:val="clear"/>
              </w:rPr>
              <w:t>iekėjas v</w:t>
            </w:r>
            <w:r>
              <w:rPr>
                <w:rStyle w:val="DefaultParagraphFont"/>
                <w:color w:val="000000"/>
                <w:shd w:fill="FFFFFF" w:val="clear"/>
                <w:lang w:val="lt-LT"/>
              </w:rPr>
              <w:t>ėluoja suteikti paslaugas techninėje specifikacijoje nurodytais terminais, tai už kiekvieną vėlavimo kalendorinę dieną moką 20 eurų netęsybas.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w:t>
            </w:r>
            <w:r>
              <w:rPr>
                <w:lang w:val="lt-LT"/>
              </w:rPr>
              <w:t xml:space="preserve"> 500 eurų bauda</w:t>
            </w:r>
            <w:r>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500 eurų</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color w:val="000000"/>
                <w:kern w:val="2"/>
                <w:szCs w:val="24"/>
              </w:rPr>
            </w:pPr>
            <w:r>
              <w:rPr>
                <w:bCs/>
                <w:color w:val="000000"/>
                <w:kern w:val="2"/>
                <w:szCs w:val="24"/>
              </w:rPr>
              <w:t>Netaikoma</w:t>
            </w:r>
          </w:p>
          <w:p>
            <w:pPr>
              <w:pStyle w:val="Normal"/>
              <w:rPr>
                <w:color w:val="4472C4"/>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color w:val="4472C4"/>
                <w:szCs w:val="24"/>
              </w:rPr>
            </w:pPr>
            <w:r>
              <w:rPr>
                <w:bCs/>
                <w:szCs w:val="24"/>
              </w:rPr>
              <w:t xml:space="preserve">Netaikoma </w:t>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bCs/>
                <w:kern w:val="2"/>
                <w:szCs w:val="24"/>
              </w:rPr>
            </w:pPr>
            <w:r>
              <w:rPr>
                <w:bCs/>
                <w:kern w:val="2"/>
                <w:szCs w:val="24"/>
              </w:rPr>
              <w:t>Netaikoma</w:t>
            </w:r>
          </w:p>
          <w:p>
            <w:pPr>
              <w:pStyle w:val="Normal"/>
              <w:rPr>
                <w:bCs/>
                <w:kern w:val="2"/>
                <w:szCs w:val="24"/>
              </w:rPr>
            </w:pPr>
            <w:r>
              <w:rPr>
                <w:color w:val="4472C4"/>
                <w:kern w:val="2"/>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b/>
                <w:color w:val="000000"/>
                <w:kern w:val="2"/>
                <w:szCs w:val="24"/>
                <w:lang w:val="en-US"/>
              </w:rPr>
              <w:t xml:space="preserve">9.10. </w:t>
            </w:r>
            <w:r>
              <w:rPr>
                <w:b/>
                <w:color w:val="000000"/>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bCs/>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kern w:val="2"/>
                <w:szCs w:val="24"/>
              </w:rPr>
              <w:t>Prievolių įvykdymo terminai nurodyti Sutarties 1 priede „Techninė specifikacija“.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bCs/>
              </w:rPr>
              <w:t>10.2. Dideli arba nuolatiniai esminės Sutarties sąlygos vykdymo trūkumai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rFonts w:eastAsia="Arial"/>
                <w:color w:val="000000"/>
                <w:lang w:val="lt-LT"/>
              </w:rPr>
              <w:t>Dideliu ar nuolatiniu esminės Sutarties sąlygos vykdymo trūkumu laikomas</w:t>
            </w:r>
            <w:r>
              <w:rPr>
                <w:color w:val="000000"/>
              </w:rPr>
              <w:t xml:space="preserve"> tiekėjo uždelsimas, trunkantis </w:t>
            </w:r>
            <w:r>
              <w:rPr>
                <w:color w:val="000000"/>
              </w:rPr>
              <w:t>15</w:t>
            </w:r>
            <w:r>
              <w:rPr>
                <w:color w:val="000000"/>
              </w:rPr>
              <w:t xml:space="preserve"> dienas suteikti paslaugas </w:t>
            </w:r>
            <w:r>
              <w:rPr>
                <w:color w:val="000000"/>
                <w:kern w:val="2"/>
                <w:szCs w:val="24"/>
              </w:rPr>
              <w:t>Sutarties 1 priede „Techninė specifikacija“</w:t>
            </w:r>
            <w:r>
              <w:rPr>
                <w:color w:val="000000"/>
              </w:rPr>
              <w:t>.</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Ši Sutartis laikoma sudaryta ir įsigalioja nuo Sutarties pasirašymo dienos (antrosios Šalies pasirašymo dieną).</w:t>
            </w:r>
          </w:p>
          <w:p>
            <w:pPr>
              <w:pStyle w:val="Normal"/>
              <w:rPr>
                <w:color w:val="4472C4"/>
                <w:kern w:val="2"/>
                <w:szCs w:val="24"/>
              </w:rPr>
            </w:pPr>
            <w:r>
              <w:rPr>
                <w:rStyle w:val="DefaultParagraphFont"/>
                <w:color w:val="000000"/>
                <w:kern w:val="2"/>
                <w:szCs w:val="24"/>
              </w:rPr>
              <w:t>Sutartis galioja iki visiško prievolių įvykdymo, bet</w:t>
            </w:r>
            <w:r>
              <w:rPr>
                <w:rStyle w:val="DefaultParagraphFont"/>
                <w:color w:val="000000"/>
                <w:kern w:val="2"/>
                <w:szCs w:val="24"/>
                <w:lang w:val="lt-LT"/>
              </w:rPr>
              <w:t xml:space="preserve"> ne</w:t>
            </w:r>
            <w:r>
              <w:rPr>
                <w:rStyle w:val="DefaultParagraphFont"/>
                <w:color w:val="000000"/>
                <w:kern w:val="2"/>
                <w:szCs w:val="24"/>
              </w:rPr>
              <w:t>ilg</w:t>
            </w:r>
            <w:r>
              <w:rPr>
                <w:rStyle w:val="DefaultParagraphFont"/>
                <w:color w:val="000000"/>
                <w:kern w:val="2"/>
                <w:szCs w:val="24"/>
                <w:lang w:val="lt-LT"/>
              </w:rPr>
              <w:t>iau</w:t>
            </w:r>
            <w:r>
              <w:rPr>
                <w:rStyle w:val="DefaultParagraphFont"/>
                <w:color w:val="000000"/>
                <w:kern w:val="2"/>
                <w:szCs w:val="24"/>
              </w:rPr>
              <w:t xml:space="preserve"> kaip</w:t>
            </w:r>
            <w:r>
              <w:rPr>
                <w:rStyle w:val="DefaultParagraphFont"/>
                <w:color w:val="000000"/>
                <w:kern w:val="2"/>
                <w:szCs w:val="24"/>
                <w:lang w:val="lt-LT"/>
              </w:rPr>
              <w:t xml:space="preserve"> </w:t>
            </w:r>
            <w:r>
              <w:rPr>
                <w:rStyle w:val="DefaultParagraphFont"/>
                <w:color w:val="000000"/>
                <w:kern w:val="2"/>
                <w:szCs w:val="24"/>
                <w:lang w:val="lt-LT"/>
              </w:rPr>
              <w:t>4</w:t>
            </w:r>
            <w:r>
              <w:rPr>
                <w:rStyle w:val="DefaultParagraphFont"/>
                <w:color w:val="000000"/>
                <w:kern w:val="2"/>
                <w:szCs w:val="24"/>
                <w:lang w:val="lt-LT"/>
              </w:rPr>
              <w:t xml:space="preserve"> mėnesi</w:t>
            </w:r>
            <w:r>
              <w:rPr>
                <w:rStyle w:val="DefaultParagraphFont"/>
                <w:color w:val="000000"/>
                <w:kern w:val="2"/>
                <w:szCs w:val="24"/>
                <w:lang w:val="lt-LT"/>
              </w:rPr>
              <w:t>ai</w:t>
            </w:r>
            <w:r>
              <w:rPr>
                <w:rStyle w:val="DefaultParagraphFont"/>
                <w:color w:val="000000"/>
                <w:kern w:val="2"/>
                <w:szCs w:val="24"/>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12.2.1. jeigu Tiekėjas nevykdo prisiimtų įsipareigojimų už Sutartyje nustatytą Sutarties kainą ;</w:t>
            </w:r>
          </w:p>
          <w:p>
            <w:pPr>
              <w:pStyle w:val="Normal"/>
              <w:spacing w:lineRule="auto" w:line="252"/>
              <w:jc w:val="both"/>
              <w:rPr>
                <w:rFonts w:eastAsia="Arial"/>
                <w:kern w:val="2"/>
                <w:szCs w:val="24"/>
              </w:rPr>
            </w:pPr>
            <w:r>
              <w:rPr>
                <w:rFonts w:eastAsia="Arial"/>
                <w:kern w:val="2"/>
                <w:szCs w:val="24"/>
              </w:rPr>
              <w:t xml:space="preserve">12.2.2. jeigu Tiekėjas nesilaiko Sutartyje nustatytų Paslaugų teikimo terminų </w:t>
            </w:r>
            <w:r>
              <w:rPr>
                <w:rFonts w:eastAsia="Arial"/>
                <w:kern w:val="2"/>
                <w:szCs w:val="24"/>
              </w:rPr>
              <w:t>daugiau kaip  20 dienų</w:t>
            </w:r>
            <w:r>
              <w:rPr>
                <w:rFonts w:eastAsia="Arial"/>
                <w:kern w:val="2"/>
                <w:szCs w:val="24"/>
              </w:rPr>
              <w:t>;</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12.2.3.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2"/>
              <w:jc w:val="both"/>
              <w:rPr>
                <w:rFonts w:eastAsia="Arial"/>
                <w:kern w:val="2"/>
                <w:szCs w:val="24"/>
              </w:rPr>
            </w:pPr>
            <w:r>
              <w:rPr>
                <w:rFonts w:eastAsia="Arial"/>
                <w:kern w:val="2"/>
                <w:szCs w:val="24"/>
              </w:rPr>
              <w:t>12.2.4. Tiekėjas pažeidžia Paslaugų suteikimo terminus ir dėl Paslaugų suteikimo vėlavimo Paslaugos tampa nebereikalingos;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 xml:space="preserve">13. APLINKOS APSAUGOS IR SOCIALINIAI KRITERIJAI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kern w:val="2"/>
                <w:szCs w:val="24"/>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color w:val="000000"/>
                <w:kern w:val="2"/>
                <w:szCs w:val="24"/>
                <w:shd w:fill="FFFFFF" w:val="clear"/>
              </w:rPr>
              <w:endnoteReference w:id="2"/>
            </w:r>
            <w:r>
              <w:rPr>
                <w:rStyle w:val="FootnoteReference"/>
                <w:color w:val="000000"/>
                <w:kern w:val="2"/>
                <w:szCs w:val="24"/>
                <w:shd w:fill="FFFFFF" w:val="clear"/>
              </w:rPr>
              <w:footnoteReference w:id="2"/>
            </w:r>
            <w:r>
              <w:rPr>
                <w:rStyle w:val="DefaultParagraphFont"/>
                <w:color w:val="000000"/>
                <w:kern w:val="2"/>
                <w:szCs w:val="24"/>
                <w:shd w:fill="FFFFFF" w:val="clear"/>
              </w:rPr>
              <w:t>, todėl Pirkimo objektui, tiekėjų kvalifikacijos reikalavimams, pasiūlymų vertinimo kriterijams, Pirkimo sutarties vykdymo sąlygoms ar kitiems reikalavimams kiti aplinkos apsaugos (žalieji) kriterijai</w:t>
            </w:r>
            <w:r>
              <w:rPr>
                <w:rStyle w:val="DefaultParagraphFont"/>
                <w:b/>
                <w:bCs/>
                <w:color w:val="000000"/>
                <w:kern w:val="2"/>
                <w:szCs w:val="24"/>
                <w:shd w:fill="FFFFFF" w:val="clear"/>
              </w:rPr>
              <w:t xml:space="preserve"> nėra nustatomi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14. BENDRŲJŲ SĄLYGŲ PAKEITIMAI IR PAPILDYMAI </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b/>
                <w:color w:val="000000"/>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left"/>
              <w:rPr>
                <w:b w:val="false"/>
                <w:bCs w:val="false"/>
                <w:kern w:val="2"/>
                <w:szCs w:val="24"/>
              </w:rPr>
            </w:pPr>
            <w:r>
              <w:rPr>
                <w:b w:val="false"/>
                <w:bCs w:val="false"/>
                <w:kern w:val="2"/>
                <w:szCs w:val="24"/>
              </w:rPr>
              <w:t>Techninė specifikacija</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jc w:val="left"/>
              <w:rPr>
                <w:b w:val="false"/>
                <w:bCs w:val="false"/>
                <w:kern w:val="2"/>
                <w:szCs w:val="24"/>
              </w:rPr>
            </w:pPr>
            <w:r>
              <w:rPr>
                <w:b w:val="false"/>
                <w:bCs w:val="false"/>
                <w:kern w:val="2"/>
                <w:szCs w:val="24"/>
              </w:rPr>
              <w:t>Pasiūlymas</w:t>
            </w:r>
          </w:p>
        </w:tc>
      </w:tr>
      <w:tr>
        <w:trPr>
          <w:trHeight w:val="300" w:hRule="atLeast"/>
        </w:trPr>
        <w:tc>
          <w:tcPr>
            <w:tcW w:w="305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477" w:type="dxa"/>
            <w:gridSpan w:val="3"/>
            <w:tcBorders>
              <w:top w:val="single" w:sz="4" w:space="0" w:color="000000"/>
              <w:left w:val="single" w:sz="4" w:space="0" w:color="000000"/>
              <w:bottom w:val="single" w:sz="4" w:space="0" w:color="000000"/>
              <w:right w:val="single" w:sz="4" w:space="0" w:color="000000"/>
            </w:tcBorders>
          </w:tcPr>
          <w:p>
            <w:pPr>
              <w:pStyle w:val="Normal"/>
              <w:rPr/>
            </w:pPr>
            <w:r>
              <w:rPr>
                <w:b w:val="false"/>
                <w:bCs w:val="false"/>
              </w:rPr>
              <w:t>Sutarties vykdymui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default" r:id="rId2"/>
      <w:footerReference w:type="default" r:id="rId3"/>
      <w:footnotePr>
        <w:numFmt w:val="decimal"/>
      </w:footnotePr>
      <w:endnotePr>
        <w:numFmt w:val="decimal"/>
      </w:endnotePr>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Style w:val="DefaultParagraphFont"/>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Segoe UI">
    <w:charset w:val="00"/>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4</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settings.xml><?xml version="1.0" encoding="utf-8"?>
<w:settings xmlns:w="http://schemas.openxmlformats.org/wordprocessingml/2006/main">
  <w:zoom w:percent="100"/>
  <w:defaultTabStop w:val="1296"/>
  <w:autoHyphenation w:val="true"/>
  <w:doNotHyphenateCaps/>
  <w:hyphenationZone w:val="396"/>
  <w:footnotePr>
    <w:numFmt w:val="decimal"/>
    <w:footnote w:id="0"/>
    <w:footnote w:id="1"/>
  </w:footnotePr>
  <w:endnotePr>
    <w:numFmt w:val="decimal"/>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HeaderChar" w:customStyle="1">
    <w:name w:val="Header Char"/>
    <w:basedOn w:val="DefaultParagraphFont"/>
    <w:link w:val="Header"/>
    <w:qFormat/>
    <w:rsid w:val="007a75c6"/>
    <w:rPr/>
  </w:style>
  <w:style w:type="character" w:styleId="FooterChar" w:customStyle="1">
    <w:name w:val="Footer Char"/>
    <w:basedOn w:val="DefaultParagraphFont"/>
    <w:link w:val="Footer"/>
    <w:qFormat/>
    <w:rsid w:val="007a75c6"/>
    <w:rPr/>
  </w:style>
  <w:style w:type="character" w:styleId="Normaltextrun" w:customStyle="1">
    <w:name w:val="normaltextrun"/>
    <w:basedOn w:val="DefaultParagraphFont"/>
    <w:qFormat/>
    <w:rsid w:val="00c74fa2"/>
    <w:rPr/>
  </w:style>
  <w:style w:type="character" w:styleId="Eop" w:customStyle="1">
    <w:name w:val="eop"/>
    <w:basedOn w:val="DefaultParagraphFont"/>
    <w:qFormat/>
    <w:rsid w:val="00c74fa2"/>
    <w:rPr/>
  </w:style>
  <w:style w:type="character" w:styleId="EndnoteCharacters">
    <w:name w:val="Endnote Characters"/>
    <w:qFormat/>
    <w:rPr/>
  </w:style>
  <w:style w:type="character" w:styleId="EndnoteReference">
    <w:name w:val="Endnote Reference"/>
    <w:rPr>
      <w:vertAlign w:val="superscript"/>
    </w:rPr>
  </w:style>
  <w:style w:type="character" w:styleId="FootnoteCharacters">
    <w:name w:val="Footnote Characters"/>
    <w:qForma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nhideWhenUsed/>
    <w:rsid w:val="007a75c6"/>
    <w:pPr>
      <w:tabs>
        <w:tab w:val="clear" w:pos="1296"/>
        <w:tab w:val="center" w:pos="4513" w:leader="none"/>
        <w:tab w:val="right" w:pos="9026" w:leader="none"/>
      </w:tabs>
    </w:pPr>
    <w:rPr/>
  </w:style>
  <w:style w:type="paragraph" w:styleId="Footer">
    <w:name w:val="Footer"/>
    <w:basedOn w:val="Normal"/>
    <w:link w:val="FooterChar"/>
    <w:unhideWhenUsed/>
    <w:rsid w:val="007a75c6"/>
    <w:pPr>
      <w:tabs>
        <w:tab w:val="clear" w:pos="1296"/>
        <w:tab w:val="center" w:pos="4513" w:leader="none"/>
        <w:tab w:val="right" w:pos="9026" w:leader="none"/>
      </w:tabs>
    </w:pPr>
    <w:rPr/>
  </w:style>
  <w:style w:type="paragraph" w:styleId="Paragraph" w:customStyle="1">
    <w:name w:val="paragraph"/>
    <w:basedOn w:val="Normal"/>
    <w:qFormat/>
    <w:rsid w:val="00c74fa2"/>
    <w:pPr>
      <w:spacing w:beforeAutospacing="1" w:afterAutospacing="1"/>
    </w:pPr>
    <w:rPr>
      <w:szCs w:val="24"/>
      <w:lang w:val="en-US"/>
    </w:rPr>
  </w:style>
  <w:style w:type="paragraph" w:styleId="NoSpacing">
    <w:name w:val="No Spacing"/>
    <w:qFormat/>
    <w:pPr>
      <w:widowControl/>
      <w:suppressAutoHyphens w:val="true"/>
      <w:bidi w:val="0"/>
      <w:spacing w:before="0" w:after="0"/>
      <w:jc w:val="left"/>
    </w:pPr>
    <w:rPr>
      <w:rFonts w:ascii="Calibri" w:hAnsi="Calibri" w:eastAsia="DejaVu Sans" w:cs="Arial" w:eastAsiaTheme="minorEastAsia"/>
      <w:color w:val="auto"/>
      <w:kern w:val="2"/>
      <w:sz w:val="21"/>
      <w:szCs w:val="21"/>
      <w:lang w:val="en-US" w:eastAsia="lt-LT" w:bidi="hi-IN"/>
    </w:rPr>
  </w:style>
  <w:style w:type="paragraph" w:styleId="EndnoteText">
    <w:name w:val="Endnote Text"/>
    <w:basedOn w:val="Normal"/>
    <w:pPr>
      <w:suppressLineNumbers/>
      <w:ind w:hanging="340" w:left="340"/>
    </w:pPr>
    <w:rPr>
      <w:sz w:val="20"/>
      <w:szCs w:val="20"/>
    </w:rPr>
  </w:style>
  <w:style w:type="paragraph" w:styleId="FootnoteText">
    <w:name w:val="Footnote Text"/>
    <w:basedOn w:val="Normal"/>
    <w:pPr>
      <w:suppressLineNumbers/>
      <w:ind w:hanging="340" w:left="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Application>LibreOffice/7.6.4.1$Windows_X86_64 LibreOffice_project/e19e193f88cd6c0525a17fb7a176ed8e6a3e2aa1</Application>
  <AppVersion>15.0000</AppVersion>
  <Pages>7</Pages>
  <Words>1345</Words>
  <Characters>9724</Characters>
  <CharactersWithSpaces>10915</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2025-04-23T05:58:00Z</dcterms:created>
  <dc:creator/>
  <dc:description/>
  <dc:language>en-US</dc:language>
  <cp:lastModifiedBy/>
  <dcterms:modified xsi:type="dcterms:W3CDTF">2025-07-03T02:05:58Z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