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02FE3" w14:textId="77777777" w:rsidR="00756537" w:rsidRPr="00756537" w:rsidRDefault="00756537" w:rsidP="00756537">
      <w:pPr>
        <w:keepNext/>
        <w:keepLines/>
        <w:spacing w:before="120" w:after="0" w:line="240" w:lineRule="auto"/>
        <w:ind w:left="5103"/>
        <w:outlineLvl w:val="1"/>
        <w:rPr>
          <w:rFonts w:ascii="Times New Roman" w:eastAsia="Calibri" w:hAnsi="Times New Roman" w:cs="Times New Roman"/>
          <w:sz w:val="21"/>
          <w:szCs w:val="21"/>
          <w:lang w:eastAsia="lt-LT"/>
        </w:rPr>
      </w:pPr>
      <w:bookmarkStart w:id="0" w:name="_Ref38291223"/>
      <w:bookmarkStart w:id="1" w:name="_Ref38291334"/>
      <w:bookmarkStart w:id="2" w:name="_Ref38533412"/>
      <w:bookmarkStart w:id="3" w:name="_Toc124404959"/>
      <w:r w:rsidRPr="00756537">
        <w:rPr>
          <w:rFonts w:ascii="Times New Roman" w:eastAsia="Calibri" w:hAnsi="Times New Roman" w:cs="Times New Roman"/>
          <w:sz w:val="21"/>
          <w:szCs w:val="21"/>
          <w:lang w:eastAsia="lt-LT"/>
        </w:rPr>
        <w:t>Pirkimo sąlygų 4 priedas „Tiekėjų kvalifikacijos reikalavimai ir reikalaujami kokybės bei aplinkos apsaugos vadybos sistemų standartai“</w:t>
      </w:r>
      <w:bookmarkEnd w:id="0"/>
      <w:bookmarkEnd w:id="1"/>
      <w:bookmarkEnd w:id="2"/>
      <w:bookmarkEnd w:id="3"/>
    </w:p>
    <w:p w14:paraId="1859D43C" w14:textId="77777777" w:rsidR="00756537" w:rsidRPr="00756537" w:rsidRDefault="00756537" w:rsidP="00756537">
      <w:pPr>
        <w:spacing w:line="276" w:lineRule="auto"/>
        <w:rPr>
          <w:rFonts w:ascii="Times New Roman" w:eastAsiaTheme="minorEastAsia" w:hAnsi="Times New Roman" w:cs="Times New Roman"/>
          <w:b/>
          <w:bCs/>
          <w:smallCaps/>
          <w:lang w:eastAsia="lt-LT"/>
        </w:rPr>
      </w:pPr>
    </w:p>
    <w:p w14:paraId="492FC130" w14:textId="77777777" w:rsidR="00756537" w:rsidRPr="006C5C26" w:rsidRDefault="00756537" w:rsidP="00756537">
      <w:pPr>
        <w:numPr>
          <w:ilvl w:val="1"/>
          <w:numId w:val="0"/>
        </w:numPr>
        <w:spacing w:after="240" w:line="240" w:lineRule="auto"/>
        <w:jc w:val="center"/>
        <w:rPr>
          <w:rFonts w:ascii="Times New Roman" w:eastAsiaTheme="minorEastAsia" w:hAnsi="Times New Roman" w:cs="Times New Roman"/>
          <w:caps/>
          <w:color w:val="404040" w:themeColor="text1" w:themeTint="BF"/>
          <w:spacing w:val="20"/>
          <w:sz w:val="24"/>
          <w:szCs w:val="24"/>
        </w:rPr>
      </w:pPr>
      <w:r w:rsidRPr="006C5C26">
        <w:rPr>
          <w:rFonts w:ascii="Times New Roman" w:eastAsiaTheme="minorEastAsia" w:hAnsi="Times New Roman" w:cs="Times New Roman"/>
          <w:caps/>
          <w:smallCaps/>
          <w:color w:val="404040" w:themeColor="text1" w:themeTint="BF"/>
          <w:spacing w:val="20"/>
          <w:sz w:val="24"/>
          <w:szCs w:val="24"/>
          <w:lang w:eastAsia="lt-LT"/>
        </w:rPr>
        <w:t xml:space="preserve">TIEKĖJŲ KVALIFIKACIJOS REIKALAVIMAI IR REIKALAVIMAI LAIKYTIS </w:t>
      </w:r>
      <w:r w:rsidRPr="006C5C26">
        <w:rPr>
          <w:rFonts w:ascii="Times New Roman" w:eastAsiaTheme="minorEastAsia" w:hAnsi="Times New Roman" w:cs="Times New Roman"/>
          <w:caps/>
          <w:color w:val="404040" w:themeColor="text1" w:themeTint="BF"/>
          <w:spacing w:val="20"/>
          <w:sz w:val="24"/>
          <w:szCs w:val="24"/>
        </w:rPr>
        <w:t>KOKYBĖS VADYBOS SISTEMOS IR (ARBA) APLINKOS APSAUGOS VADYBOS SISTEMOS STANDARTŲ</w:t>
      </w:r>
    </w:p>
    <w:p w14:paraId="48131B8A" w14:textId="77777777" w:rsidR="00756537" w:rsidRPr="00756537" w:rsidRDefault="00756537" w:rsidP="00756537">
      <w:pPr>
        <w:spacing w:after="0" w:line="20" w:lineRule="atLeast"/>
        <w:ind w:left="567"/>
        <w:contextualSpacing/>
        <w:jc w:val="both"/>
        <w:rPr>
          <w:rFonts w:ascii="Times New Roman" w:hAnsi="Times New Roman" w:cs="Times New Roman"/>
          <w:sz w:val="21"/>
          <w:szCs w:val="21"/>
          <w:lang w:eastAsia="lt-LT"/>
        </w:rPr>
      </w:pPr>
    </w:p>
    <w:p w14:paraId="20145374" w14:textId="2EE74100" w:rsidR="00756537" w:rsidRPr="00147967" w:rsidRDefault="00147967" w:rsidP="00147967">
      <w:pPr>
        <w:spacing w:after="0" w:line="240" w:lineRule="auto"/>
        <w:ind w:firstLine="567"/>
        <w:jc w:val="both"/>
        <w:rPr>
          <w:rFonts w:ascii="Times New Roman" w:hAnsi="Times New Roman" w:cs="Times New Roman"/>
          <w:sz w:val="21"/>
          <w:szCs w:val="21"/>
          <w:highlight w:val="yellow"/>
        </w:rPr>
      </w:pPr>
      <w:r w:rsidRPr="00147967">
        <w:rPr>
          <w:rFonts w:ascii="Times New Roman" w:hAnsi="Times New Roman" w:cs="Times New Roman"/>
          <w:sz w:val="21"/>
          <w:szCs w:val="21"/>
        </w:rPr>
        <w:t>1.</w:t>
      </w:r>
      <w:r>
        <w:rPr>
          <w:rFonts w:ascii="Times New Roman" w:hAnsi="Times New Roman" w:cs="Times New Roman"/>
          <w:sz w:val="21"/>
          <w:szCs w:val="21"/>
        </w:rPr>
        <w:t xml:space="preserve"> </w:t>
      </w:r>
      <w:r w:rsidR="00756537" w:rsidRPr="00147967">
        <w:rPr>
          <w:rFonts w:ascii="Times New Roman" w:hAnsi="Times New Roman" w:cs="Times New Roman"/>
          <w:sz w:val="21"/>
          <w:szCs w:val="21"/>
        </w:rPr>
        <w:t>Tiekėjo kvalifikacija turi atitikti šiame priede nustatytus reikalavimus kvalifikacijai.</w:t>
      </w:r>
      <w:r w:rsidR="00756537" w:rsidRPr="00147967">
        <w:rPr>
          <w:rFonts w:ascii="Times New Roman" w:hAnsi="Times New Roman" w:cs="Times New Roman"/>
          <w:sz w:val="21"/>
          <w:szCs w:val="21"/>
          <w:lang w:eastAsia="lt-LT"/>
        </w:rPr>
        <w:t xml:space="preserve"> </w:t>
      </w:r>
      <w:r w:rsidR="00756537" w:rsidRPr="00147967">
        <w:rPr>
          <w:rFonts w:ascii="Times New Roman" w:hAnsi="Times New Roman" w:cs="Times New Roman"/>
          <w:sz w:val="21"/>
          <w:szCs w:val="21"/>
          <w:highlight w:val="yellow"/>
        </w:rPr>
        <w:t xml:space="preserve"> </w:t>
      </w:r>
    </w:p>
    <w:p w14:paraId="5EC7FF62" w14:textId="77777777" w:rsidR="00147967" w:rsidRPr="00147967" w:rsidRDefault="00147967" w:rsidP="00147967">
      <w:pPr>
        <w:ind w:firstLine="567"/>
        <w:rPr>
          <w:i/>
          <w:color w:val="FF0000"/>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4"/>
        <w:gridCol w:w="4634"/>
      </w:tblGrid>
      <w:tr w:rsidR="00147967" w:rsidRPr="00147967" w14:paraId="76E5E8AB" w14:textId="77777777" w:rsidTr="437139FB">
        <w:tc>
          <w:tcPr>
            <w:tcW w:w="2358" w:type="pct"/>
          </w:tcPr>
          <w:p w14:paraId="0D1B3FD3" w14:textId="77777777" w:rsidR="00147967" w:rsidRPr="00147967" w:rsidRDefault="00147967" w:rsidP="00147967">
            <w:pPr>
              <w:pBdr>
                <w:top w:val="nil"/>
                <w:left w:val="nil"/>
                <w:bottom w:val="nil"/>
                <w:right w:val="nil"/>
                <w:between w:val="nil"/>
                <w:bar w:val="nil"/>
              </w:pBdr>
              <w:spacing w:after="0" w:line="240" w:lineRule="auto"/>
              <w:jc w:val="both"/>
              <w:rPr>
                <w:rFonts w:ascii="Times New Roman" w:eastAsia="Times New Roman" w:hAnsi="Times New Roman" w:cs="Times New Roman"/>
                <w:bdr w:val="nil"/>
              </w:rPr>
            </w:pPr>
            <w:r w:rsidRPr="00147967">
              <w:rPr>
                <w:rFonts w:ascii="Times New Roman" w:eastAsia="Times New Roman" w:hAnsi="Times New Roman" w:cs="Times New Roman"/>
                <w:bdr w:val="nil"/>
              </w:rPr>
              <w:t>Kvalifikacijos reikalavimai</w:t>
            </w:r>
          </w:p>
        </w:tc>
        <w:tc>
          <w:tcPr>
            <w:tcW w:w="2233" w:type="pct"/>
          </w:tcPr>
          <w:p w14:paraId="696C32CE" w14:textId="77777777" w:rsidR="00147967" w:rsidRPr="00147967" w:rsidRDefault="00147967" w:rsidP="00147967">
            <w:pPr>
              <w:pBdr>
                <w:top w:val="nil"/>
                <w:left w:val="nil"/>
                <w:bottom w:val="nil"/>
                <w:right w:val="nil"/>
                <w:between w:val="nil"/>
                <w:bar w:val="nil"/>
              </w:pBdr>
              <w:spacing w:after="0" w:line="240" w:lineRule="auto"/>
              <w:ind w:left="-3"/>
              <w:jc w:val="both"/>
              <w:rPr>
                <w:rFonts w:ascii="Times New Roman" w:eastAsia="Times New Roman" w:hAnsi="Times New Roman" w:cs="Times New Roman"/>
                <w:bdr w:val="nil"/>
              </w:rPr>
            </w:pPr>
            <w:r w:rsidRPr="00147967">
              <w:rPr>
                <w:rFonts w:ascii="Times New Roman" w:eastAsia="Times New Roman" w:hAnsi="Times New Roman" w:cs="Times New Roman"/>
                <w:bdr w:val="nil"/>
              </w:rPr>
              <w:t>Kvalifikacijos reikalavimus įrodantys dokumentai</w:t>
            </w:r>
          </w:p>
        </w:tc>
      </w:tr>
      <w:tr w:rsidR="00147967" w:rsidRPr="00147967" w14:paraId="4928F20D" w14:textId="77777777" w:rsidTr="437139FB">
        <w:tc>
          <w:tcPr>
            <w:tcW w:w="2358" w:type="pct"/>
          </w:tcPr>
          <w:p w14:paraId="21D2D8AE" w14:textId="5DDCD131" w:rsidR="00147967" w:rsidRPr="00147967" w:rsidRDefault="4D9E90BE" w:rsidP="437139FB">
            <w:pPr>
              <w:spacing w:after="120" w:line="240" w:lineRule="auto"/>
              <w:jc w:val="both"/>
            </w:pPr>
            <w:r w:rsidRPr="437139FB">
              <w:rPr>
                <w:rFonts w:ascii="Calibri" w:eastAsia="Calibri" w:hAnsi="Calibri" w:cs="Calibri"/>
                <w:lang w:val="lt"/>
              </w:rPr>
              <w:t>Tiekėjas privalo turėti Lietuvos Respublikos statybos įstatymo ir kitų teisės aktų nustatyta tvarka išduotus kvalifikacijos dokumentus, suteikiančius teisę Lietuvos Respublikoje atlikti pirkimo dokumentuose nurodytus ypatingojo statinio statybos darbus:</w:t>
            </w:r>
          </w:p>
          <w:p w14:paraId="0D33195E" w14:textId="383131CA" w:rsidR="00147967" w:rsidRPr="00147967" w:rsidRDefault="4D9E90BE" w:rsidP="437139FB">
            <w:pPr>
              <w:spacing w:after="120" w:line="240" w:lineRule="auto"/>
              <w:jc w:val="both"/>
            </w:pPr>
            <w:r w:rsidRPr="437139FB">
              <w:rPr>
                <w:rFonts w:ascii="Calibri" w:eastAsia="Calibri" w:hAnsi="Calibri" w:cs="Calibri"/>
                <w:lang w:val="lt"/>
              </w:rPr>
              <w:t xml:space="preserve">Statiniai:  </w:t>
            </w:r>
          </w:p>
          <w:p w14:paraId="6CD74E9D" w14:textId="15AEF95C" w:rsidR="00147967" w:rsidRPr="00147967" w:rsidRDefault="69A61E6D" w:rsidP="437139FB">
            <w:pPr>
              <w:spacing w:after="120" w:line="240" w:lineRule="auto"/>
              <w:jc w:val="both"/>
              <w:rPr>
                <w:rFonts w:ascii="Times New Roman" w:eastAsia="Times New Roman" w:hAnsi="Times New Roman" w:cs="Times New Roman"/>
                <w:color w:val="242424"/>
              </w:rPr>
            </w:pPr>
            <w:r w:rsidRPr="437139FB">
              <w:rPr>
                <w:rFonts w:ascii="Times New Roman" w:eastAsia="Times New Roman" w:hAnsi="Times New Roman" w:cs="Times New Roman"/>
                <w:color w:val="242424"/>
              </w:rPr>
              <w:t>gyvenamieji ir negyvenamieji pastatai;</w:t>
            </w:r>
          </w:p>
          <w:p w14:paraId="4B386C00" w14:textId="029910CD" w:rsidR="00147967" w:rsidRPr="00147967" w:rsidRDefault="69A61E6D" w:rsidP="437139FB">
            <w:pPr>
              <w:spacing w:after="120" w:line="240" w:lineRule="auto"/>
              <w:jc w:val="both"/>
              <w:rPr>
                <w:rFonts w:ascii="Times New Roman" w:eastAsia="Times New Roman" w:hAnsi="Times New Roman" w:cs="Times New Roman"/>
              </w:rPr>
            </w:pPr>
            <w:r w:rsidRPr="437139FB">
              <w:rPr>
                <w:rFonts w:ascii="Times New Roman" w:eastAsia="Times New Roman" w:hAnsi="Times New Roman" w:cs="Times New Roman"/>
              </w:rPr>
              <w:t>kultūros paveldo statiniai</w:t>
            </w:r>
          </w:p>
          <w:p w14:paraId="76A0ED4C" w14:textId="09735A26" w:rsidR="00147967" w:rsidRPr="00147967" w:rsidRDefault="4D9E90BE" w:rsidP="437139FB">
            <w:pPr>
              <w:spacing w:after="0" w:line="240" w:lineRule="auto"/>
              <w:jc w:val="both"/>
            </w:pPr>
            <w:r w:rsidRPr="437139FB">
              <w:rPr>
                <w:rFonts w:ascii="Calibri" w:eastAsia="Calibri" w:hAnsi="Calibri" w:cs="Calibri"/>
                <w:color w:val="000000" w:themeColor="text1"/>
                <w:lang w:val="lt"/>
              </w:rPr>
              <w:t xml:space="preserve"> Inžineriniai statiniai: </w:t>
            </w:r>
          </w:p>
          <w:p w14:paraId="1BEE0EF9" w14:textId="79918A3A" w:rsidR="00147967" w:rsidRPr="00147967" w:rsidRDefault="4D9E90BE" w:rsidP="437139FB">
            <w:pPr>
              <w:pStyle w:val="Sraopastraipa"/>
              <w:numPr>
                <w:ilvl w:val="0"/>
                <w:numId w:val="3"/>
              </w:numPr>
              <w:spacing w:after="0" w:line="240" w:lineRule="auto"/>
              <w:jc w:val="both"/>
              <w:rPr>
                <w:rFonts w:ascii="Calibri" w:eastAsia="Calibri" w:hAnsi="Calibri" w:cs="Calibri"/>
                <w:color w:val="000000" w:themeColor="text1"/>
                <w:lang w:val="lt"/>
              </w:rPr>
            </w:pPr>
            <w:r w:rsidRPr="437139FB">
              <w:rPr>
                <w:rFonts w:ascii="Calibri" w:eastAsia="Calibri" w:hAnsi="Calibri" w:cs="Calibri"/>
                <w:color w:val="000000" w:themeColor="text1"/>
                <w:lang w:val="lt"/>
              </w:rPr>
              <w:t xml:space="preserve">Inžineriniai tinklai: </w:t>
            </w:r>
          </w:p>
          <w:p w14:paraId="6711BF05" w14:textId="5AFEF65F" w:rsidR="00147967" w:rsidRPr="00147967" w:rsidRDefault="4D9E90BE" w:rsidP="437139FB">
            <w:pPr>
              <w:pStyle w:val="Sraopastraipa"/>
              <w:numPr>
                <w:ilvl w:val="0"/>
                <w:numId w:val="3"/>
              </w:numPr>
              <w:spacing w:after="0" w:line="240" w:lineRule="auto"/>
              <w:jc w:val="both"/>
              <w:rPr>
                <w:rFonts w:ascii="Calibri" w:eastAsia="Calibri" w:hAnsi="Calibri" w:cs="Calibri"/>
                <w:color w:val="000000" w:themeColor="text1"/>
                <w:lang w:val="lt"/>
              </w:rPr>
            </w:pPr>
            <w:r w:rsidRPr="437139FB">
              <w:rPr>
                <w:rFonts w:ascii="Calibri" w:eastAsia="Calibri" w:hAnsi="Calibri" w:cs="Calibri"/>
                <w:color w:val="000000" w:themeColor="text1"/>
                <w:lang w:val="lt"/>
              </w:rPr>
              <w:t>Vandentiekio tinklai.</w:t>
            </w:r>
          </w:p>
          <w:p w14:paraId="4E88859B" w14:textId="2039BB2A" w:rsidR="00147967" w:rsidRPr="00147967" w:rsidRDefault="4D9E90BE" w:rsidP="437139FB">
            <w:pPr>
              <w:pStyle w:val="Sraopastraipa"/>
              <w:numPr>
                <w:ilvl w:val="0"/>
                <w:numId w:val="3"/>
              </w:numPr>
              <w:spacing w:after="0" w:line="240" w:lineRule="auto"/>
              <w:jc w:val="both"/>
              <w:rPr>
                <w:rFonts w:ascii="Calibri" w:eastAsia="Calibri" w:hAnsi="Calibri" w:cs="Calibri"/>
                <w:color w:val="000000" w:themeColor="text1"/>
                <w:lang w:val="lt"/>
              </w:rPr>
            </w:pPr>
            <w:r w:rsidRPr="437139FB">
              <w:rPr>
                <w:rFonts w:ascii="Calibri" w:eastAsia="Calibri" w:hAnsi="Calibri" w:cs="Calibri"/>
                <w:color w:val="000000" w:themeColor="text1"/>
                <w:lang w:val="lt"/>
              </w:rPr>
              <w:t>Nuotekų šalinimo tinklai.</w:t>
            </w:r>
          </w:p>
          <w:p w14:paraId="4182A83D" w14:textId="3408B375" w:rsidR="00147967" w:rsidRPr="00147967" w:rsidRDefault="4D9E90BE" w:rsidP="437139FB">
            <w:pPr>
              <w:spacing w:after="0" w:line="240" w:lineRule="auto"/>
              <w:jc w:val="both"/>
            </w:pPr>
            <w:r w:rsidRPr="437139FB">
              <w:rPr>
                <w:rFonts w:ascii="Calibri" w:eastAsia="Calibri" w:hAnsi="Calibri" w:cs="Calibri"/>
                <w:color w:val="000000" w:themeColor="text1"/>
                <w:lang w:val="lt"/>
              </w:rPr>
              <w:t>Statybos darbų sritis:</w:t>
            </w:r>
          </w:p>
          <w:p w14:paraId="66E4B6FF" w14:textId="713739D7" w:rsidR="00147967" w:rsidRPr="00147967" w:rsidRDefault="5B29E024" w:rsidP="437139FB">
            <w:pPr>
              <w:pStyle w:val="Sraopastraipa"/>
              <w:numPr>
                <w:ilvl w:val="0"/>
                <w:numId w:val="2"/>
              </w:numPr>
              <w:spacing w:after="0" w:line="240" w:lineRule="auto"/>
              <w:ind w:left="1080"/>
              <w:jc w:val="both"/>
              <w:rPr>
                <w:rFonts w:ascii="Times New Roman" w:eastAsia="Times New Roman" w:hAnsi="Times New Roman" w:cs="Times New Roman"/>
              </w:rPr>
            </w:pPr>
            <w:r w:rsidRPr="437139FB">
              <w:rPr>
                <w:rFonts w:ascii="Times New Roman" w:eastAsia="Times New Roman" w:hAnsi="Times New Roman" w:cs="Times New Roman"/>
                <w:color w:val="242424"/>
              </w:rPr>
              <w:t>bendrieji statybos darbai (išskyrus asfalto konstrukcijas);</w:t>
            </w:r>
            <w:r w:rsidRPr="437139FB">
              <w:rPr>
                <w:rFonts w:ascii="Times New Roman" w:eastAsia="Times New Roman" w:hAnsi="Times New Roman" w:cs="Times New Roman"/>
                <w:b/>
                <w:bCs/>
                <w:color w:val="242424"/>
              </w:rPr>
              <w:t xml:space="preserve"> </w:t>
            </w:r>
          </w:p>
          <w:p w14:paraId="006B5A55" w14:textId="08D03DCF" w:rsidR="00147967" w:rsidRPr="00147967" w:rsidRDefault="5B29E024" w:rsidP="437139FB">
            <w:pPr>
              <w:pStyle w:val="Sraopastraipa"/>
              <w:numPr>
                <w:ilvl w:val="0"/>
                <w:numId w:val="2"/>
              </w:numPr>
              <w:spacing w:after="0" w:line="240" w:lineRule="auto"/>
              <w:ind w:left="1080"/>
              <w:jc w:val="both"/>
              <w:rPr>
                <w:rFonts w:ascii="Times New Roman" w:eastAsia="Times New Roman" w:hAnsi="Times New Roman" w:cs="Times New Roman"/>
              </w:rPr>
            </w:pPr>
            <w:r w:rsidRPr="437139FB">
              <w:rPr>
                <w:rFonts w:ascii="Times New Roman" w:eastAsia="Times New Roman" w:hAnsi="Times New Roman" w:cs="Times New Roman"/>
                <w:color w:val="242424"/>
              </w:rPr>
              <w:t xml:space="preserve">vandentiekio ir nuotekų šalinimo tinklų tiesimas; </w:t>
            </w:r>
          </w:p>
          <w:p w14:paraId="2B8BB60C" w14:textId="31359998" w:rsidR="00147967" w:rsidRPr="00147967" w:rsidRDefault="5B29E024" w:rsidP="437139FB">
            <w:pPr>
              <w:pStyle w:val="Sraopastraipa"/>
              <w:numPr>
                <w:ilvl w:val="0"/>
                <w:numId w:val="2"/>
              </w:numPr>
              <w:spacing w:after="0" w:line="240" w:lineRule="auto"/>
              <w:ind w:left="1080"/>
              <w:jc w:val="both"/>
              <w:rPr>
                <w:rFonts w:ascii="Times New Roman" w:eastAsia="Times New Roman" w:hAnsi="Times New Roman" w:cs="Times New Roman"/>
              </w:rPr>
            </w:pPr>
            <w:r w:rsidRPr="437139FB">
              <w:rPr>
                <w:rFonts w:ascii="Times New Roman" w:eastAsia="Times New Roman" w:hAnsi="Times New Roman" w:cs="Times New Roman"/>
                <w:color w:val="242424"/>
              </w:rPr>
              <w:t xml:space="preserve">statinio vandentiekio ir nuotekų šalinimo inžinerinių sistemų įrengimas; </w:t>
            </w:r>
          </w:p>
          <w:p w14:paraId="3B77CF3F" w14:textId="7164A79D" w:rsidR="00147967" w:rsidRPr="00147967" w:rsidRDefault="5B29E024" w:rsidP="437139FB">
            <w:pPr>
              <w:pStyle w:val="Sraopastraipa"/>
              <w:numPr>
                <w:ilvl w:val="0"/>
                <w:numId w:val="2"/>
              </w:numPr>
              <w:spacing w:after="0" w:line="240" w:lineRule="auto"/>
              <w:ind w:left="1080"/>
              <w:jc w:val="both"/>
              <w:rPr>
                <w:rFonts w:ascii="Times New Roman" w:eastAsia="Times New Roman" w:hAnsi="Times New Roman" w:cs="Times New Roman"/>
              </w:rPr>
            </w:pPr>
            <w:r w:rsidRPr="437139FB">
              <w:rPr>
                <w:rFonts w:ascii="Times New Roman" w:eastAsia="Times New Roman" w:hAnsi="Times New Roman" w:cs="Times New Roman"/>
                <w:color w:val="242424"/>
              </w:rPr>
              <w:t>šilumos tiekimo tinklų tiesimas;</w:t>
            </w:r>
          </w:p>
          <w:p w14:paraId="3A86471C" w14:textId="492FD4FE" w:rsidR="00147967" w:rsidRPr="00147967" w:rsidRDefault="5B29E024" w:rsidP="437139FB">
            <w:pPr>
              <w:pStyle w:val="Sraopastraipa"/>
              <w:numPr>
                <w:ilvl w:val="0"/>
                <w:numId w:val="2"/>
              </w:numPr>
              <w:spacing w:after="0" w:line="240" w:lineRule="auto"/>
              <w:ind w:left="1080"/>
              <w:jc w:val="both"/>
              <w:rPr>
                <w:rFonts w:ascii="Times New Roman" w:eastAsia="Times New Roman" w:hAnsi="Times New Roman" w:cs="Times New Roman"/>
              </w:rPr>
            </w:pPr>
            <w:r w:rsidRPr="437139FB">
              <w:rPr>
                <w:rFonts w:ascii="Times New Roman" w:eastAsia="Times New Roman" w:hAnsi="Times New Roman" w:cs="Times New Roman"/>
                <w:color w:val="242424"/>
              </w:rPr>
              <w:t>statinio šildymo, vėdinimo ir oro kondicionavimo inžinerinių sistemų įrengimas.</w:t>
            </w:r>
          </w:p>
          <w:p w14:paraId="375DC671" w14:textId="0B9D5E88" w:rsidR="00147967" w:rsidRPr="00147967" w:rsidRDefault="00147967" w:rsidP="437139FB">
            <w:pPr>
              <w:pStyle w:val="Sraopastraipa"/>
              <w:spacing w:after="0" w:line="240" w:lineRule="auto"/>
              <w:ind w:left="1080" w:hanging="360"/>
              <w:jc w:val="both"/>
              <w:rPr>
                <w:rFonts w:ascii="Calibri" w:eastAsia="Calibri" w:hAnsi="Calibri" w:cs="Calibri"/>
                <w:bdr w:val="nil"/>
                <w:lang w:val="lt"/>
              </w:rPr>
            </w:pPr>
          </w:p>
        </w:tc>
        <w:tc>
          <w:tcPr>
            <w:tcW w:w="2233" w:type="pct"/>
          </w:tcPr>
          <w:p w14:paraId="77FC616A" w14:textId="3319F712" w:rsidR="437139FB" w:rsidRDefault="437139FB" w:rsidP="437139FB">
            <w:pPr>
              <w:spacing w:after="60"/>
              <w:jc w:val="both"/>
            </w:pPr>
            <w:r w:rsidRPr="437139FB">
              <w:rPr>
                <w:rFonts w:ascii="Calibri" w:eastAsia="Calibri" w:hAnsi="Calibri" w:cs="Calibri"/>
                <w:lang w:val="lt"/>
              </w:rPr>
              <w:t>PATEIKIAMA:</w:t>
            </w:r>
          </w:p>
          <w:p w14:paraId="51C41689" w14:textId="42A36D56" w:rsidR="437139FB" w:rsidRDefault="437139FB" w:rsidP="437139FB">
            <w:pPr>
              <w:spacing w:after="0"/>
              <w:jc w:val="both"/>
            </w:pPr>
            <w:r w:rsidRPr="437139FB">
              <w:rPr>
                <w:rFonts w:ascii="Calibri" w:eastAsia="Calibri" w:hAnsi="Calibri" w:cs="Calibri"/>
                <w:lang w:val="lt"/>
              </w:rPr>
              <w:t>Lietuvos Respublikos aplinkos ministerijos, valstybės įmonės Statybos produkcijos sertifikavimo centro (SPSC) ar Statybos sektoriaus vystymo agentūros (SSVA) išduoti kvalifikacijos dokumentai, kurie pagal Lietuvos Respublikos įstatymus suteikia teisę Lietuvos Respublikoje atlikti pirkimo dokumentuose nurodytus ypatingojo statinio statybos darbus arba lygiaverčio dokumento patvirtinta kopija.</w:t>
            </w:r>
          </w:p>
          <w:p w14:paraId="7905463D" w14:textId="7638FFB2" w:rsidR="437139FB" w:rsidRDefault="437139FB" w:rsidP="437139FB">
            <w:pPr>
              <w:spacing w:after="0"/>
              <w:jc w:val="both"/>
            </w:pPr>
            <w:r w:rsidRPr="437139FB">
              <w:rPr>
                <w:rFonts w:ascii="Calibri" w:eastAsia="Calibri" w:hAnsi="Calibri" w:cs="Calibri"/>
                <w:lang w:val="lt"/>
              </w:rPr>
              <w:t xml:space="preserve"> </w:t>
            </w:r>
          </w:p>
          <w:p w14:paraId="29D3A10B" w14:textId="02B0B633" w:rsidR="437139FB" w:rsidRDefault="437139FB" w:rsidP="437139FB">
            <w:pPr>
              <w:spacing w:after="0"/>
              <w:jc w:val="both"/>
            </w:pPr>
            <w:r w:rsidRPr="437139FB">
              <w:rPr>
                <w:rFonts w:ascii="Calibri" w:eastAsia="Calibri" w:hAnsi="Calibri" w:cs="Calibri"/>
                <w:i/>
                <w:iCs/>
                <w:lang w:val="lt"/>
              </w:rPr>
              <w:t>Tiekėjai iš užsienio turi pateikti Lietuvos Respublikos aplinkos ministerijos valstybės įmonės Statybos produkcijos sertifikavimo centro (SPSC) ar Statybos sektoriaus vystymo agentūros (SSVA) išduotą pažymą apie Teisės pripažinimą atlikti pirkimo dokumentuose nurodytus ypatingojo statinio statybos darbus**.</w:t>
            </w:r>
          </w:p>
          <w:p w14:paraId="09BA4264" w14:textId="74BC28E6" w:rsidR="437139FB" w:rsidRDefault="437139FB" w:rsidP="437139FB">
            <w:pPr>
              <w:spacing w:after="0"/>
              <w:jc w:val="both"/>
            </w:pPr>
            <w:r w:rsidRPr="437139FB">
              <w:rPr>
                <w:rFonts w:ascii="Calibri" w:eastAsia="Calibri" w:hAnsi="Calibri" w:cs="Calibri"/>
                <w:i/>
                <w:iCs/>
                <w:lang w:val="lt"/>
              </w:rPr>
              <w:t xml:space="preserve"> </w:t>
            </w:r>
          </w:p>
          <w:p w14:paraId="1E0FB386" w14:textId="156683BC" w:rsidR="437139FB" w:rsidRDefault="437139FB" w:rsidP="437139FB">
            <w:pPr>
              <w:spacing w:after="0"/>
              <w:jc w:val="both"/>
            </w:pPr>
            <w:r w:rsidRPr="437139FB">
              <w:rPr>
                <w:rFonts w:ascii="Calibri" w:eastAsia="Calibri" w:hAnsi="Calibri" w:cs="Calibri"/>
                <w:lang w:val="lt"/>
              </w:rPr>
              <w:t>**</w:t>
            </w:r>
            <w:r w:rsidRPr="437139FB">
              <w:rPr>
                <w:rFonts w:ascii="Calibri" w:eastAsia="Calibri" w:hAnsi="Calibri" w:cs="Calibri"/>
                <w:i/>
                <w:iCs/>
                <w:sz w:val="20"/>
                <w:szCs w:val="20"/>
                <w:lang w:val="lt"/>
              </w:rPr>
              <w:t xml:space="preserve">Vietoj Teisės pripažinimo dokumento užsienio valstybės Tiekėjas gali pateikti viešajai įstaigai Statybos produkcijos sertifikavimo centrui (SSVA) pateikto prašymo (su gavimo žyma, prašymo formą galima rasti </w:t>
            </w:r>
            <w:hyperlink r:id="rId7">
              <w:r w:rsidRPr="437139FB">
                <w:rPr>
                  <w:rStyle w:val="Hipersaitas"/>
                  <w:rFonts w:ascii="Calibri" w:eastAsia="Calibri" w:hAnsi="Calibri" w:cs="Calibri"/>
                  <w:i/>
                  <w:iCs/>
                  <w:sz w:val="20"/>
                  <w:szCs w:val="20"/>
                  <w:lang w:val="lt"/>
                </w:rPr>
                <w:t>https://www.ssva.lt/cms/</w:t>
              </w:r>
            </w:hyperlink>
            <w:r w:rsidRPr="437139FB">
              <w:rPr>
                <w:rFonts w:ascii="Calibri" w:eastAsia="Calibri" w:hAnsi="Calibri" w:cs="Calibri"/>
                <w:i/>
                <w:iCs/>
                <w:sz w:val="20"/>
                <w:szCs w:val="20"/>
                <w:lang w:val="lt"/>
              </w:rPr>
              <w:t>) išduoti Teisės pripažinimo dokumentą patvirtintą kopiją (jeigu taikoma). Tačiau iki Sutarties pasirašymo užsienio šalies Tiekėjas privalės pateikti Tiekėjo teisės pripažinimo dokumentą.</w:t>
            </w:r>
          </w:p>
          <w:p w14:paraId="70D6D49B" w14:textId="5FE11036" w:rsidR="437139FB" w:rsidRDefault="437139FB" w:rsidP="437139FB">
            <w:pPr>
              <w:tabs>
                <w:tab w:val="left" w:pos="851"/>
              </w:tabs>
              <w:spacing w:before="60" w:after="60"/>
              <w:ind w:firstLine="49"/>
              <w:jc w:val="both"/>
            </w:pPr>
            <w:r w:rsidRPr="437139FB">
              <w:rPr>
                <w:rFonts w:ascii="Calibri" w:eastAsia="Calibri" w:hAnsi="Calibri" w:cs="Calibri"/>
                <w:b/>
                <w:bCs/>
                <w:i/>
                <w:iCs/>
                <w:color w:val="000000" w:themeColor="text1"/>
                <w:lang w:val="lt"/>
              </w:rPr>
              <w:t>Pastaba:</w:t>
            </w:r>
            <w:r w:rsidRPr="437139FB">
              <w:rPr>
                <w:rFonts w:ascii="Calibri" w:eastAsia="Calibri" w:hAnsi="Calibri" w:cs="Calibri"/>
                <w:color w:val="000000" w:themeColor="text1"/>
                <w:lang w:val="lt"/>
              </w:rPr>
              <w:t xml:space="preserve"> </w:t>
            </w:r>
            <w:r w:rsidRPr="437139FB">
              <w:rPr>
                <w:rFonts w:ascii="Calibri" w:eastAsia="Calibri" w:hAnsi="Calibri" w:cs="Calibri"/>
                <w:i/>
                <w:iCs/>
                <w:color w:val="000000" w:themeColor="text1"/>
                <w:sz w:val="20"/>
                <w:szCs w:val="20"/>
                <w:lang w:val="lt"/>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437139FB" w14:paraId="08B9450C" w14:textId="77777777" w:rsidTr="437139FB">
        <w:trPr>
          <w:trHeight w:val="300"/>
        </w:trPr>
        <w:tc>
          <w:tcPr>
            <w:tcW w:w="9528" w:type="dxa"/>
            <w:gridSpan w:val="2"/>
          </w:tcPr>
          <w:p w14:paraId="38A67E63" w14:textId="5F8CB458" w:rsidR="2C31C063" w:rsidRDefault="2C31C063" w:rsidP="437139FB">
            <w:pPr>
              <w:pStyle w:val="Sraopastraipa"/>
              <w:numPr>
                <w:ilvl w:val="0"/>
                <w:numId w:val="1"/>
              </w:numPr>
              <w:spacing w:after="0"/>
              <w:ind w:left="360"/>
              <w:jc w:val="both"/>
              <w:rPr>
                <w:rFonts w:ascii="Calibri" w:eastAsia="Calibri" w:hAnsi="Calibri" w:cs="Calibri"/>
                <w:i/>
                <w:iCs/>
                <w:lang w:val="lt"/>
              </w:rPr>
            </w:pPr>
            <w:r w:rsidRPr="437139FB">
              <w:rPr>
                <w:rFonts w:ascii="Calibri" w:eastAsia="Calibri" w:hAnsi="Calibri" w:cs="Calibri"/>
                <w:i/>
                <w:iCs/>
                <w:lang w:val="lt"/>
              </w:rPr>
              <w:lastRenderedPageBreak/>
              <w:t>jeigu Pasiūlymą teikia ūkio subjektų grupė – reikalavimą turi atitikti Tiekėjas ir (ar) ūkio subjektų grupės narys (-</w:t>
            </w:r>
            <w:proofErr w:type="spellStart"/>
            <w:r w:rsidRPr="437139FB">
              <w:rPr>
                <w:rFonts w:ascii="Calibri" w:eastAsia="Calibri" w:hAnsi="Calibri" w:cs="Calibri"/>
                <w:i/>
                <w:iCs/>
                <w:lang w:val="lt"/>
              </w:rPr>
              <w:t>iai</w:t>
            </w:r>
            <w:proofErr w:type="spellEnd"/>
            <w:r w:rsidRPr="437139FB">
              <w:rPr>
                <w:rFonts w:ascii="Calibri" w:eastAsia="Calibri" w:hAnsi="Calibri" w:cs="Calibri"/>
                <w:i/>
                <w:iCs/>
                <w:lang w:val="lt"/>
              </w:rPr>
              <w:t>) arba abu kartu (ūkio subjektų grupės narių turima patirtis sumuojama).</w:t>
            </w:r>
          </w:p>
          <w:p w14:paraId="7B0D6625" w14:textId="2164F5FA" w:rsidR="2C31C063" w:rsidRDefault="2C31C063" w:rsidP="437139FB">
            <w:pPr>
              <w:pStyle w:val="Sraopastraipa"/>
              <w:numPr>
                <w:ilvl w:val="0"/>
                <w:numId w:val="1"/>
              </w:numPr>
              <w:spacing w:after="0"/>
              <w:ind w:left="360"/>
              <w:jc w:val="both"/>
              <w:rPr>
                <w:rFonts w:ascii="Calibri" w:eastAsia="Calibri" w:hAnsi="Calibri" w:cs="Calibri"/>
                <w:i/>
                <w:iCs/>
                <w:lang w:val="lt"/>
              </w:rPr>
            </w:pPr>
            <w:r w:rsidRPr="437139FB">
              <w:rPr>
                <w:rFonts w:ascii="Calibri" w:eastAsia="Calibri" w:hAnsi="Calibri" w:cs="Calibri"/>
                <w:i/>
                <w:iCs/>
                <w:lang w:val="lt"/>
              </w:rPr>
              <w:t xml:space="preserve">Tiekėjas gali remtis kitų ūkio subjektų pajėgumais tik tuo atveju, jeigu tie subjektai patys vykdys tą pirkimo sutarties dalį, kuriai reikia jų turimų pajėgumų; </w:t>
            </w:r>
          </w:p>
          <w:p w14:paraId="226ABEF0" w14:textId="70D089AB" w:rsidR="2C31C063" w:rsidRDefault="2C31C063" w:rsidP="437139FB">
            <w:pPr>
              <w:pStyle w:val="Sraopastraipa"/>
              <w:numPr>
                <w:ilvl w:val="0"/>
                <w:numId w:val="1"/>
              </w:numPr>
              <w:spacing w:after="0"/>
              <w:ind w:left="360"/>
              <w:jc w:val="both"/>
              <w:rPr>
                <w:rFonts w:ascii="Calibri" w:eastAsia="Calibri" w:hAnsi="Calibri" w:cs="Calibri"/>
                <w:i/>
                <w:iCs/>
                <w:lang w:val="lt"/>
              </w:rPr>
            </w:pPr>
            <w:r w:rsidRPr="437139FB">
              <w:rPr>
                <w:rFonts w:ascii="Calibri" w:eastAsia="Calibri" w:hAnsi="Calibri" w:cs="Calibri"/>
                <w:i/>
                <w:iCs/>
                <w:lang w:val="lt"/>
              </w:rPr>
              <w:t>subtiekėjams šie reikalavimas nekeliamas.</w:t>
            </w:r>
          </w:p>
          <w:p w14:paraId="7E0C3C84" w14:textId="208F99A7" w:rsidR="437139FB" w:rsidRDefault="437139FB" w:rsidP="437139FB">
            <w:pPr>
              <w:jc w:val="both"/>
              <w:rPr>
                <w:rFonts w:ascii="Calibri" w:eastAsia="Calibri" w:hAnsi="Calibri" w:cs="Calibri"/>
                <w:lang w:val="lt"/>
              </w:rPr>
            </w:pPr>
          </w:p>
        </w:tc>
      </w:tr>
    </w:tbl>
    <w:p w14:paraId="63276B41" w14:textId="682E31A7" w:rsidR="00EB79E5" w:rsidRDefault="00EB79E5" w:rsidP="00EB79E5">
      <w:pPr>
        <w:spacing w:after="0" w:line="20" w:lineRule="atLeast"/>
        <w:ind w:firstLine="567"/>
        <w:contextualSpacing/>
        <w:jc w:val="both"/>
        <w:rPr>
          <w:rFonts w:eastAsia="Calibri" w:cstheme="minorHAnsi"/>
          <w:sz w:val="21"/>
          <w:szCs w:val="21"/>
        </w:rPr>
      </w:pPr>
    </w:p>
    <w:p w14:paraId="4F33B107" w14:textId="09A99080" w:rsidR="00147967" w:rsidRDefault="145952C7" w:rsidP="437139FB">
      <w:pPr>
        <w:spacing w:after="0" w:line="20" w:lineRule="atLeast"/>
        <w:ind w:firstLine="567"/>
        <w:contextualSpacing/>
        <w:jc w:val="both"/>
        <w:rPr>
          <w:rFonts w:ascii="Calibri" w:eastAsia="Calibri" w:hAnsi="Calibri" w:cs="Calibri"/>
          <w:sz w:val="21"/>
          <w:szCs w:val="21"/>
        </w:rPr>
      </w:pPr>
      <w:r w:rsidRPr="437139FB">
        <w:rPr>
          <w:rFonts w:ascii="Calibri" w:eastAsia="Calibri" w:hAnsi="Calibri" w:cs="Calibri"/>
          <w:i/>
          <w:iCs/>
          <w:lang w:val="lt"/>
        </w:rPr>
        <w:t>Vietoj Teisės pripažinimo dokumento užsienio valstybės Tiekėjas arba specialistas gali pateikti valstybės įmonei Statybos produkcijos sertifikavimo centrui pateikto prašymo (su gavimo žyma, prašymo formą galima rasti http://www.spsc.lt) išduoti Teisės pripažinimo dokumentą patvirtintą kopiją (jeigu taikoma). Tačiau iki Sutarties pasirašymo užsienio šalies Tiekėjas privalės pateikti Tiekėjo arba specialisto teisės pripažinimo dokumentą.</w:t>
      </w:r>
    </w:p>
    <w:p w14:paraId="60B6F355" w14:textId="027A5BEA" w:rsidR="437139FB" w:rsidRDefault="437139FB" w:rsidP="437139FB">
      <w:pPr>
        <w:spacing w:after="0" w:line="20" w:lineRule="atLeast"/>
        <w:ind w:firstLine="567"/>
        <w:contextualSpacing/>
        <w:jc w:val="both"/>
        <w:rPr>
          <w:rFonts w:eastAsia="Calibri"/>
          <w:sz w:val="21"/>
          <w:szCs w:val="21"/>
        </w:rPr>
      </w:pPr>
    </w:p>
    <w:p w14:paraId="6E936787" w14:textId="12250D31" w:rsidR="00EB79E5" w:rsidRPr="00EB79E5" w:rsidRDefault="00EB79E5" w:rsidP="00EB79E5">
      <w:pPr>
        <w:spacing w:after="0" w:line="20" w:lineRule="atLeast"/>
        <w:ind w:firstLine="567"/>
        <w:contextualSpacing/>
        <w:jc w:val="both"/>
        <w:rPr>
          <w:rFonts w:ascii="Times New Roman" w:eastAsia="Calibri" w:hAnsi="Times New Roman" w:cs="Times New Roman"/>
          <w:iCs/>
          <w:sz w:val="21"/>
          <w:szCs w:val="21"/>
        </w:rPr>
      </w:pPr>
      <w:r w:rsidRPr="00EB79E5">
        <w:rPr>
          <w:rFonts w:ascii="Times New Roman" w:eastAsia="Calibri" w:hAnsi="Times New Roman" w:cs="Times New Roman"/>
          <w:sz w:val="21"/>
          <w:szCs w:val="21"/>
        </w:rPr>
        <w:t>2. Perkančioji organizacija reikalauja, kad tiekėjai laikytųs</w:t>
      </w:r>
      <w:r w:rsidRPr="00EB79E5">
        <w:rPr>
          <w:rFonts w:ascii="Times New Roman" w:eastAsia="Calibri" w:hAnsi="Times New Roman" w:cs="Times New Roman"/>
          <w:iCs/>
          <w:sz w:val="21"/>
          <w:szCs w:val="21"/>
        </w:rPr>
        <w:t>i aplinkos apsaugos vadybos sistemos</w:t>
      </w:r>
      <w:r w:rsidRPr="00EB79E5">
        <w:rPr>
          <w:rFonts w:ascii="Times New Roman" w:eastAsia="Calibri" w:hAnsi="Times New Roman" w:cs="Times New Roman"/>
          <w:iCs/>
          <w:color w:val="00B050"/>
          <w:sz w:val="21"/>
          <w:szCs w:val="21"/>
        </w:rPr>
        <w:t xml:space="preserve"> </w:t>
      </w:r>
      <w:r w:rsidRPr="00EB79E5">
        <w:rPr>
          <w:rFonts w:ascii="Times New Roman" w:eastAsia="Calibri" w:hAnsi="Times New Roman" w:cs="Times New Roman"/>
          <w:iCs/>
          <w:sz w:val="21"/>
          <w:szCs w:val="21"/>
        </w:rPr>
        <w:t>standartų.</w:t>
      </w:r>
    </w:p>
    <w:p w14:paraId="0BDA2508" w14:textId="714487EA" w:rsidR="00205FD2" w:rsidRDefault="00205FD2">
      <w:pPr>
        <w:rPr>
          <w:rFonts w:ascii="Times New Roman" w:hAnsi="Times New Roman" w:cs="Times New Roman"/>
        </w:rPr>
      </w:pPr>
    </w:p>
    <w:tbl>
      <w:tblPr>
        <w:tblStyle w:val="Lentelstinklelis"/>
        <w:tblW w:w="0" w:type="auto"/>
        <w:tblLook w:val="04A0" w:firstRow="1" w:lastRow="0" w:firstColumn="1" w:lastColumn="0" w:noHBand="0" w:noVBand="1"/>
      </w:tblPr>
      <w:tblGrid>
        <w:gridCol w:w="704"/>
        <w:gridCol w:w="4111"/>
        <w:gridCol w:w="4536"/>
      </w:tblGrid>
      <w:tr w:rsidR="008C28C7" w:rsidRPr="00756537" w14:paraId="3438384E" w14:textId="77777777" w:rsidTr="437139FB">
        <w:tc>
          <w:tcPr>
            <w:tcW w:w="704" w:type="dxa"/>
          </w:tcPr>
          <w:p w14:paraId="2C0435C4" w14:textId="63312895" w:rsidR="008C28C7" w:rsidRPr="00756537" w:rsidRDefault="008C28C7" w:rsidP="00CB57AF">
            <w:pPr>
              <w:rPr>
                <w:rFonts w:ascii="Times New Roman" w:hAnsi="Times New Roman" w:cs="Times New Roman"/>
              </w:rPr>
            </w:pPr>
            <w:r>
              <w:rPr>
                <w:rFonts w:ascii="Times New Roman" w:hAnsi="Times New Roman" w:cs="Times New Roman"/>
              </w:rPr>
              <w:t>1.</w:t>
            </w:r>
          </w:p>
        </w:tc>
        <w:tc>
          <w:tcPr>
            <w:tcW w:w="4111" w:type="dxa"/>
          </w:tcPr>
          <w:p w14:paraId="2E0E9AEE" w14:textId="5BDA0341" w:rsidR="00F476A1" w:rsidRPr="00756537" w:rsidRDefault="00F476A1" w:rsidP="00F476A1">
            <w:pPr>
              <w:rPr>
                <w:rFonts w:ascii="Times New Roman" w:hAnsi="Times New Roman" w:cs="Times New Roman"/>
              </w:rPr>
            </w:pPr>
            <w:r w:rsidRPr="00F476A1">
              <w:rPr>
                <w:rFonts w:ascii="Times New Roman" w:hAnsi="Times New Roman" w:cs="Times New Roman"/>
              </w:rPr>
              <w:t>Tiekėjas turi būti įdiegęs ir laikytis aplinkos apsaugos vadybos sistemos EMAS arba kitos aplinkos apsaugos vadybos sistemos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medžiagų bei priemonių, tausojančių aplinką naudojimas ir kt.</w:t>
            </w:r>
            <w:r w:rsidRPr="00F476A1">
              <w:rPr>
                <w:rFonts w:ascii="Times New Roman" w:hAnsi="Times New Roman" w:cs="Times New Roman"/>
              </w:rPr>
              <w:tab/>
            </w:r>
          </w:p>
          <w:p w14:paraId="6EFCDB32" w14:textId="0D1DFF25" w:rsidR="008C28C7" w:rsidRPr="00756537" w:rsidRDefault="008C28C7" w:rsidP="00F476A1">
            <w:pPr>
              <w:rPr>
                <w:rFonts w:ascii="Times New Roman" w:hAnsi="Times New Roman" w:cs="Times New Roman"/>
              </w:rPr>
            </w:pPr>
          </w:p>
        </w:tc>
        <w:tc>
          <w:tcPr>
            <w:tcW w:w="4536" w:type="dxa"/>
          </w:tcPr>
          <w:p w14:paraId="55BBB1F9" w14:textId="52C3A21E" w:rsidR="00F476A1" w:rsidRPr="00F476A1" w:rsidRDefault="00F476A1" w:rsidP="00F476A1">
            <w:pPr>
              <w:rPr>
                <w:rFonts w:ascii="Times New Roman" w:hAnsi="Times New Roman" w:cs="Times New Roman"/>
              </w:rPr>
            </w:pPr>
            <w:r w:rsidRPr="00F476A1">
              <w:rPr>
                <w:rFonts w:ascii="Times New Roman" w:hAnsi="Times New Roman" w:cs="Times New Roman"/>
              </w:rPr>
              <w:t>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2011-06-28 įsakymu Nr. D1-508 patvirtinto „Aplinkos apsaugos kriterijų, kuriuos perkančiosios organizacijos ir perkantieji subjektai turi taikyti pirkdamos prekes, paslaugas ar darbus, taikymo tvarkos aprašas“ reikalavimus, arba kitus lygiaverčius įrodymus.</w:t>
            </w:r>
          </w:p>
          <w:p w14:paraId="1CA783BD" w14:textId="77777777" w:rsidR="00F476A1" w:rsidRPr="00F476A1" w:rsidRDefault="00F476A1" w:rsidP="00F476A1">
            <w:pPr>
              <w:rPr>
                <w:rFonts w:ascii="Times New Roman" w:hAnsi="Times New Roman" w:cs="Times New Roman"/>
              </w:rPr>
            </w:pPr>
          </w:p>
          <w:p w14:paraId="75721262" w14:textId="1B3DBAC4" w:rsidR="008C28C7" w:rsidRPr="00756537" w:rsidRDefault="008C28C7" w:rsidP="00F476A1">
            <w:pPr>
              <w:pStyle w:val="Style37"/>
              <w:ind w:firstLine="7"/>
              <w:jc w:val="both"/>
              <w:rPr>
                <w:rFonts w:ascii="Times New Roman" w:hAnsi="Times New Roman" w:cs="Times New Roman"/>
              </w:rPr>
            </w:pPr>
            <w:bookmarkStart w:id="4" w:name="_GoBack"/>
            <w:bookmarkEnd w:id="4"/>
          </w:p>
        </w:tc>
      </w:tr>
      <w:tr w:rsidR="437139FB" w14:paraId="2B63B098" w14:textId="77777777" w:rsidTr="437139FB">
        <w:trPr>
          <w:trHeight w:val="300"/>
        </w:trPr>
        <w:tc>
          <w:tcPr>
            <w:tcW w:w="9351" w:type="dxa"/>
            <w:gridSpan w:val="3"/>
          </w:tcPr>
          <w:p w14:paraId="7C7A3E0D" w14:textId="6CEE56D4" w:rsidR="653DA213" w:rsidRDefault="653DA213" w:rsidP="437139FB">
            <w:pPr>
              <w:jc w:val="both"/>
            </w:pPr>
            <w:r w:rsidRPr="437139FB">
              <w:rPr>
                <w:rFonts w:ascii="Calibri" w:eastAsia="Calibri" w:hAnsi="Calibri" w:cs="Calibri"/>
                <w:i/>
                <w:iCs/>
                <w:lang w:val="lt"/>
              </w:rPr>
              <w:t>● jeigu Pasiūlymą teikia ūkio subjektų grupė – reikalavimą turi atitikti ūkio subjektų grupės narys (-</w:t>
            </w:r>
            <w:proofErr w:type="spellStart"/>
            <w:r w:rsidRPr="437139FB">
              <w:rPr>
                <w:rFonts w:ascii="Calibri" w:eastAsia="Calibri" w:hAnsi="Calibri" w:cs="Calibri"/>
                <w:i/>
                <w:iCs/>
                <w:lang w:val="lt"/>
              </w:rPr>
              <w:t>iai</w:t>
            </w:r>
            <w:proofErr w:type="spellEnd"/>
            <w:r w:rsidRPr="437139FB">
              <w:rPr>
                <w:rFonts w:ascii="Calibri" w:eastAsia="Calibri" w:hAnsi="Calibri" w:cs="Calibri"/>
                <w:i/>
                <w:iCs/>
                <w:lang w:val="lt"/>
              </w:rPr>
              <w:t>), atsižvelgiant į jų prisiimamus įsipareigojimus pirkimo sutarčiai vykdyti;</w:t>
            </w:r>
          </w:p>
          <w:p w14:paraId="23E38D3D" w14:textId="535B9459" w:rsidR="653DA213" w:rsidRDefault="653DA213" w:rsidP="437139FB">
            <w:pPr>
              <w:rPr>
                <w:rFonts w:ascii="Times New Roman" w:eastAsia="Times New Roman" w:hAnsi="Times New Roman" w:cs="Times New Roman"/>
              </w:rPr>
            </w:pPr>
            <w:r w:rsidRPr="437139FB">
              <w:rPr>
                <w:rFonts w:ascii="Calibri" w:eastAsia="Calibri" w:hAnsi="Calibri" w:cs="Calibri"/>
                <w:i/>
                <w:iCs/>
                <w:lang w:val="lt"/>
              </w:rPr>
              <w:t>● Tiekėjas gali pasitelkti kitų ūkio subjektų/subtiekėjų pajėgumus atsižvelgiant į jų prisiimamus įsipareigojimus pirkimo sutarčiai vykdyti. Tiekėjas vykdydamas sutartį turi užtikrinti, kad kiekvienas pasitelktas kitas  ūkio subjektas/subtiekėjas laikysis reikalaujamų</w:t>
            </w:r>
            <w:r w:rsidRPr="437139FB">
              <w:rPr>
                <w:rFonts w:ascii="Calibri" w:eastAsia="Calibri" w:hAnsi="Calibri" w:cs="Calibri"/>
                <w:b/>
                <w:bCs/>
                <w:i/>
                <w:iCs/>
                <w:lang w:val="lt"/>
              </w:rPr>
              <w:t xml:space="preserve"> </w:t>
            </w:r>
            <w:r w:rsidRPr="437139FB">
              <w:rPr>
                <w:rFonts w:ascii="Calibri" w:eastAsia="Calibri" w:hAnsi="Calibri" w:cs="Calibri"/>
                <w:i/>
                <w:iCs/>
                <w:lang w:val="lt"/>
              </w:rPr>
              <w:t>aplinkos apsaugos vadybos sistemos standartų/priemonių.</w:t>
            </w:r>
          </w:p>
        </w:tc>
      </w:tr>
    </w:tbl>
    <w:p w14:paraId="6D1F0BF3" w14:textId="77777777" w:rsidR="007B0EE3" w:rsidRPr="00485EC7" w:rsidRDefault="007B0EE3">
      <w:pPr>
        <w:rPr>
          <w:rFonts w:ascii="Times New Roman" w:hAnsi="Times New Roman" w:cs="Times New Roman"/>
        </w:rPr>
      </w:pPr>
    </w:p>
    <w:sectPr w:rsidR="007B0EE3" w:rsidRPr="00485E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65AB8" w14:textId="77777777" w:rsidR="00A34C16" w:rsidRDefault="00A34C16" w:rsidP="00756537">
      <w:pPr>
        <w:spacing w:after="0" w:line="240" w:lineRule="auto"/>
      </w:pPr>
      <w:r>
        <w:separator/>
      </w:r>
    </w:p>
  </w:endnote>
  <w:endnote w:type="continuationSeparator" w:id="0">
    <w:p w14:paraId="4E78BD58" w14:textId="77777777" w:rsidR="00A34C16" w:rsidRDefault="00A34C16" w:rsidP="0075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8E6A4" w14:textId="77777777" w:rsidR="00A34C16" w:rsidRDefault="00A34C16" w:rsidP="00756537">
      <w:pPr>
        <w:spacing w:after="0" w:line="240" w:lineRule="auto"/>
      </w:pPr>
      <w:r>
        <w:separator/>
      </w:r>
    </w:p>
  </w:footnote>
  <w:footnote w:type="continuationSeparator" w:id="0">
    <w:p w14:paraId="2F10E52A" w14:textId="77777777" w:rsidR="00A34C16" w:rsidRDefault="00A34C16" w:rsidP="0075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A90AC"/>
    <w:multiLevelType w:val="hybridMultilevel"/>
    <w:tmpl w:val="714E3DC0"/>
    <w:lvl w:ilvl="0" w:tplc="5D2CCB20">
      <w:start w:val="1"/>
      <w:numFmt w:val="bullet"/>
      <w:lvlText w:val=""/>
      <w:lvlJc w:val="left"/>
      <w:pPr>
        <w:ind w:left="720" w:hanging="360"/>
      </w:pPr>
      <w:rPr>
        <w:rFonts w:ascii="Symbol" w:hAnsi="Symbol" w:hint="default"/>
      </w:rPr>
    </w:lvl>
    <w:lvl w:ilvl="1" w:tplc="2996EDBE">
      <w:start w:val="1"/>
      <w:numFmt w:val="bullet"/>
      <w:lvlText w:val="o"/>
      <w:lvlJc w:val="left"/>
      <w:pPr>
        <w:ind w:left="1440" w:hanging="360"/>
      </w:pPr>
      <w:rPr>
        <w:rFonts w:ascii="Courier New" w:hAnsi="Courier New" w:hint="default"/>
      </w:rPr>
    </w:lvl>
    <w:lvl w:ilvl="2" w:tplc="4A366BA8">
      <w:start w:val="1"/>
      <w:numFmt w:val="bullet"/>
      <w:lvlText w:val=""/>
      <w:lvlJc w:val="left"/>
      <w:pPr>
        <w:ind w:left="2160" w:hanging="360"/>
      </w:pPr>
      <w:rPr>
        <w:rFonts w:ascii="Wingdings" w:hAnsi="Wingdings" w:hint="default"/>
      </w:rPr>
    </w:lvl>
    <w:lvl w:ilvl="3" w:tplc="82BAB536">
      <w:start w:val="1"/>
      <w:numFmt w:val="bullet"/>
      <w:lvlText w:val=""/>
      <w:lvlJc w:val="left"/>
      <w:pPr>
        <w:ind w:left="2880" w:hanging="360"/>
      </w:pPr>
      <w:rPr>
        <w:rFonts w:ascii="Symbol" w:hAnsi="Symbol" w:hint="default"/>
      </w:rPr>
    </w:lvl>
    <w:lvl w:ilvl="4" w:tplc="7BFC0064">
      <w:start w:val="1"/>
      <w:numFmt w:val="bullet"/>
      <w:lvlText w:val="o"/>
      <w:lvlJc w:val="left"/>
      <w:pPr>
        <w:ind w:left="3600" w:hanging="360"/>
      </w:pPr>
      <w:rPr>
        <w:rFonts w:ascii="Courier New" w:hAnsi="Courier New" w:hint="default"/>
      </w:rPr>
    </w:lvl>
    <w:lvl w:ilvl="5" w:tplc="451CC8FE">
      <w:start w:val="1"/>
      <w:numFmt w:val="bullet"/>
      <w:lvlText w:val=""/>
      <w:lvlJc w:val="left"/>
      <w:pPr>
        <w:ind w:left="4320" w:hanging="360"/>
      </w:pPr>
      <w:rPr>
        <w:rFonts w:ascii="Wingdings" w:hAnsi="Wingdings" w:hint="default"/>
      </w:rPr>
    </w:lvl>
    <w:lvl w:ilvl="6" w:tplc="41F8488E">
      <w:start w:val="1"/>
      <w:numFmt w:val="bullet"/>
      <w:lvlText w:val=""/>
      <w:lvlJc w:val="left"/>
      <w:pPr>
        <w:ind w:left="5040" w:hanging="360"/>
      </w:pPr>
      <w:rPr>
        <w:rFonts w:ascii="Symbol" w:hAnsi="Symbol" w:hint="default"/>
      </w:rPr>
    </w:lvl>
    <w:lvl w:ilvl="7" w:tplc="D6FC2ECA">
      <w:start w:val="1"/>
      <w:numFmt w:val="bullet"/>
      <w:lvlText w:val="o"/>
      <w:lvlJc w:val="left"/>
      <w:pPr>
        <w:ind w:left="5760" w:hanging="360"/>
      </w:pPr>
      <w:rPr>
        <w:rFonts w:ascii="Courier New" w:hAnsi="Courier New" w:hint="default"/>
      </w:rPr>
    </w:lvl>
    <w:lvl w:ilvl="8" w:tplc="59EE842C">
      <w:start w:val="1"/>
      <w:numFmt w:val="bullet"/>
      <w:lvlText w:val=""/>
      <w:lvlJc w:val="left"/>
      <w:pPr>
        <w:ind w:left="6480" w:hanging="360"/>
      </w:pPr>
      <w:rPr>
        <w:rFonts w:ascii="Wingdings" w:hAnsi="Wingdings" w:hint="default"/>
      </w:rPr>
    </w:lvl>
  </w:abstractNum>
  <w:abstractNum w:abstractNumId="1" w15:restartNumberingAfterBreak="0">
    <w:nsid w:val="367B9C8D"/>
    <w:multiLevelType w:val="hybridMultilevel"/>
    <w:tmpl w:val="1D886D4A"/>
    <w:lvl w:ilvl="0" w:tplc="0B6EB5EE">
      <w:start w:val="1"/>
      <w:numFmt w:val="bullet"/>
      <w:lvlText w:val="·"/>
      <w:lvlJc w:val="left"/>
      <w:pPr>
        <w:ind w:left="720" w:hanging="360"/>
      </w:pPr>
      <w:rPr>
        <w:rFonts w:ascii="Symbol" w:hAnsi="Symbol" w:hint="default"/>
      </w:rPr>
    </w:lvl>
    <w:lvl w:ilvl="1" w:tplc="05E44030">
      <w:start w:val="1"/>
      <w:numFmt w:val="bullet"/>
      <w:lvlText w:val="o"/>
      <w:lvlJc w:val="left"/>
      <w:pPr>
        <w:ind w:left="1440" w:hanging="360"/>
      </w:pPr>
      <w:rPr>
        <w:rFonts w:ascii="Courier New" w:hAnsi="Courier New" w:hint="default"/>
      </w:rPr>
    </w:lvl>
    <w:lvl w:ilvl="2" w:tplc="BF56C9E6">
      <w:start w:val="1"/>
      <w:numFmt w:val="bullet"/>
      <w:lvlText w:val=""/>
      <w:lvlJc w:val="left"/>
      <w:pPr>
        <w:ind w:left="2160" w:hanging="360"/>
      </w:pPr>
      <w:rPr>
        <w:rFonts w:ascii="Wingdings" w:hAnsi="Wingdings" w:hint="default"/>
      </w:rPr>
    </w:lvl>
    <w:lvl w:ilvl="3" w:tplc="2B965DF0">
      <w:start w:val="1"/>
      <w:numFmt w:val="bullet"/>
      <w:lvlText w:val=""/>
      <w:lvlJc w:val="left"/>
      <w:pPr>
        <w:ind w:left="2880" w:hanging="360"/>
      </w:pPr>
      <w:rPr>
        <w:rFonts w:ascii="Symbol" w:hAnsi="Symbol" w:hint="default"/>
      </w:rPr>
    </w:lvl>
    <w:lvl w:ilvl="4" w:tplc="1B6442B2">
      <w:start w:val="1"/>
      <w:numFmt w:val="bullet"/>
      <w:lvlText w:val="o"/>
      <w:lvlJc w:val="left"/>
      <w:pPr>
        <w:ind w:left="3600" w:hanging="360"/>
      </w:pPr>
      <w:rPr>
        <w:rFonts w:ascii="Courier New" w:hAnsi="Courier New" w:hint="default"/>
      </w:rPr>
    </w:lvl>
    <w:lvl w:ilvl="5" w:tplc="2ADA5480">
      <w:start w:val="1"/>
      <w:numFmt w:val="bullet"/>
      <w:lvlText w:val=""/>
      <w:lvlJc w:val="left"/>
      <w:pPr>
        <w:ind w:left="4320" w:hanging="360"/>
      </w:pPr>
      <w:rPr>
        <w:rFonts w:ascii="Wingdings" w:hAnsi="Wingdings" w:hint="default"/>
      </w:rPr>
    </w:lvl>
    <w:lvl w:ilvl="6" w:tplc="1364593C">
      <w:start w:val="1"/>
      <w:numFmt w:val="bullet"/>
      <w:lvlText w:val=""/>
      <w:lvlJc w:val="left"/>
      <w:pPr>
        <w:ind w:left="5040" w:hanging="360"/>
      </w:pPr>
      <w:rPr>
        <w:rFonts w:ascii="Symbol" w:hAnsi="Symbol" w:hint="default"/>
      </w:rPr>
    </w:lvl>
    <w:lvl w:ilvl="7" w:tplc="D79E42A4">
      <w:start w:val="1"/>
      <w:numFmt w:val="bullet"/>
      <w:lvlText w:val="o"/>
      <w:lvlJc w:val="left"/>
      <w:pPr>
        <w:ind w:left="5760" w:hanging="360"/>
      </w:pPr>
      <w:rPr>
        <w:rFonts w:ascii="Courier New" w:hAnsi="Courier New" w:hint="default"/>
      </w:rPr>
    </w:lvl>
    <w:lvl w:ilvl="8" w:tplc="0310B738">
      <w:start w:val="1"/>
      <w:numFmt w:val="bullet"/>
      <w:lvlText w:val=""/>
      <w:lvlJc w:val="left"/>
      <w:pPr>
        <w:ind w:left="6480" w:hanging="360"/>
      </w:pPr>
      <w:rPr>
        <w:rFonts w:ascii="Wingdings" w:hAnsi="Wingdings" w:hint="default"/>
      </w:rPr>
    </w:lvl>
  </w:abstractNum>
  <w:abstractNum w:abstractNumId="2" w15:restartNumberingAfterBreak="0">
    <w:nsid w:val="388056A8"/>
    <w:multiLevelType w:val="multilevel"/>
    <w:tmpl w:val="53A8E7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9F8752"/>
    <w:multiLevelType w:val="hybridMultilevel"/>
    <w:tmpl w:val="63622670"/>
    <w:lvl w:ilvl="0" w:tplc="0400B7AE">
      <w:start w:val="1"/>
      <w:numFmt w:val="bullet"/>
      <w:lvlText w:val="·"/>
      <w:lvlJc w:val="left"/>
      <w:pPr>
        <w:ind w:left="720" w:hanging="360"/>
      </w:pPr>
      <w:rPr>
        <w:rFonts w:ascii="Symbol" w:hAnsi="Symbol" w:hint="default"/>
      </w:rPr>
    </w:lvl>
    <w:lvl w:ilvl="1" w:tplc="16AAD2B6">
      <w:start w:val="1"/>
      <w:numFmt w:val="bullet"/>
      <w:lvlText w:val="o"/>
      <w:lvlJc w:val="left"/>
      <w:pPr>
        <w:ind w:left="1440" w:hanging="360"/>
      </w:pPr>
      <w:rPr>
        <w:rFonts w:ascii="Courier New" w:hAnsi="Courier New" w:hint="default"/>
      </w:rPr>
    </w:lvl>
    <w:lvl w:ilvl="2" w:tplc="2892D916">
      <w:start w:val="1"/>
      <w:numFmt w:val="bullet"/>
      <w:lvlText w:val=""/>
      <w:lvlJc w:val="left"/>
      <w:pPr>
        <w:ind w:left="2160" w:hanging="360"/>
      </w:pPr>
      <w:rPr>
        <w:rFonts w:ascii="Wingdings" w:hAnsi="Wingdings" w:hint="default"/>
      </w:rPr>
    </w:lvl>
    <w:lvl w:ilvl="3" w:tplc="DDAA6C30">
      <w:start w:val="1"/>
      <w:numFmt w:val="bullet"/>
      <w:lvlText w:val=""/>
      <w:lvlJc w:val="left"/>
      <w:pPr>
        <w:ind w:left="2880" w:hanging="360"/>
      </w:pPr>
      <w:rPr>
        <w:rFonts w:ascii="Symbol" w:hAnsi="Symbol" w:hint="default"/>
      </w:rPr>
    </w:lvl>
    <w:lvl w:ilvl="4" w:tplc="C9DA2826">
      <w:start w:val="1"/>
      <w:numFmt w:val="bullet"/>
      <w:lvlText w:val="o"/>
      <w:lvlJc w:val="left"/>
      <w:pPr>
        <w:ind w:left="3600" w:hanging="360"/>
      </w:pPr>
      <w:rPr>
        <w:rFonts w:ascii="Courier New" w:hAnsi="Courier New" w:hint="default"/>
      </w:rPr>
    </w:lvl>
    <w:lvl w:ilvl="5" w:tplc="9DF69266">
      <w:start w:val="1"/>
      <w:numFmt w:val="bullet"/>
      <w:lvlText w:val=""/>
      <w:lvlJc w:val="left"/>
      <w:pPr>
        <w:ind w:left="4320" w:hanging="360"/>
      </w:pPr>
      <w:rPr>
        <w:rFonts w:ascii="Wingdings" w:hAnsi="Wingdings" w:hint="default"/>
      </w:rPr>
    </w:lvl>
    <w:lvl w:ilvl="6" w:tplc="C032EF08">
      <w:start w:val="1"/>
      <w:numFmt w:val="bullet"/>
      <w:lvlText w:val=""/>
      <w:lvlJc w:val="left"/>
      <w:pPr>
        <w:ind w:left="5040" w:hanging="360"/>
      </w:pPr>
      <w:rPr>
        <w:rFonts w:ascii="Symbol" w:hAnsi="Symbol" w:hint="default"/>
      </w:rPr>
    </w:lvl>
    <w:lvl w:ilvl="7" w:tplc="AC527C12">
      <w:start w:val="1"/>
      <w:numFmt w:val="bullet"/>
      <w:lvlText w:val="o"/>
      <w:lvlJc w:val="left"/>
      <w:pPr>
        <w:ind w:left="5760" w:hanging="360"/>
      </w:pPr>
      <w:rPr>
        <w:rFonts w:ascii="Courier New" w:hAnsi="Courier New" w:hint="default"/>
      </w:rPr>
    </w:lvl>
    <w:lvl w:ilvl="8" w:tplc="33A0CD88">
      <w:start w:val="1"/>
      <w:numFmt w:val="bullet"/>
      <w:lvlText w:val=""/>
      <w:lvlJc w:val="left"/>
      <w:pPr>
        <w:ind w:left="6480" w:hanging="360"/>
      </w:pPr>
      <w:rPr>
        <w:rFonts w:ascii="Wingdings" w:hAnsi="Wingdings" w:hint="default"/>
      </w:rPr>
    </w:lvl>
  </w:abstractNum>
  <w:abstractNum w:abstractNumId="4" w15:restartNumberingAfterBreak="0">
    <w:nsid w:val="51C54053"/>
    <w:multiLevelType w:val="multilevel"/>
    <w:tmpl w:val="F2E285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611F2225"/>
    <w:multiLevelType w:val="hybridMultilevel"/>
    <w:tmpl w:val="4EF21DCC"/>
    <w:lvl w:ilvl="0" w:tplc="4D16B4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37"/>
    <w:rsid w:val="00001AF8"/>
    <w:rsid w:val="00101E3C"/>
    <w:rsid w:val="00147967"/>
    <w:rsid w:val="00170713"/>
    <w:rsid w:val="00205FD2"/>
    <w:rsid w:val="0024038E"/>
    <w:rsid w:val="002C647E"/>
    <w:rsid w:val="00485EC7"/>
    <w:rsid w:val="005872CE"/>
    <w:rsid w:val="005E0032"/>
    <w:rsid w:val="00611016"/>
    <w:rsid w:val="00655852"/>
    <w:rsid w:val="00682AB4"/>
    <w:rsid w:val="006C5684"/>
    <w:rsid w:val="006C5C26"/>
    <w:rsid w:val="00716ECB"/>
    <w:rsid w:val="00750747"/>
    <w:rsid w:val="00756537"/>
    <w:rsid w:val="0076699F"/>
    <w:rsid w:val="007B0EE3"/>
    <w:rsid w:val="008C28C7"/>
    <w:rsid w:val="00936301"/>
    <w:rsid w:val="009978CC"/>
    <w:rsid w:val="009E75F4"/>
    <w:rsid w:val="00A26EAD"/>
    <w:rsid w:val="00A34C16"/>
    <w:rsid w:val="00C65BAA"/>
    <w:rsid w:val="00EB3B39"/>
    <w:rsid w:val="00EB79E5"/>
    <w:rsid w:val="00F04D66"/>
    <w:rsid w:val="00F476A1"/>
    <w:rsid w:val="0F70AD3F"/>
    <w:rsid w:val="11AE7FF1"/>
    <w:rsid w:val="145952C7"/>
    <w:rsid w:val="159BC7F9"/>
    <w:rsid w:val="2C31C063"/>
    <w:rsid w:val="2ED463BC"/>
    <w:rsid w:val="3428545F"/>
    <w:rsid w:val="3A06D457"/>
    <w:rsid w:val="3CD322BF"/>
    <w:rsid w:val="437139FB"/>
    <w:rsid w:val="4B5969E5"/>
    <w:rsid w:val="4D9E90BE"/>
    <w:rsid w:val="57F4FF44"/>
    <w:rsid w:val="5860D483"/>
    <w:rsid w:val="5B29E024"/>
    <w:rsid w:val="5E2C354C"/>
    <w:rsid w:val="613FBE4B"/>
    <w:rsid w:val="643F298D"/>
    <w:rsid w:val="653DA213"/>
    <w:rsid w:val="65BCF7B3"/>
    <w:rsid w:val="69A61E6D"/>
    <w:rsid w:val="79A50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208D"/>
  <w15:chartTrackingRefBased/>
  <w15:docId w15:val="{5FB181D7-9E0E-4B49-936F-E500D6D8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6699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5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756537"/>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756537"/>
    <w:rPr>
      <w:rFonts w:eastAsiaTheme="minorEastAsia"/>
      <w:sz w:val="20"/>
      <w:szCs w:val="20"/>
      <w:lang w:eastAsia="lt-LT"/>
    </w:rPr>
  </w:style>
  <w:style w:type="character" w:styleId="Puslapioinaosnuoroda">
    <w:name w:val="footnote reference"/>
    <w:basedOn w:val="Numatytasispastraiposriftas"/>
    <w:uiPriority w:val="99"/>
    <w:unhideWhenUsed/>
    <w:rsid w:val="00756537"/>
    <w:rPr>
      <w:vertAlign w:val="superscript"/>
    </w:rPr>
  </w:style>
  <w:style w:type="paragraph" w:customStyle="1" w:styleId="paragraph">
    <w:name w:val="paragraph"/>
    <w:basedOn w:val="prastasis"/>
    <w:rsid w:val="0075653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756537"/>
  </w:style>
  <w:style w:type="character" w:customStyle="1" w:styleId="eop">
    <w:name w:val="eop"/>
    <w:basedOn w:val="Numatytasispastraiposriftas"/>
    <w:rsid w:val="00756537"/>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5653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56537"/>
    <w:pPr>
      <w:spacing w:line="276" w:lineRule="auto"/>
      <w:ind w:left="720"/>
      <w:contextualSpacing/>
    </w:pPr>
  </w:style>
  <w:style w:type="paragraph" w:customStyle="1" w:styleId="Style37">
    <w:name w:val="Style37"/>
    <w:basedOn w:val="prastasis"/>
    <w:uiPriority w:val="99"/>
    <w:rsid w:val="00756537"/>
    <w:pPr>
      <w:widowControl w:val="0"/>
      <w:autoSpaceDE w:val="0"/>
      <w:autoSpaceDN w:val="0"/>
      <w:adjustRightInd w:val="0"/>
      <w:spacing w:after="0" w:line="240" w:lineRule="auto"/>
    </w:pPr>
    <w:rPr>
      <w:rFonts w:ascii="Calibri" w:eastAsia="Times New Roman" w:hAnsi="Calibri" w:cs="Calibri"/>
      <w:sz w:val="24"/>
      <w:szCs w:val="24"/>
      <w:lang w:eastAsia="lt-LT"/>
    </w:rPr>
  </w:style>
  <w:style w:type="character" w:styleId="Komentaronuoroda">
    <w:name w:val="annotation reference"/>
    <w:basedOn w:val="Numatytasispastraiposriftas"/>
    <w:uiPriority w:val="99"/>
    <w:semiHidden/>
    <w:unhideWhenUsed/>
    <w:rsid w:val="009978CC"/>
    <w:rPr>
      <w:sz w:val="16"/>
      <w:szCs w:val="16"/>
    </w:rPr>
  </w:style>
  <w:style w:type="paragraph" w:styleId="Komentarotekstas">
    <w:name w:val="annotation text"/>
    <w:basedOn w:val="prastasis"/>
    <w:link w:val="KomentarotekstasDiagrama"/>
    <w:uiPriority w:val="99"/>
    <w:semiHidden/>
    <w:unhideWhenUsed/>
    <w:rsid w:val="009978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978CC"/>
    <w:rPr>
      <w:sz w:val="20"/>
      <w:szCs w:val="20"/>
    </w:rPr>
  </w:style>
  <w:style w:type="paragraph" w:styleId="Komentarotema">
    <w:name w:val="annotation subject"/>
    <w:basedOn w:val="Komentarotekstas"/>
    <w:next w:val="Komentarotekstas"/>
    <w:link w:val="KomentarotemaDiagrama"/>
    <w:uiPriority w:val="99"/>
    <w:semiHidden/>
    <w:unhideWhenUsed/>
    <w:rsid w:val="009978CC"/>
    <w:rPr>
      <w:b/>
      <w:bCs/>
    </w:rPr>
  </w:style>
  <w:style w:type="character" w:customStyle="1" w:styleId="KomentarotemaDiagrama">
    <w:name w:val="Komentaro tema Diagrama"/>
    <w:basedOn w:val="KomentarotekstasDiagrama"/>
    <w:link w:val="Komentarotema"/>
    <w:uiPriority w:val="99"/>
    <w:semiHidden/>
    <w:rsid w:val="009978CC"/>
    <w:rPr>
      <w:b/>
      <w:bCs/>
      <w:sz w:val="20"/>
      <w:szCs w:val="20"/>
    </w:rPr>
  </w:style>
  <w:style w:type="paragraph" w:styleId="Debesliotekstas">
    <w:name w:val="Balloon Text"/>
    <w:basedOn w:val="prastasis"/>
    <w:link w:val="DebesliotekstasDiagrama"/>
    <w:uiPriority w:val="99"/>
    <w:semiHidden/>
    <w:unhideWhenUsed/>
    <w:rsid w:val="009978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78CC"/>
    <w:rPr>
      <w:rFonts w:ascii="Segoe UI" w:hAnsi="Segoe UI" w:cs="Segoe UI"/>
      <w:sz w:val="18"/>
      <w:szCs w:val="18"/>
    </w:rPr>
  </w:style>
  <w:style w:type="character" w:styleId="Hipersaitas">
    <w:name w:val="Hyperlink"/>
    <w:basedOn w:val="Numatytasispastraiposriftas"/>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va.lt/c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3634</Words>
  <Characters>2072</Characters>
  <Application>Microsoft Office Word</Application>
  <DocSecurity>0</DocSecurity>
  <Lines>17</Lines>
  <Paragraphs>11</Paragraphs>
  <ScaleCrop>false</ScaleCrop>
  <Company>KTU ITSS</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Pagodinienė Aušra</dc:creator>
  <cp:keywords/>
  <dc:description/>
  <cp:lastModifiedBy>Kęstutis Kliopovas</cp:lastModifiedBy>
  <cp:revision>19</cp:revision>
  <dcterms:created xsi:type="dcterms:W3CDTF">2023-03-17T10:51:00Z</dcterms:created>
  <dcterms:modified xsi:type="dcterms:W3CDTF">2024-10-15T07:17:00Z</dcterms:modified>
</cp:coreProperties>
</file>