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4B46" w14:textId="77777777" w:rsidR="00DA481E" w:rsidRDefault="00DA481E" w:rsidP="00DA481E">
      <w:pPr>
        <w:widowControl w:val="0"/>
        <w:tabs>
          <w:tab w:val="clear" w:pos="1293"/>
        </w:tabs>
        <w:jc w:val="both"/>
        <w:rPr>
          <w:szCs w:val="24"/>
          <w:lang w:val="lt-LT"/>
        </w:rPr>
      </w:pPr>
    </w:p>
    <w:p w14:paraId="39B93853" w14:textId="77777777" w:rsidR="004E0F54" w:rsidRDefault="004E0F54" w:rsidP="00DA481E">
      <w:pPr>
        <w:widowControl w:val="0"/>
        <w:tabs>
          <w:tab w:val="clear" w:pos="1293"/>
        </w:tabs>
        <w:jc w:val="both"/>
        <w:rPr>
          <w:szCs w:val="24"/>
          <w:lang w:val="lt-LT"/>
        </w:rPr>
      </w:pPr>
    </w:p>
    <w:p w14:paraId="0B20346B" w14:textId="26C58E36" w:rsidR="004E0F54" w:rsidRDefault="004E0F54" w:rsidP="004E0F54">
      <w:pPr>
        <w:widowControl w:val="0"/>
        <w:tabs>
          <w:tab w:val="clear" w:pos="1293"/>
        </w:tabs>
        <w:jc w:val="center"/>
        <w:rPr>
          <w:szCs w:val="24"/>
          <w:lang w:val="lt-LT"/>
        </w:rPr>
      </w:pPr>
      <w:r>
        <w:rPr>
          <w:szCs w:val="24"/>
          <w:lang w:val="lt-LT"/>
        </w:rPr>
        <w:t>(Sutarties projektas)</w:t>
      </w:r>
    </w:p>
    <w:p w14:paraId="0616D3E8" w14:textId="77777777" w:rsidR="004E0F54" w:rsidRPr="00884C6E" w:rsidRDefault="004E0F54" w:rsidP="00DA481E">
      <w:pPr>
        <w:widowControl w:val="0"/>
        <w:tabs>
          <w:tab w:val="clear" w:pos="1293"/>
        </w:tabs>
        <w:jc w:val="both"/>
        <w:rPr>
          <w:szCs w:val="24"/>
          <w:lang w:val="lt-LT"/>
        </w:rPr>
      </w:pPr>
    </w:p>
    <w:p w14:paraId="26055AA1" w14:textId="77777777" w:rsidR="00DA481E" w:rsidRPr="00884C6E" w:rsidRDefault="00DA481E" w:rsidP="00DA481E">
      <w:pPr>
        <w:pStyle w:val="Temosantrat10"/>
        <w:widowControl w:val="0"/>
        <w:shd w:val="clear" w:color="auto" w:fill="auto"/>
        <w:suppressAutoHyphens/>
        <w:spacing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(Tipinės darbų fiksuotos kainos viešojo pirkimo–pardavimo sutarties forma*)</w:t>
      </w:r>
    </w:p>
    <w:p w14:paraId="36728DAF" w14:textId="77777777" w:rsidR="00DA481E" w:rsidRPr="00884C6E" w:rsidRDefault="00DA481E" w:rsidP="00DA481E">
      <w:pPr>
        <w:pStyle w:val="Temosantrat10"/>
        <w:widowControl w:val="0"/>
        <w:shd w:val="clear" w:color="auto" w:fill="auto"/>
        <w:suppressAutoHyphens/>
        <w:spacing w:after="0" w:line="240" w:lineRule="auto"/>
        <w:ind w:firstLine="4678"/>
        <w:jc w:val="both"/>
        <w:rPr>
          <w:rFonts w:ascii="Times New Roman" w:hAnsi="Times New Roman" w:cs="Times New Roman"/>
          <w:sz w:val="24"/>
          <w:szCs w:val="24"/>
          <w:lang w:val="lt-LT"/>
        </w:rPr>
      </w:pPr>
    </w:p>
    <w:p w14:paraId="63B24495"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r w:rsidRPr="00884C6E">
        <w:rPr>
          <w:rFonts w:ascii="Times New Roman" w:hAnsi="Times New Roman" w:cs="Times New Roman"/>
          <w:i/>
          <w:sz w:val="24"/>
          <w:szCs w:val="24"/>
          <w:lang w:val="lt-LT"/>
        </w:rPr>
        <w:t xml:space="preserve">* Rengiant sutarties projektą pildomos tik </w:t>
      </w:r>
      <w:r w:rsidRPr="00884C6E">
        <w:rPr>
          <w:rFonts w:ascii="Times New Roman" w:hAnsi="Times New Roman" w:cs="Times New Roman"/>
          <w:i/>
          <w:sz w:val="24"/>
          <w:szCs w:val="24"/>
          <w:highlight w:val="lightGray"/>
          <w:lang w:val="lt-LT"/>
        </w:rPr>
        <w:t>pilka spalva</w:t>
      </w:r>
      <w:r w:rsidRPr="00884C6E">
        <w:rPr>
          <w:rFonts w:ascii="Times New Roman" w:hAnsi="Times New Roman" w:cs="Times New Roman"/>
          <w:i/>
          <w:sz w:val="24"/>
          <w:szCs w:val="24"/>
          <w:lang w:val="lt-LT"/>
        </w:rPr>
        <w:t xml:space="preserve"> pažymėtos sutarties nuostatos, kitos sutarties nuostatos nėra keičiamos. </w:t>
      </w:r>
      <w:r w:rsidRPr="00884C6E">
        <w:rPr>
          <w:rFonts w:ascii="Times New Roman" w:hAnsi="Times New Roman" w:cs="Times New Roman"/>
          <w:i/>
          <w:color w:val="FF0000"/>
          <w:sz w:val="24"/>
          <w:szCs w:val="24"/>
          <w:lang w:val="lt-LT"/>
        </w:rPr>
        <w:t>Raudonu šriftu</w:t>
      </w:r>
      <w:r w:rsidRPr="00884C6E">
        <w:rPr>
          <w:rFonts w:ascii="Times New Roman" w:hAnsi="Times New Roman" w:cs="Times New Roman"/>
          <w:i/>
          <w:sz w:val="24"/>
          <w:szCs w:val="24"/>
          <w:lang w:val="lt-LT"/>
        </w:rPr>
        <w:t xml:space="preserve"> išskirtos nuostatos pildomos rengiant sutartį pasirašymui po įvykusio pirkimo.</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6DD417E3"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pavadinimas: </w:t>
      </w:r>
      <w:r w:rsidRPr="00884C6E">
        <w:rPr>
          <w:rFonts w:ascii="Times New Roman" w:hAnsi="Times New Roman" w:cs="Times New Roman"/>
          <w:color w:val="FF0000"/>
          <w:sz w:val="24"/>
          <w:szCs w:val="24"/>
          <w:lang w:val="lt-LT"/>
        </w:rPr>
        <w:t>įrašyti</w:t>
      </w:r>
    </w:p>
    <w:p w14:paraId="7CA558EC"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sąskaitos numeris LT067182200001130990</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B6027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A6641"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6819438"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420028E"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B0EF61A"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09D4132C" w:rsidR="00DA481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7F02A5F" w14:textId="43963882"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5029D54" w14:textId="005A920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A01F2F" w14:textId="72D91A5A"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0DD4D37A" w14:textId="38C1AEA3" w:rsidR="00ED7BAA"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9556958" w14:textId="77777777" w:rsidR="00ED7BAA" w:rsidRPr="00884C6E" w:rsidRDefault="00ED7BAA"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884C6E"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68B4332A"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215B1" w:rsidRPr="00884C6E">
        <w:rPr>
          <w:rFonts w:ascii="Times New Roman" w:hAnsi="Times New Roman" w:cs="Times New Roman"/>
          <w:b/>
          <w:sz w:val="24"/>
          <w:szCs w:val="24"/>
          <w:lang w:val="lt-LT"/>
        </w:rPr>
        <w:t xml:space="preserve"> </w:t>
      </w:r>
      <w:r w:rsidR="007D4399" w:rsidRPr="007D4399">
        <w:rPr>
          <w:rFonts w:ascii="Times New Roman" w:hAnsi="Times New Roman"/>
          <w:bCs/>
          <w:sz w:val="24"/>
          <w:szCs w:val="24"/>
          <w:shd w:val="clear" w:color="auto" w:fill="FFFFFF"/>
          <w:lang w:val="lt-LT"/>
        </w:rPr>
        <w:t>Vandentiekio tinklų, esančių Darželio g. Rimšės mstl., Ignalinos r. sav., remonto darbai</w:t>
      </w:r>
      <w:r w:rsidR="007D4399" w:rsidRPr="00884C6E">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43D7E5C"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E5784F">
        <w:rPr>
          <w:rFonts w:ascii="Times New Roman" w:hAnsi="Times New Roman" w:cs="Times New Roman"/>
          <w:sz w:val="24"/>
          <w:szCs w:val="24"/>
          <w:lang w:val="lt-LT"/>
        </w:rPr>
        <w:t xml:space="preserve"> </w:t>
      </w:r>
      <w:r w:rsidR="00F41E1B" w:rsidRPr="007D4399">
        <w:rPr>
          <w:rFonts w:ascii="Times New Roman" w:hAnsi="Times New Roman"/>
          <w:bCs/>
          <w:sz w:val="24"/>
          <w:szCs w:val="24"/>
          <w:shd w:val="clear" w:color="auto" w:fill="FFFFFF"/>
          <w:lang w:val="lt-LT"/>
        </w:rPr>
        <w:t>Darželio g. Rimšės mstl., Ignalinos r. sav.</w:t>
      </w:r>
    </w:p>
    <w:p w14:paraId="647C7BAD" w14:textId="5EC58742"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ne ilgiau kaip per </w:t>
      </w:r>
      <w:r w:rsidR="001719CE">
        <w:rPr>
          <w:rFonts w:ascii="Times New Roman" w:hAnsi="Times New Roman" w:cs="Times New Roman"/>
          <w:sz w:val="24"/>
          <w:szCs w:val="24"/>
          <w:lang w:val="lt-LT"/>
        </w:rPr>
        <w:t>90</w:t>
      </w:r>
      <w:r w:rsidRPr="00884C6E">
        <w:rPr>
          <w:rFonts w:ascii="Times New Roman" w:hAnsi="Times New Roman" w:cs="Times New Roman"/>
          <w:sz w:val="24"/>
          <w:szCs w:val="24"/>
          <w:lang w:val="lt-LT"/>
        </w:rPr>
        <w:t xml:space="preserve"> (</w:t>
      </w:r>
      <w:r w:rsidR="001719CE">
        <w:rPr>
          <w:rFonts w:ascii="Times New Roman" w:hAnsi="Times New Roman" w:cs="Times New Roman"/>
          <w:sz w:val="24"/>
          <w:szCs w:val="24"/>
          <w:lang w:val="lt-LT"/>
        </w:rPr>
        <w:t>devyniasdešimt</w:t>
      </w:r>
      <w:r w:rsidRPr="00884C6E">
        <w:rPr>
          <w:rFonts w:ascii="Times New Roman" w:hAnsi="Times New Roman" w:cs="Times New Roman"/>
          <w:sz w:val="24"/>
          <w:szCs w:val="24"/>
          <w:lang w:val="lt-LT"/>
        </w:rPr>
        <w:t>) kalendorinių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15CF2A41" w:rsidR="00DA481E" w:rsidRPr="00884C6E" w:rsidRDefault="00E33F99"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FC7938">
        <w:rPr>
          <w:rFonts w:ascii="Times New Roman" w:hAnsi="Times New Roman" w:cs="Times New Roman"/>
          <w:sz w:val="24"/>
          <w:szCs w:val="24"/>
          <w:lang w:val="lt-LT"/>
        </w:rPr>
        <w:t>Darbų atlikimo terminas, iškilus nenumatytoms aplinkybėms, Sutarties šalims raštu išreiškus sutikimą, gali būti pratęstas</w:t>
      </w:r>
      <w:r>
        <w:rPr>
          <w:rFonts w:ascii="Times New Roman" w:hAnsi="Times New Roman" w:cs="Times New Roman"/>
          <w:sz w:val="24"/>
          <w:szCs w:val="24"/>
          <w:lang w:val="lt-LT"/>
        </w:rPr>
        <w:t xml:space="preserve"> vieną</w:t>
      </w:r>
      <w:r w:rsidRPr="00FC7938">
        <w:rPr>
          <w:rFonts w:ascii="Times New Roman" w:hAnsi="Times New Roman" w:cs="Times New Roman"/>
          <w:sz w:val="24"/>
          <w:szCs w:val="24"/>
          <w:lang w:val="lt-LT"/>
        </w:rPr>
        <w:t xml:space="preserve"> kartą </w:t>
      </w:r>
      <w:r>
        <w:rPr>
          <w:rFonts w:ascii="Times New Roman" w:hAnsi="Times New Roman" w:cs="Times New Roman"/>
          <w:sz w:val="24"/>
          <w:szCs w:val="24"/>
          <w:lang w:val="lt-LT"/>
        </w:rPr>
        <w:t>30 (trisdešimt)</w:t>
      </w:r>
      <w:r w:rsidRPr="00FC7938">
        <w:rPr>
          <w:rFonts w:ascii="Times New Roman" w:hAnsi="Times New Roman" w:cs="Times New Roman"/>
          <w:sz w:val="24"/>
          <w:szCs w:val="24"/>
          <w:lang w:val="lt-LT"/>
        </w:rPr>
        <w:t xml:space="preserve"> kalendorinių dienų. Rangovas supranta, kad COVID-19 viruso sukelta pandemija nėra laikytina nenugalimos jėgos aplinkybe (force majeure) ir atitinkami pandemijos padariniai jam nesutrukdys įvykdyti Sutartį tinkamai.</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884C6E">
        <w:rPr>
          <w:rFonts w:ascii="Times New Roman" w:eastAsia="Arial Unicode MS" w:hAnsi="Times New Roman" w:cs="Times New Roman"/>
          <w:color w:val="367DA2"/>
          <w:sz w:val="24"/>
          <w:szCs w:val="24"/>
          <w:lang w:val="lt-LT"/>
        </w:rPr>
        <w:t xml:space="preserve"> </w:t>
      </w:r>
      <w:r w:rsidRPr="00884C6E">
        <w:rPr>
          <w:rFonts w:ascii="Times New Roman" w:eastAsia="Arial Unicode MS" w:hAnsi="Times New Roman" w:cs="Times New Roman"/>
          <w:sz w:val="24"/>
          <w:szCs w:val="24"/>
          <w:lang w:val="lt-LT"/>
        </w:rPr>
        <w:t>pateikia Sutarties įvykdymo užtikrinimą</w:t>
      </w:r>
      <w:r w:rsidRPr="00884C6E">
        <w:rPr>
          <w:rFonts w:ascii="Times New Roman" w:hAnsi="Times New Roman" w:cs="Times New Roman"/>
          <w:sz w:val="24"/>
          <w:szCs w:val="24"/>
          <w:lang w:val="lt-LT"/>
        </w:rPr>
        <w:t xml:space="preserve"> po užtikrinimo pateikimo dienos einančią dieną (jei taikoma).</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884C6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884C6E" w14:paraId="7D812E39"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884C6E"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884C6E">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884C6E">
              <w:rPr>
                <w:rFonts w:ascii="Times New Roman" w:hAnsi="Times New Roman" w:cs="Times New Roman"/>
                <w:b/>
                <w:sz w:val="24"/>
                <w:szCs w:val="24"/>
                <w:lang w:val="lt-LT"/>
              </w:rPr>
              <w:t>Eurai</w:t>
            </w:r>
          </w:p>
        </w:tc>
      </w:tr>
      <w:tr w:rsidR="00DA481E" w:rsidRPr="00884C6E" w14:paraId="27DF80A4"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EB73497" w14:textId="6569612A" w:rsidR="004E0F54" w:rsidRDefault="00DA481E" w:rsidP="004E0F5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Eil.</w:t>
            </w:r>
          </w:p>
          <w:p w14:paraId="5FD7464D" w14:textId="06643E50" w:rsidR="00DA481E" w:rsidRPr="00884C6E" w:rsidRDefault="00DA481E" w:rsidP="004E0F5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884C6E" w:rsidRDefault="00DA481E" w:rsidP="004E0F5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pavadinimas</w:t>
            </w:r>
            <w:r w:rsidRPr="00884C6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884C6E" w:rsidRDefault="00DA481E" w:rsidP="004E0F54">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Suma be PVM</w:t>
            </w:r>
            <w:r w:rsidRPr="00884C6E">
              <w:rPr>
                <w:rFonts w:ascii="Times New Roman" w:hAnsi="Times New Roman" w:cs="Times New Roman"/>
                <w:b/>
                <w:sz w:val="24"/>
                <w:szCs w:val="24"/>
                <w:vertAlign w:val="superscript"/>
                <w:lang w:val="lt-LT"/>
              </w:rPr>
              <w:t>2</w:t>
            </w:r>
          </w:p>
        </w:tc>
      </w:tr>
      <w:tr w:rsidR="00CF3677" w:rsidRPr="00884C6E" w14:paraId="03EA1A58"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03ED7A0C" w:rsidR="00CF3677" w:rsidRPr="00AD7B58" w:rsidRDefault="004E0F54" w:rsidP="00CF3677">
            <w:pPr>
              <w:widowControl w:val="0"/>
              <w:rPr>
                <w:color w:val="FF0000"/>
                <w:lang w:val="lt-LT"/>
              </w:rPr>
            </w:pPr>
            <w:r>
              <w:rPr>
                <w:color w:val="000000" w:themeColor="text1"/>
                <w:szCs w:val="24"/>
                <w:lang w:val="lt-LT"/>
              </w:rPr>
              <w:t xml:space="preserve"> </w:t>
            </w:r>
            <w:r w:rsidR="006E3D70" w:rsidRPr="00AD7B58">
              <w:rPr>
                <w:color w:val="000000" w:themeColor="text1"/>
                <w:szCs w:val="24"/>
                <w:lang w:val="lt-LT"/>
              </w:rPr>
              <w:t>Demontavimo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CF3677" w:rsidRPr="00884C6E" w:rsidRDefault="00CF3677" w:rsidP="00CF3677">
            <w:pPr>
              <w:widowControl w:val="0"/>
              <w:rPr>
                <w:color w:val="FF0000"/>
                <w:lang w:val="lt-LT"/>
              </w:rPr>
            </w:pPr>
            <w:r w:rsidRPr="00884C6E">
              <w:rPr>
                <w:color w:val="FF0000"/>
                <w:lang w:val="lt-LT"/>
              </w:rPr>
              <w:t>įrašyti</w:t>
            </w:r>
          </w:p>
        </w:tc>
      </w:tr>
      <w:tr w:rsidR="00CF3677" w:rsidRPr="00884C6E" w14:paraId="67EFD4CC" w14:textId="77777777" w:rsidTr="00CF367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CF3677" w:rsidRPr="00884C6E" w:rsidRDefault="00CF3677" w:rsidP="00ED7BA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486FDC53" w:rsidR="00CF3677" w:rsidRPr="00AD7B58" w:rsidRDefault="004E0F54" w:rsidP="00CF3677">
            <w:pPr>
              <w:widowControl w:val="0"/>
              <w:rPr>
                <w:color w:val="FF0000"/>
                <w:lang w:val="lt-LT"/>
              </w:rPr>
            </w:pPr>
            <w:r>
              <w:rPr>
                <w:color w:val="000000" w:themeColor="text1"/>
                <w:szCs w:val="24"/>
                <w:lang w:val="lt-LT"/>
              </w:rPr>
              <w:t xml:space="preserve"> </w:t>
            </w:r>
            <w:r w:rsidR="00AD7B58" w:rsidRPr="00AD7B58">
              <w:rPr>
                <w:color w:val="000000" w:themeColor="text1"/>
                <w:szCs w:val="24"/>
                <w:lang w:val="lt-LT"/>
              </w:rPr>
              <w:t>Montavimo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CF3677" w:rsidRPr="00884C6E" w:rsidRDefault="00CF3677" w:rsidP="00CF3677">
            <w:pPr>
              <w:widowControl w:val="0"/>
              <w:rPr>
                <w:color w:val="FF0000"/>
                <w:lang w:val="lt-LT"/>
              </w:rPr>
            </w:pPr>
            <w:r w:rsidRPr="00884C6E">
              <w:rPr>
                <w:color w:val="FF0000"/>
                <w:lang w:val="lt-LT"/>
              </w:rPr>
              <w:t>įrašyti</w:t>
            </w:r>
          </w:p>
        </w:tc>
      </w:tr>
      <w:tr w:rsidR="00DA481E" w:rsidRPr="00884C6E" w14:paraId="1DCB7ED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AD7B58"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AD7B58">
              <w:rPr>
                <w:rFonts w:ascii="Times New Roman" w:hAnsi="Times New Roman" w:cs="Times New Roman"/>
                <w:b/>
                <w:sz w:val="24"/>
                <w:szCs w:val="24"/>
                <w:lang w:val="lt-LT"/>
              </w:rPr>
              <w:t>Sutarties kaina be PVM</w:t>
            </w:r>
            <w:r w:rsidRPr="00AD7B58">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6150C096" w14:textId="77777777" w:rsidTr="00CF3677">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884C6E" w:rsidRDefault="00DA481E" w:rsidP="009C6BB8">
            <w:pPr>
              <w:widowControl w:val="0"/>
              <w:jc w:val="right"/>
              <w:rPr>
                <w:b/>
                <w:szCs w:val="24"/>
                <w:lang w:val="lt-LT"/>
              </w:rPr>
            </w:pPr>
            <w:r w:rsidRPr="00884C6E">
              <w:rPr>
                <w:rStyle w:val="Pagrindinistekstas4Nekursyvas"/>
                <w:b/>
                <w:szCs w:val="24"/>
                <w:lang w:val="lt-LT"/>
              </w:rPr>
              <w:t>PVM</w:t>
            </w:r>
            <w:r w:rsidRPr="00884C6E">
              <w:rPr>
                <w:b/>
                <w:i/>
                <w:szCs w:val="24"/>
                <w:lang w:val="lt-LT"/>
              </w:rPr>
              <w:t xml:space="preserve"> </w:t>
            </w:r>
            <w:r w:rsidRPr="00884C6E">
              <w:rPr>
                <w:b/>
                <w:color w:val="FF0000"/>
                <w:szCs w:val="24"/>
                <w:lang w:val="lt-LT"/>
              </w:rPr>
              <w:t>(</w:t>
            </w:r>
            <w:r w:rsidRPr="00884C6E">
              <w:rPr>
                <w:rStyle w:val="Pagrindinistekstas40"/>
                <w:b/>
                <w:color w:val="FF0000"/>
                <w:sz w:val="24"/>
                <w:szCs w:val="24"/>
                <w:lang w:val="lt-LT"/>
              </w:rPr>
              <w:t>įrašykite tarifą</w:t>
            </w:r>
            <w:r w:rsidRPr="00884C6E">
              <w:rPr>
                <w:rStyle w:val="Pagrindinistekstas4Nekursyvas"/>
                <w:b/>
                <w:color w:val="FF0000"/>
                <w:szCs w:val="24"/>
                <w:lang w:val="lt-LT"/>
              </w:rPr>
              <w:t>)</w:t>
            </w:r>
            <w:r w:rsidRPr="00884C6E">
              <w:rPr>
                <w:rStyle w:val="Pagrindinistekstas4Nekursyvas"/>
                <w:b/>
                <w:szCs w:val="24"/>
                <w:lang w:val="lt-LT"/>
              </w:rPr>
              <w:t xml:space="preserve"> kaina</w:t>
            </w:r>
            <w:r w:rsidRPr="00884C6E">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16DA4437" w14:textId="77777777" w:rsidTr="00CF3677">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884C6E">
              <w:rPr>
                <w:rFonts w:ascii="Times New Roman" w:hAnsi="Times New Roman" w:cs="Times New Roman"/>
                <w:b/>
                <w:sz w:val="24"/>
                <w:szCs w:val="24"/>
                <w:lang w:val="lt-LT"/>
              </w:rPr>
              <w:t>Sutarties kaina su PVM</w:t>
            </w:r>
            <w:r w:rsidRPr="00884C6E">
              <w:rPr>
                <w:rFonts w:ascii="Times New Roman" w:hAnsi="Times New Roman" w:cs="Times New Roman"/>
                <w:b/>
                <w:sz w:val="24"/>
                <w:szCs w:val="24"/>
                <w:vertAlign w:val="superscript"/>
                <w:lang w:val="lt-LT"/>
              </w:rPr>
              <w:t>2:</w:t>
            </w:r>
          </w:p>
          <w:p w14:paraId="7B48D5A7" w14:textId="77777777" w:rsidR="00DA481E" w:rsidRPr="00884C6E"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884C6E" w:rsidRDefault="00DA481E" w:rsidP="009C6BB8">
            <w:pPr>
              <w:widowControl w:val="0"/>
              <w:rPr>
                <w:color w:val="FF0000"/>
                <w:lang w:val="lt-LT"/>
              </w:rPr>
            </w:pPr>
            <w:r w:rsidRPr="00884C6E">
              <w:rPr>
                <w:color w:val="FF0000"/>
                <w:lang w:val="lt-LT"/>
              </w:rPr>
              <w:t>įrašyti</w:t>
            </w:r>
          </w:p>
        </w:tc>
      </w:tr>
      <w:tr w:rsidR="00DA481E" w:rsidRPr="00884C6E" w14:paraId="5DF0F83C" w14:textId="77777777" w:rsidTr="00CF3677">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884C6E"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884C6E">
              <w:rPr>
                <w:rFonts w:ascii="Times New Roman" w:hAnsi="Times New Roman" w:cs="Times New Roman"/>
                <w:b/>
                <w:sz w:val="24"/>
                <w:szCs w:val="24"/>
                <w:lang w:val="lt-LT"/>
              </w:rPr>
              <w:t>Bendra kaina su PVM žodžiais:</w:t>
            </w:r>
            <w:r w:rsidRPr="00884C6E">
              <w:rPr>
                <w:rFonts w:ascii="Times New Roman" w:hAnsi="Times New Roman" w:cs="Times New Roman"/>
                <w:b/>
                <w:i/>
                <w:sz w:val="24"/>
                <w:szCs w:val="24"/>
                <w:lang w:val="lt-LT"/>
              </w:rPr>
              <w:t xml:space="preserve"> </w:t>
            </w:r>
            <w:r w:rsidRPr="00884C6E">
              <w:rPr>
                <w:rFonts w:ascii="Times New Roman" w:hAnsi="Times New Roman" w:cs="Times New Roman"/>
                <w:b/>
                <w:color w:val="FF0000"/>
                <w:sz w:val="24"/>
                <w:szCs w:val="24"/>
                <w:lang w:val="lt-LT"/>
              </w:rPr>
              <w:t>įrašyti</w:t>
            </w:r>
          </w:p>
        </w:tc>
      </w:tr>
    </w:tbl>
    <w:p w14:paraId="00700FC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Jei suma skaičiais neatitinka sumos žodžiais, teisinga laikoma suma žodžiais.</w:t>
      </w:r>
    </w:p>
    <w:p w14:paraId="661A3A67" w14:textId="77777777" w:rsidR="00DA481E" w:rsidRPr="00884C6E"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darbų pavadinimas turi atitikti įkainotų veiklų sąraše nurodytą pavadinimą.</w:t>
      </w:r>
    </w:p>
    <w:p w14:paraId="173F7DF4" w14:textId="77777777" w:rsidR="00DA481E" w:rsidRPr="00884C6E"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79CFB43B" w14:textId="77777777" w:rsidR="00DA481E" w:rsidRPr="00884C6E"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4ABF5372" w14:textId="52F16276" w:rsidR="00DA481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15B28DA" w14:textId="0C2DC2AF" w:rsidR="002D4A2E" w:rsidRPr="00884C6E" w:rsidRDefault="002D4A2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C00900">
            <w:pPr>
              <w:widowControl w:val="0"/>
              <w:jc w:val="center"/>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C00900">
            <w:pPr>
              <w:widowControl w:val="0"/>
              <w:jc w:val="center"/>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C00900">
            <w:pPr>
              <w:widowControl w:val="0"/>
              <w:jc w:val="center"/>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6B82236E" w:rsidR="00DA481E" w:rsidRPr="00884C6E" w:rsidRDefault="00C00900"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A96279F" w:rsidR="00DA481E" w:rsidRPr="00884C6E" w:rsidRDefault="00C00900"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6D7AF7EB" w:rsidR="00DA481E" w:rsidRPr="00884C6E" w:rsidRDefault="00C00900"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2185E7A3" w:rsidR="00DA481E" w:rsidRPr="00884C6E" w:rsidRDefault="00C00900"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726BA0F0" w14:textId="52926C85"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5FE6831B" w14:textId="6E679951" w:rsidR="009F1B8A" w:rsidRPr="003762E6" w:rsidRDefault="009F1B8A" w:rsidP="00F3733B">
      <w:pPr>
        <w:jc w:val="both"/>
        <w:rPr>
          <w:bCs/>
          <w:color w:val="000000" w:themeColor="text1"/>
          <w:szCs w:val="24"/>
          <w:lang w:val="lt-LT"/>
        </w:rPr>
      </w:pPr>
      <w:r>
        <w:rPr>
          <w:szCs w:val="24"/>
          <w:lang w:val="lt-LT"/>
        </w:rPr>
        <w:tab/>
      </w:r>
      <w:r w:rsidR="002D4A2E" w:rsidRPr="00ED7BAA">
        <w:rPr>
          <w:szCs w:val="24"/>
          <w:lang w:val="lt-LT"/>
        </w:rPr>
        <w:t xml:space="preserve">26. </w:t>
      </w:r>
      <w:r w:rsidR="003762E6" w:rsidRPr="003762E6">
        <w:rPr>
          <w:bCs/>
          <w:color w:val="000000"/>
          <w:szCs w:val="24"/>
          <w:shd w:val="clear" w:color="auto" w:fill="FFFFFF"/>
          <w:lang w:val="lt-LT"/>
        </w:rPr>
        <w:t>Vykdant darbus </w:t>
      </w:r>
      <w:r w:rsidR="003762E6" w:rsidRPr="003762E6">
        <w:rPr>
          <w:bCs/>
          <w:color w:val="000000"/>
          <w:szCs w:val="24"/>
          <w:bdr w:val="none" w:sz="0" w:space="0" w:color="auto" w:frame="1"/>
          <w:shd w:val="clear" w:color="auto" w:fill="FFFFFF"/>
          <w:lang w:val="lt-LT"/>
        </w:rPr>
        <w:t>Rangovas turi vadovautis 2015 m. lapkričio 24 d. Komisijos įgyvendinimo reglamento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nuostatomis, darbų atlikimui naudojant reglamento 1 priede aplinkosaugines aplinkai palankias prekes, nurodytas prekių ir paslaugų grupėje ,,Nuotekų valymo įrengimas ir vandentvarkai skirti vamzdžiai ir vamzdeliai“.</w:t>
      </w:r>
    </w:p>
    <w:p w14:paraId="565A05F4" w14:textId="028AF522" w:rsidR="002D4A2E" w:rsidRPr="003762E6" w:rsidRDefault="002D4A2E" w:rsidP="009F1B8A">
      <w:pPr>
        <w:pStyle w:val="Pagrindinistekstas2"/>
        <w:widowControl w:val="0"/>
        <w:shd w:val="clear" w:color="auto" w:fill="auto"/>
        <w:tabs>
          <w:tab w:val="left" w:pos="471"/>
        </w:tabs>
        <w:suppressAutoHyphens/>
        <w:spacing w:before="0" w:after="0" w:line="240" w:lineRule="auto"/>
        <w:ind w:firstLine="0"/>
        <w:jc w:val="both"/>
        <w:rPr>
          <w:rFonts w:ascii="Times New Roman" w:hAnsi="Times New Roman" w:cs="Times New Roman"/>
          <w:sz w:val="24"/>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77777777"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Ind w:w="-5" w:type="dxa"/>
        <w:tblLayout w:type="fixed"/>
        <w:tblCellMar>
          <w:left w:w="10" w:type="dxa"/>
          <w:right w:w="10" w:type="dxa"/>
        </w:tblCellMar>
        <w:tblLook w:val="04A0" w:firstRow="1" w:lastRow="0" w:firstColumn="1" w:lastColumn="0" w:noHBand="0" w:noVBand="1"/>
      </w:tblPr>
      <w:tblGrid>
        <w:gridCol w:w="1920"/>
        <w:gridCol w:w="2851"/>
        <w:gridCol w:w="1906"/>
        <w:gridCol w:w="3104"/>
      </w:tblGrid>
      <w:tr w:rsidR="00DA481E" w:rsidRPr="00884C6E" w14:paraId="7D8CD6F9" w14:textId="77777777" w:rsidTr="00F3733B">
        <w:trPr>
          <w:trHeight w:val="298"/>
        </w:trPr>
        <w:tc>
          <w:tcPr>
            <w:tcW w:w="4771"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F3733B">
            <w:pPr>
              <w:widowControl w:val="0"/>
              <w:jc w:val="center"/>
              <w:rPr>
                <w:b/>
                <w:szCs w:val="24"/>
                <w:lang w:val="lt-LT"/>
              </w:rPr>
            </w:pPr>
            <w:r w:rsidRPr="00884C6E">
              <w:rPr>
                <w:rStyle w:val="Pagrindinistekstas90"/>
                <w:rFonts w:ascii="Times New Roman" w:hAnsi="Times New Roman" w:cs="Times New Roman"/>
                <w:b/>
                <w:sz w:val="24"/>
                <w:szCs w:val="24"/>
                <w:lang w:val="lt-LT"/>
              </w:rPr>
              <w:t>Rangovas</w:t>
            </w:r>
          </w:p>
        </w:tc>
        <w:tc>
          <w:tcPr>
            <w:tcW w:w="5010"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F3733B">
            <w:pPr>
              <w:widowControl w:val="0"/>
              <w:jc w:val="center"/>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F3733B">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14:paraId="1F20116F" w14:textId="73375E57"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 xml:space="preserve">Vardas, </w:t>
            </w:r>
            <w:r>
              <w:rPr>
                <w:rFonts w:ascii="Times New Roman" w:hAnsi="Times New Roman" w:cs="Times New Roman"/>
                <w:sz w:val="24"/>
                <w:szCs w:val="24"/>
                <w:lang w:val="lt-LT"/>
              </w:rPr>
              <w:t>p</w:t>
            </w:r>
            <w:r w:rsidR="00DA481E" w:rsidRPr="00884C6E">
              <w:rPr>
                <w:rFonts w:ascii="Times New Roman" w:hAnsi="Times New Roman" w:cs="Times New Roman"/>
                <w:sz w:val="24"/>
                <w:szCs w:val="24"/>
                <w:lang w:val="lt-LT"/>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1F247A50"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 xml:space="preserve">Vardas, </w:t>
            </w:r>
            <w:r>
              <w:rPr>
                <w:rFonts w:ascii="Times New Roman" w:hAnsi="Times New Roman" w:cs="Times New Roman"/>
                <w:sz w:val="24"/>
                <w:szCs w:val="24"/>
                <w:lang w:val="lt-LT"/>
              </w:rPr>
              <w:t>p</w:t>
            </w:r>
            <w:r w:rsidR="00DA481E" w:rsidRPr="00884C6E">
              <w:rPr>
                <w:rFonts w:ascii="Times New Roman" w:hAnsi="Times New Roman" w:cs="Times New Roman"/>
                <w:sz w:val="24"/>
                <w:szCs w:val="24"/>
                <w:lang w:val="lt-LT"/>
              </w:rPr>
              <w:t>avardė</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F3733B">
        <w:trPr>
          <w:trHeight w:val="317"/>
        </w:trPr>
        <w:tc>
          <w:tcPr>
            <w:tcW w:w="1920" w:type="dxa"/>
            <w:tcBorders>
              <w:top w:val="single" w:sz="4" w:space="0" w:color="auto"/>
              <w:left w:val="single" w:sz="4" w:space="0" w:color="auto"/>
              <w:bottom w:val="single" w:sz="4" w:space="0" w:color="auto"/>
              <w:right w:val="single" w:sz="4" w:space="0" w:color="auto"/>
            </w:tcBorders>
            <w:shd w:val="clear" w:color="auto" w:fill="FFFFFF"/>
          </w:tcPr>
          <w:p w14:paraId="0F734F01" w14:textId="47ED26E0"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2E2B204D"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Pareigos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F3733B">
        <w:trPr>
          <w:trHeight w:val="312"/>
        </w:trPr>
        <w:tc>
          <w:tcPr>
            <w:tcW w:w="1920" w:type="dxa"/>
            <w:tcBorders>
              <w:top w:val="single" w:sz="4" w:space="0" w:color="auto"/>
              <w:left w:val="single" w:sz="4" w:space="0" w:color="auto"/>
              <w:bottom w:val="single" w:sz="4" w:space="0" w:color="auto"/>
              <w:right w:val="single" w:sz="4" w:space="0" w:color="auto"/>
            </w:tcBorders>
            <w:shd w:val="clear" w:color="auto" w:fill="FFFFFF"/>
          </w:tcPr>
          <w:p w14:paraId="3C779661" w14:textId="6FF92D39"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4782E4A4"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Parašas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F3733B">
        <w:trPr>
          <w:trHeight w:val="326"/>
        </w:trPr>
        <w:tc>
          <w:tcPr>
            <w:tcW w:w="1920" w:type="dxa"/>
            <w:tcBorders>
              <w:top w:val="single" w:sz="4" w:space="0" w:color="auto"/>
              <w:left w:val="single" w:sz="4" w:space="0" w:color="auto"/>
              <w:bottom w:val="single" w:sz="4" w:space="0" w:color="auto"/>
              <w:right w:val="single" w:sz="4" w:space="0" w:color="auto"/>
            </w:tcBorders>
            <w:shd w:val="clear" w:color="auto" w:fill="FFFFFF"/>
          </w:tcPr>
          <w:p w14:paraId="2036C348" w14:textId="4548D958"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038A4A0A" w:rsidR="00DA481E" w:rsidRPr="00884C6E" w:rsidRDefault="00F3733B"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A481E" w:rsidRPr="00884C6E">
              <w:rPr>
                <w:rFonts w:ascii="Times New Roman" w:hAnsi="Times New Roman" w:cs="Times New Roman"/>
                <w:sz w:val="24"/>
                <w:szCs w:val="24"/>
                <w:lang w:val="lt-LT"/>
              </w:rPr>
              <w:t>Data</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8"/>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30C019F5" w14:textId="5A80616B" w:rsidR="004E0F54" w:rsidRPr="003810CE" w:rsidRDefault="00DA481E" w:rsidP="004E0F54">
      <w:pPr>
        <w:tabs>
          <w:tab w:val="left" w:pos="851"/>
        </w:tabs>
        <w:ind w:firstLine="1134"/>
        <w:jc w:val="both"/>
        <w:rPr>
          <w:b/>
          <w:i/>
          <w:szCs w:val="24"/>
        </w:rPr>
      </w:pPr>
      <w:r w:rsidRPr="00884C6E">
        <w:rPr>
          <w:szCs w:val="24"/>
          <w:lang w:val="lt-LT"/>
        </w:rPr>
        <w:t>62.</w:t>
      </w:r>
      <w:r w:rsidRPr="00884C6E">
        <w:rPr>
          <w:szCs w:val="24"/>
          <w:lang w:val="lt-LT"/>
        </w:rPr>
        <w:tab/>
        <w:t xml:space="preserve">Elektroninės sąskaitos teikiamos per </w:t>
      </w:r>
      <w:r w:rsidR="004E0F54">
        <w:rPr>
          <w:szCs w:val="24"/>
          <w:lang w:val="lt-LT"/>
        </w:rPr>
        <w:t xml:space="preserve"> </w:t>
      </w:r>
      <w:proofErr w:type="spellStart"/>
      <w:r w:rsidR="004E0F54" w:rsidRPr="00E77B99">
        <w:rPr>
          <w:b/>
          <w:bCs/>
          <w:color w:val="091A5A"/>
          <w:szCs w:val="24"/>
          <w:shd w:val="clear" w:color="auto" w:fill="FFFFFF"/>
        </w:rPr>
        <w:t>Sąskaitų</w:t>
      </w:r>
      <w:proofErr w:type="spellEnd"/>
      <w:r w:rsidR="004E0F54" w:rsidRPr="00E77B99">
        <w:rPr>
          <w:b/>
          <w:bCs/>
          <w:color w:val="091A5A"/>
          <w:szCs w:val="24"/>
          <w:shd w:val="clear" w:color="auto" w:fill="FFFFFF"/>
        </w:rPr>
        <w:t xml:space="preserve"> </w:t>
      </w:r>
      <w:proofErr w:type="spellStart"/>
      <w:r w:rsidR="004E0F54" w:rsidRPr="00E77B99">
        <w:rPr>
          <w:b/>
          <w:bCs/>
          <w:color w:val="091A5A"/>
          <w:szCs w:val="24"/>
          <w:shd w:val="clear" w:color="auto" w:fill="FFFFFF"/>
        </w:rPr>
        <w:t>administravimo</w:t>
      </w:r>
      <w:proofErr w:type="spellEnd"/>
      <w:r w:rsidR="004E0F54" w:rsidRPr="00E77B99">
        <w:rPr>
          <w:b/>
          <w:bCs/>
          <w:color w:val="091A5A"/>
          <w:szCs w:val="24"/>
          <w:shd w:val="clear" w:color="auto" w:fill="FFFFFF"/>
        </w:rPr>
        <w:t xml:space="preserve"> </w:t>
      </w:r>
      <w:proofErr w:type="spellStart"/>
      <w:r w:rsidR="004E0F54" w:rsidRPr="00E77B99">
        <w:rPr>
          <w:b/>
          <w:bCs/>
          <w:color w:val="091A5A"/>
          <w:szCs w:val="24"/>
          <w:shd w:val="clear" w:color="auto" w:fill="FFFFFF"/>
        </w:rPr>
        <w:t>bendrąją</w:t>
      </w:r>
      <w:proofErr w:type="spellEnd"/>
      <w:r w:rsidR="004E0F54" w:rsidRPr="00E77B99">
        <w:rPr>
          <w:b/>
          <w:bCs/>
          <w:color w:val="091A5A"/>
          <w:szCs w:val="24"/>
          <w:shd w:val="clear" w:color="auto" w:fill="FFFFFF"/>
        </w:rPr>
        <w:t xml:space="preserve"> </w:t>
      </w:r>
      <w:proofErr w:type="spellStart"/>
      <w:r w:rsidR="004E0F54" w:rsidRPr="00E77B99">
        <w:rPr>
          <w:b/>
          <w:bCs/>
          <w:color w:val="091A5A"/>
          <w:szCs w:val="24"/>
          <w:shd w:val="clear" w:color="auto" w:fill="FFFFFF"/>
        </w:rPr>
        <w:t>informacinę</w:t>
      </w:r>
      <w:proofErr w:type="spellEnd"/>
      <w:r w:rsidR="004E0F54" w:rsidRPr="00E77B99">
        <w:rPr>
          <w:b/>
          <w:bCs/>
          <w:color w:val="091A5A"/>
          <w:szCs w:val="24"/>
          <w:shd w:val="clear" w:color="auto" w:fill="FFFFFF"/>
        </w:rPr>
        <w:t xml:space="preserve"> </w:t>
      </w:r>
      <w:proofErr w:type="spellStart"/>
      <w:r w:rsidR="004E0F54" w:rsidRPr="00E77B99">
        <w:rPr>
          <w:b/>
          <w:bCs/>
          <w:color w:val="091A5A"/>
          <w:szCs w:val="24"/>
          <w:shd w:val="clear" w:color="auto" w:fill="FFFFFF"/>
        </w:rPr>
        <w:t>sistemą</w:t>
      </w:r>
      <w:proofErr w:type="spellEnd"/>
      <w:r w:rsidR="004E0F54" w:rsidRPr="00E77B99">
        <w:rPr>
          <w:b/>
          <w:bCs/>
          <w:color w:val="091A5A"/>
          <w:szCs w:val="24"/>
          <w:shd w:val="clear" w:color="auto" w:fill="FFFFFF"/>
        </w:rPr>
        <w:t xml:space="preserve"> (SABIS)</w:t>
      </w:r>
      <w:r w:rsidR="004E0F54">
        <w:rPr>
          <w:szCs w:val="24"/>
        </w:rPr>
        <w:t>.</w:t>
      </w:r>
    </w:p>
    <w:p w14:paraId="75067F95" w14:textId="54B0A624"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Jei Rangovas pateikia popierinę sąskaitą arba sąskaitą pateikia kitomis priemonėmis, laikoma, kad sąskaita Pirkėjui nepateikta ir Pirkėjas turi teisę tokios sąskaitos neapmokėti.</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544A27"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5C8F51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2 priedo dalis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884C6E" w:rsidRDefault="00DA481E" w:rsidP="00DA481E">
      <w:pPr>
        <w:pStyle w:val="Stilius5"/>
        <w:widowControl w:val="0"/>
        <w:suppressAutoHyphens/>
        <w:outlineLvl w:val="0"/>
        <w:rPr>
          <w:sz w:val="24"/>
          <w:szCs w:val="24"/>
        </w:rPr>
      </w:pPr>
      <w:r w:rsidRPr="00884C6E">
        <w:rPr>
          <w:sz w:val="24"/>
          <w:szCs w:val="24"/>
        </w:rPr>
        <w:t>Veiklų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6"/>
        <w:gridCol w:w="2373"/>
        <w:gridCol w:w="2073"/>
        <w:gridCol w:w="1985"/>
        <w:gridCol w:w="1749"/>
        <w:gridCol w:w="1130"/>
      </w:tblGrid>
      <w:tr w:rsidR="00BF28AB" w:rsidRPr="00884C6E" w14:paraId="5BF4977C" w14:textId="77777777" w:rsidTr="00BF28AB">
        <w:trPr>
          <w:trHeight w:val="355"/>
        </w:trPr>
        <w:tc>
          <w:tcPr>
            <w:tcW w:w="343" w:type="pct"/>
            <w:vMerge w:val="restart"/>
            <w:vAlign w:val="center"/>
          </w:tcPr>
          <w:p w14:paraId="006249B3" w14:textId="77777777" w:rsidR="00BF28AB" w:rsidRDefault="00BF28AB" w:rsidP="009C6BB8">
            <w:pPr>
              <w:widowControl w:val="0"/>
              <w:ind w:right="-113"/>
              <w:jc w:val="center"/>
              <w:rPr>
                <w:b/>
                <w:lang w:val="lt-LT"/>
              </w:rPr>
            </w:pPr>
            <w:r w:rsidRPr="00884C6E">
              <w:rPr>
                <w:b/>
                <w:lang w:val="lt-LT"/>
              </w:rPr>
              <w:t xml:space="preserve">Eil. </w:t>
            </w:r>
          </w:p>
          <w:p w14:paraId="257D083E" w14:textId="5CB755C5" w:rsidR="00BF28AB" w:rsidRPr="00884C6E" w:rsidRDefault="00BF28AB" w:rsidP="009C6BB8">
            <w:pPr>
              <w:widowControl w:val="0"/>
              <w:ind w:right="-113"/>
              <w:jc w:val="center"/>
              <w:rPr>
                <w:b/>
                <w:iCs/>
                <w:lang w:val="lt-LT"/>
              </w:rPr>
            </w:pPr>
            <w:r w:rsidRPr="00884C6E">
              <w:rPr>
                <w:b/>
                <w:lang w:val="lt-LT"/>
              </w:rPr>
              <w:t>Nr.</w:t>
            </w:r>
          </w:p>
        </w:tc>
        <w:tc>
          <w:tcPr>
            <w:tcW w:w="1187" w:type="pct"/>
            <w:vMerge w:val="restart"/>
            <w:vAlign w:val="center"/>
          </w:tcPr>
          <w:p w14:paraId="48B1F7AF" w14:textId="77777777" w:rsidR="00BF28AB" w:rsidRPr="008C4292" w:rsidRDefault="00BF28AB" w:rsidP="009C6BB8">
            <w:pPr>
              <w:pStyle w:val="Antrat5"/>
              <w:keepNext w:val="0"/>
              <w:widowControl w:val="0"/>
              <w:numPr>
                <w:ilvl w:val="0"/>
                <w:numId w:val="0"/>
              </w:numPr>
              <w:suppressAutoHyphens/>
              <w:ind w:left="73"/>
              <w:jc w:val="center"/>
              <w:rPr>
                <w:sz w:val="24"/>
                <w:szCs w:val="24"/>
              </w:rPr>
            </w:pPr>
          </w:p>
          <w:p w14:paraId="6E77C126" w14:textId="77777777" w:rsidR="00BF28AB" w:rsidRPr="008C4292" w:rsidRDefault="00BF28AB" w:rsidP="009C6BB8">
            <w:pPr>
              <w:pStyle w:val="Antrat5"/>
              <w:keepNext w:val="0"/>
              <w:widowControl w:val="0"/>
              <w:numPr>
                <w:ilvl w:val="0"/>
                <w:numId w:val="0"/>
              </w:numPr>
              <w:suppressAutoHyphens/>
              <w:ind w:left="73"/>
              <w:jc w:val="center"/>
              <w:rPr>
                <w:sz w:val="24"/>
                <w:szCs w:val="24"/>
              </w:rPr>
            </w:pPr>
          </w:p>
          <w:p w14:paraId="0339C113" w14:textId="77777777" w:rsidR="00BF28AB" w:rsidRPr="008C4292" w:rsidRDefault="00BF28AB" w:rsidP="009C6BB8">
            <w:pPr>
              <w:pStyle w:val="Antrat5"/>
              <w:keepNext w:val="0"/>
              <w:widowControl w:val="0"/>
              <w:numPr>
                <w:ilvl w:val="0"/>
                <w:numId w:val="0"/>
              </w:numPr>
              <w:suppressAutoHyphens/>
              <w:ind w:left="73"/>
              <w:jc w:val="center"/>
              <w:rPr>
                <w:sz w:val="24"/>
                <w:szCs w:val="24"/>
              </w:rPr>
            </w:pPr>
          </w:p>
          <w:p w14:paraId="59B0A987" w14:textId="77777777" w:rsidR="00BF28AB" w:rsidRPr="008C4292" w:rsidRDefault="00BF28AB" w:rsidP="009C6BB8">
            <w:pPr>
              <w:pStyle w:val="Antrat5"/>
              <w:keepNext w:val="0"/>
              <w:widowControl w:val="0"/>
              <w:numPr>
                <w:ilvl w:val="0"/>
                <w:numId w:val="0"/>
              </w:numPr>
              <w:suppressAutoHyphens/>
              <w:ind w:left="73"/>
              <w:jc w:val="center"/>
              <w:rPr>
                <w:sz w:val="24"/>
                <w:szCs w:val="24"/>
              </w:rPr>
            </w:pPr>
            <w:r w:rsidRPr="008C4292">
              <w:rPr>
                <w:sz w:val="24"/>
                <w:szCs w:val="24"/>
              </w:rPr>
              <w:t>Darbų gupių (etapų) pavadinimai</w:t>
            </w:r>
          </w:p>
          <w:p w14:paraId="69647FA7" w14:textId="77777777" w:rsidR="00BF28AB" w:rsidRPr="008C4292" w:rsidRDefault="00BF28AB" w:rsidP="009C6BB8">
            <w:pPr>
              <w:widowControl w:val="0"/>
              <w:ind w:left="73"/>
              <w:jc w:val="center"/>
              <w:rPr>
                <w:lang w:val="lt-LT"/>
              </w:rPr>
            </w:pPr>
          </w:p>
          <w:p w14:paraId="4F8211D1" w14:textId="77777777" w:rsidR="00BF28AB" w:rsidRPr="008C4292" w:rsidRDefault="00BF28AB" w:rsidP="009C6BB8">
            <w:pPr>
              <w:widowControl w:val="0"/>
              <w:ind w:left="73"/>
              <w:jc w:val="center"/>
              <w:rPr>
                <w:lang w:val="lt-LT"/>
              </w:rPr>
            </w:pPr>
          </w:p>
        </w:tc>
        <w:tc>
          <w:tcPr>
            <w:tcW w:w="2905" w:type="pct"/>
            <w:gridSpan w:val="3"/>
            <w:vAlign w:val="center"/>
          </w:tcPr>
          <w:p w14:paraId="6BD32C4D" w14:textId="6E688836" w:rsidR="00BF28AB" w:rsidRPr="00884C6E" w:rsidRDefault="00BF28AB" w:rsidP="009C6BB8">
            <w:pPr>
              <w:widowControl w:val="0"/>
              <w:jc w:val="center"/>
              <w:rPr>
                <w:b/>
                <w:i/>
                <w:lang w:val="lt-LT"/>
              </w:rPr>
            </w:pPr>
            <w:r w:rsidRPr="00884C6E">
              <w:rPr>
                <w:b/>
                <w:i/>
                <w:lang w:val="lt-LT"/>
              </w:rPr>
              <w:t>Darbų grupės (etapo) kainos mėnesinis išskaidymas procentais pagal Rangovo planuojamą Darbų grupės (etapo) įvykdymą</w:t>
            </w:r>
          </w:p>
        </w:tc>
        <w:tc>
          <w:tcPr>
            <w:tcW w:w="565" w:type="pct"/>
            <w:vAlign w:val="center"/>
          </w:tcPr>
          <w:p w14:paraId="2E074910" w14:textId="65A7A789" w:rsidR="00BF28AB" w:rsidRPr="00884C6E" w:rsidRDefault="00BF28AB" w:rsidP="009C6BB8">
            <w:pPr>
              <w:widowControl w:val="0"/>
              <w:jc w:val="center"/>
              <w:rPr>
                <w:b/>
                <w:i/>
                <w:lang w:val="lt-LT"/>
              </w:rPr>
            </w:pPr>
            <w:bookmarkStart w:id="3" w:name="_Toc73434231"/>
            <w:bookmarkStart w:id="4" w:name="_Toc73434344"/>
            <w:bookmarkStart w:id="5" w:name="_Toc76448822"/>
            <w:bookmarkStart w:id="6" w:name="_Toc112567501"/>
          </w:p>
          <w:p w14:paraId="688AB3DE" w14:textId="77777777" w:rsidR="00BF28AB" w:rsidRPr="00884C6E" w:rsidRDefault="00BF28AB" w:rsidP="009C6BB8">
            <w:pPr>
              <w:widowControl w:val="0"/>
              <w:jc w:val="center"/>
              <w:rPr>
                <w:b/>
                <w:i/>
                <w:lang w:val="lt-LT"/>
              </w:rPr>
            </w:pPr>
            <w:r w:rsidRPr="00884C6E">
              <w:rPr>
                <w:b/>
                <w:i/>
                <w:lang w:val="lt-LT"/>
              </w:rPr>
              <w:t xml:space="preserve">Kaina </w:t>
            </w:r>
            <w:bookmarkStart w:id="7" w:name="_Toc42509141"/>
            <w:r w:rsidRPr="00884C6E">
              <w:rPr>
                <w:b/>
                <w:i/>
                <w:lang w:val="lt-LT"/>
              </w:rPr>
              <w:t>(Eur) be PVM</w:t>
            </w:r>
            <w:bookmarkEnd w:id="3"/>
            <w:bookmarkEnd w:id="4"/>
            <w:bookmarkEnd w:id="5"/>
            <w:bookmarkEnd w:id="6"/>
            <w:bookmarkEnd w:id="7"/>
            <w:r w:rsidRPr="00884C6E">
              <w:rPr>
                <w:b/>
                <w:i/>
                <w:lang w:val="lt-LT"/>
              </w:rPr>
              <w:t xml:space="preserve"> </w:t>
            </w:r>
          </w:p>
          <w:p w14:paraId="2C23294F" w14:textId="77777777" w:rsidR="00BF28AB" w:rsidRPr="00884C6E" w:rsidRDefault="00BF28AB" w:rsidP="009C6BB8">
            <w:pPr>
              <w:widowControl w:val="0"/>
              <w:jc w:val="center"/>
              <w:rPr>
                <w:i/>
                <w:lang w:val="lt-LT"/>
              </w:rPr>
            </w:pPr>
          </w:p>
        </w:tc>
      </w:tr>
      <w:tr w:rsidR="00BF28AB" w:rsidRPr="000B213D" w14:paraId="5851A0C0" w14:textId="77777777" w:rsidTr="00BF28AB">
        <w:trPr>
          <w:cantSplit/>
          <w:trHeight w:val="1134"/>
        </w:trPr>
        <w:tc>
          <w:tcPr>
            <w:tcW w:w="343" w:type="pct"/>
            <w:vMerge/>
          </w:tcPr>
          <w:p w14:paraId="7C38CB76" w14:textId="77777777" w:rsidR="00BF28AB" w:rsidRPr="001F3746" w:rsidRDefault="00BF28AB" w:rsidP="00ED7BAA">
            <w:pPr>
              <w:widowControl w:val="0"/>
              <w:jc w:val="center"/>
              <w:rPr>
                <w:b/>
                <w:bCs/>
                <w:color w:val="000000" w:themeColor="text1"/>
                <w:lang w:val="lt-LT"/>
              </w:rPr>
            </w:pPr>
          </w:p>
        </w:tc>
        <w:tc>
          <w:tcPr>
            <w:tcW w:w="1187" w:type="pct"/>
            <w:vMerge/>
            <w:vAlign w:val="center"/>
          </w:tcPr>
          <w:p w14:paraId="29E263BB" w14:textId="77777777" w:rsidR="00BF28AB" w:rsidRPr="008C4292" w:rsidRDefault="00BF28AB" w:rsidP="00551A07">
            <w:pPr>
              <w:widowControl w:val="0"/>
              <w:rPr>
                <w:color w:val="000000" w:themeColor="text1"/>
                <w:szCs w:val="24"/>
                <w:lang w:val="lt-LT"/>
              </w:rPr>
            </w:pPr>
          </w:p>
        </w:tc>
        <w:tc>
          <w:tcPr>
            <w:tcW w:w="1037" w:type="pct"/>
          </w:tcPr>
          <w:p w14:paraId="6B5C0DF7" w14:textId="7AB62A64" w:rsidR="00BF28AB" w:rsidRPr="0051061A" w:rsidRDefault="00BF28AB" w:rsidP="008805A3">
            <w:pPr>
              <w:widowControl w:val="0"/>
              <w:spacing w:before="120"/>
              <w:jc w:val="center"/>
              <w:rPr>
                <w:b/>
                <w:bCs/>
                <w:lang w:val="lt-LT"/>
              </w:rPr>
            </w:pPr>
            <w:r w:rsidRPr="0051061A">
              <w:rPr>
                <w:b/>
                <w:bCs/>
                <w:lang w:val="lt-LT"/>
              </w:rPr>
              <w:t>I mėnuo</w:t>
            </w:r>
          </w:p>
        </w:tc>
        <w:tc>
          <w:tcPr>
            <w:tcW w:w="993" w:type="pct"/>
          </w:tcPr>
          <w:p w14:paraId="35979C65" w14:textId="49DBF262" w:rsidR="00BF28AB" w:rsidRPr="00884C6E" w:rsidRDefault="00BF28AB" w:rsidP="00653475">
            <w:pPr>
              <w:widowControl w:val="0"/>
              <w:spacing w:before="120"/>
              <w:jc w:val="center"/>
              <w:rPr>
                <w:lang w:val="lt-LT"/>
              </w:rPr>
            </w:pPr>
            <w:r>
              <w:rPr>
                <w:b/>
                <w:bCs/>
                <w:lang w:val="lt-LT"/>
              </w:rPr>
              <w:t>I</w:t>
            </w:r>
            <w:r w:rsidRPr="0051061A">
              <w:rPr>
                <w:b/>
                <w:bCs/>
                <w:lang w:val="lt-LT"/>
              </w:rPr>
              <w:t>I mėnuo</w:t>
            </w:r>
          </w:p>
        </w:tc>
        <w:tc>
          <w:tcPr>
            <w:tcW w:w="875" w:type="pct"/>
          </w:tcPr>
          <w:p w14:paraId="7918AE24" w14:textId="5E48CE17" w:rsidR="00BF28AB" w:rsidRPr="00884C6E" w:rsidRDefault="00BF28AB" w:rsidP="00BF28AB">
            <w:pPr>
              <w:widowControl w:val="0"/>
              <w:spacing w:before="120"/>
              <w:jc w:val="center"/>
              <w:rPr>
                <w:lang w:val="lt-LT"/>
              </w:rPr>
            </w:pPr>
            <w:r>
              <w:rPr>
                <w:b/>
                <w:bCs/>
                <w:lang w:val="lt-LT"/>
              </w:rPr>
              <w:t>II</w:t>
            </w:r>
            <w:r w:rsidRPr="0051061A">
              <w:rPr>
                <w:b/>
                <w:bCs/>
                <w:lang w:val="lt-LT"/>
              </w:rPr>
              <w:t>I mėnuo</w:t>
            </w:r>
          </w:p>
        </w:tc>
        <w:tc>
          <w:tcPr>
            <w:tcW w:w="565" w:type="pct"/>
          </w:tcPr>
          <w:p w14:paraId="45909FDC" w14:textId="296DEC8D" w:rsidR="00BF28AB" w:rsidRPr="00884C6E" w:rsidRDefault="00BF28AB" w:rsidP="00551A07">
            <w:pPr>
              <w:widowControl w:val="0"/>
              <w:spacing w:before="120"/>
              <w:jc w:val="right"/>
              <w:rPr>
                <w:lang w:val="lt-LT"/>
              </w:rPr>
            </w:pPr>
          </w:p>
        </w:tc>
      </w:tr>
      <w:tr w:rsidR="00BF28AB" w:rsidRPr="000B213D" w14:paraId="0293F5E7" w14:textId="77777777" w:rsidTr="00BF28AB">
        <w:tc>
          <w:tcPr>
            <w:tcW w:w="343" w:type="pct"/>
          </w:tcPr>
          <w:p w14:paraId="6F9251F7" w14:textId="27F73FB3" w:rsidR="00BF28AB" w:rsidRPr="001F3746" w:rsidRDefault="00BF28AB" w:rsidP="00ED7BAA">
            <w:pPr>
              <w:widowControl w:val="0"/>
              <w:jc w:val="center"/>
              <w:rPr>
                <w:b/>
                <w:bCs/>
                <w:color w:val="000000" w:themeColor="text1"/>
                <w:lang w:val="lt-LT"/>
              </w:rPr>
            </w:pPr>
            <w:r w:rsidRPr="001F3746">
              <w:rPr>
                <w:b/>
                <w:bCs/>
                <w:color w:val="000000" w:themeColor="text1"/>
                <w:lang w:val="lt-LT"/>
              </w:rPr>
              <w:t>1.</w:t>
            </w:r>
          </w:p>
        </w:tc>
        <w:tc>
          <w:tcPr>
            <w:tcW w:w="1187" w:type="pct"/>
            <w:vAlign w:val="center"/>
          </w:tcPr>
          <w:p w14:paraId="5B5F5908" w14:textId="07E3D46C" w:rsidR="00BF28AB" w:rsidRPr="00661DF1" w:rsidRDefault="009D6A81" w:rsidP="00551A07">
            <w:pPr>
              <w:widowControl w:val="0"/>
              <w:rPr>
                <w:b/>
                <w:bCs/>
                <w:iCs/>
                <w:highlight w:val="lightGray"/>
                <w:lang w:val="lt-LT"/>
              </w:rPr>
            </w:pPr>
            <w:r w:rsidRPr="00661DF1">
              <w:rPr>
                <w:b/>
                <w:bCs/>
                <w:szCs w:val="24"/>
              </w:rPr>
              <w:t>Van</w:t>
            </w:r>
            <w:proofErr w:type="spellStart"/>
            <w:r w:rsidRPr="00C61A2A">
              <w:rPr>
                <w:b/>
                <w:bCs/>
                <w:szCs w:val="24"/>
                <w:lang w:val="lt-LT"/>
              </w:rPr>
              <w:t>dentiekio</w:t>
            </w:r>
            <w:proofErr w:type="spellEnd"/>
            <w:r w:rsidRPr="00C61A2A">
              <w:rPr>
                <w:b/>
                <w:bCs/>
                <w:szCs w:val="24"/>
                <w:lang w:val="lt-LT"/>
              </w:rPr>
              <w:t xml:space="preserve"> tinklų įrengimas</w:t>
            </w:r>
          </w:p>
        </w:tc>
        <w:tc>
          <w:tcPr>
            <w:tcW w:w="1037" w:type="pct"/>
          </w:tcPr>
          <w:p w14:paraId="0FD76648" w14:textId="77777777" w:rsidR="00BF28AB" w:rsidRPr="00884C6E" w:rsidRDefault="00BF28AB" w:rsidP="00551A07">
            <w:pPr>
              <w:widowControl w:val="0"/>
              <w:spacing w:before="120"/>
              <w:jc w:val="right"/>
              <w:rPr>
                <w:lang w:val="lt-LT"/>
              </w:rPr>
            </w:pPr>
          </w:p>
        </w:tc>
        <w:tc>
          <w:tcPr>
            <w:tcW w:w="993" w:type="pct"/>
          </w:tcPr>
          <w:p w14:paraId="465402FF" w14:textId="77777777" w:rsidR="00BF28AB" w:rsidRPr="00884C6E" w:rsidRDefault="00BF28AB" w:rsidP="00551A07">
            <w:pPr>
              <w:widowControl w:val="0"/>
              <w:spacing w:before="120"/>
              <w:jc w:val="right"/>
              <w:rPr>
                <w:lang w:val="lt-LT"/>
              </w:rPr>
            </w:pPr>
          </w:p>
        </w:tc>
        <w:tc>
          <w:tcPr>
            <w:tcW w:w="875" w:type="pct"/>
          </w:tcPr>
          <w:p w14:paraId="32AB7FBE" w14:textId="77777777" w:rsidR="00BF28AB" w:rsidRPr="00884C6E" w:rsidRDefault="00BF28AB" w:rsidP="00551A07">
            <w:pPr>
              <w:widowControl w:val="0"/>
              <w:spacing w:before="120"/>
              <w:jc w:val="right"/>
              <w:rPr>
                <w:lang w:val="lt-LT"/>
              </w:rPr>
            </w:pPr>
          </w:p>
        </w:tc>
        <w:tc>
          <w:tcPr>
            <w:tcW w:w="565" w:type="pct"/>
          </w:tcPr>
          <w:p w14:paraId="557B9F1D" w14:textId="1C66E6A8" w:rsidR="00BF28AB" w:rsidRPr="00884C6E" w:rsidRDefault="00BF28AB" w:rsidP="00551A07">
            <w:pPr>
              <w:widowControl w:val="0"/>
              <w:spacing w:before="120"/>
              <w:jc w:val="right"/>
              <w:rPr>
                <w:lang w:val="lt-LT"/>
              </w:rPr>
            </w:pPr>
          </w:p>
        </w:tc>
      </w:tr>
      <w:tr w:rsidR="00BF28AB" w:rsidRPr="000B213D" w14:paraId="7904EFF6" w14:textId="77777777" w:rsidTr="00BF28AB">
        <w:tc>
          <w:tcPr>
            <w:tcW w:w="343" w:type="pct"/>
          </w:tcPr>
          <w:p w14:paraId="3B32C7AA" w14:textId="13B21DE2" w:rsidR="00BF28AB" w:rsidRPr="001F3746" w:rsidRDefault="00BF28AB" w:rsidP="00ED7BAA">
            <w:pPr>
              <w:widowControl w:val="0"/>
              <w:jc w:val="center"/>
              <w:rPr>
                <w:b/>
                <w:bCs/>
                <w:color w:val="000000" w:themeColor="text1"/>
                <w:lang w:val="lt-LT"/>
              </w:rPr>
            </w:pPr>
            <w:r w:rsidRPr="001F3746">
              <w:rPr>
                <w:b/>
                <w:bCs/>
                <w:color w:val="000000" w:themeColor="text1"/>
                <w:lang w:val="lt-LT"/>
              </w:rPr>
              <w:t>2.</w:t>
            </w:r>
          </w:p>
        </w:tc>
        <w:tc>
          <w:tcPr>
            <w:tcW w:w="1187" w:type="pct"/>
            <w:vAlign w:val="center"/>
          </w:tcPr>
          <w:p w14:paraId="26228C8B" w14:textId="260EA1DE" w:rsidR="00BF28AB" w:rsidRPr="00661DF1" w:rsidRDefault="00661DF1" w:rsidP="00551A07">
            <w:pPr>
              <w:widowControl w:val="0"/>
              <w:rPr>
                <w:b/>
                <w:bCs/>
                <w:szCs w:val="24"/>
                <w:shd w:val="clear" w:color="auto" w:fill="FFFFFF"/>
                <w:lang w:val="lt-LT"/>
              </w:rPr>
            </w:pPr>
            <w:proofErr w:type="spellStart"/>
            <w:r w:rsidRPr="00661DF1">
              <w:rPr>
                <w:b/>
                <w:bCs/>
                <w:szCs w:val="24"/>
              </w:rPr>
              <w:t>Vandentiekio</w:t>
            </w:r>
            <w:proofErr w:type="spellEnd"/>
            <w:r w:rsidRPr="00661DF1">
              <w:rPr>
                <w:b/>
                <w:bCs/>
                <w:szCs w:val="24"/>
              </w:rPr>
              <w:t xml:space="preserve"> </w:t>
            </w:r>
            <w:proofErr w:type="spellStart"/>
            <w:r w:rsidRPr="00661DF1">
              <w:rPr>
                <w:b/>
                <w:bCs/>
                <w:szCs w:val="24"/>
              </w:rPr>
              <w:t>tinklų</w:t>
            </w:r>
            <w:proofErr w:type="spellEnd"/>
            <w:r w:rsidRPr="00661DF1">
              <w:rPr>
                <w:b/>
                <w:bCs/>
                <w:szCs w:val="24"/>
              </w:rPr>
              <w:t xml:space="preserve"> </w:t>
            </w:r>
            <w:proofErr w:type="spellStart"/>
            <w:r w:rsidRPr="00661DF1">
              <w:rPr>
                <w:b/>
                <w:bCs/>
                <w:szCs w:val="24"/>
              </w:rPr>
              <w:t>remontas</w:t>
            </w:r>
            <w:proofErr w:type="spellEnd"/>
          </w:p>
        </w:tc>
        <w:tc>
          <w:tcPr>
            <w:tcW w:w="1037" w:type="pct"/>
          </w:tcPr>
          <w:p w14:paraId="6A9C98AE" w14:textId="77777777" w:rsidR="00BF28AB" w:rsidRPr="00884C6E" w:rsidRDefault="00BF28AB" w:rsidP="00551A07">
            <w:pPr>
              <w:widowControl w:val="0"/>
              <w:spacing w:before="120"/>
              <w:jc w:val="right"/>
              <w:rPr>
                <w:lang w:val="lt-LT"/>
              </w:rPr>
            </w:pPr>
          </w:p>
        </w:tc>
        <w:tc>
          <w:tcPr>
            <w:tcW w:w="993" w:type="pct"/>
          </w:tcPr>
          <w:p w14:paraId="42865C4C" w14:textId="77777777" w:rsidR="00BF28AB" w:rsidRPr="00884C6E" w:rsidRDefault="00BF28AB" w:rsidP="00551A07">
            <w:pPr>
              <w:widowControl w:val="0"/>
              <w:spacing w:before="120"/>
              <w:jc w:val="right"/>
              <w:rPr>
                <w:lang w:val="lt-LT"/>
              </w:rPr>
            </w:pPr>
          </w:p>
        </w:tc>
        <w:tc>
          <w:tcPr>
            <w:tcW w:w="875" w:type="pct"/>
          </w:tcPr>
          <w:p w14:paraId="2D843392" w14:textId="77777777" w:rsidR="00BF28AB" w:rsidRPr="00884C6E" w:rsidRDefault="00BF28AB" w:rsidP="00551A07">
            <w:pPr>
              <w:widowControl w:val="0"/>
              <w:spacing w:before="120"/>
              <w:jc w:val="right"/>
              <w:rPr>
                <w:lang w:val="lt-LT"/>
              </w:rPr>
            </w:pPr>
          </w:p>
        </w:tc>
        <w:tc>
          <w:tcPr>
            <w:tcW w:w="565" w:type="pct"/>
          </w:tcPr>
          <w:p w14:paraId="149A2833" w14:textId="659202D9" w:rsidR="00BF28AB" w:rsidRPr="00884C6E" w:rsidRDefault="00BF28AB" w:rsidP="00551A07">
            <w:pPr>
              <w:widowControl w:val="0"/>
              <w:spacing w:before="120"/>
              <w:jc w:val="right"/>
              <w:rPr>
                <w:lang w:val="lt-LT"/>
              </w:rPr>
            </w:pPr>
          </w:p>
        </w:tc>
      </w:tr>
      <w:tr w:rsidR="00BF28AB" w:rsidRPr="00884C6E" w14:paraId="59E3655B" w14:textId="77777777" w:rsidTr="00BF28AB">
        <w:trPr>
          <w:trHeight w:val="277"/>
        </w:trPr>
        <w:tc>
          <w:tcPr>
            <w:tcW w:w="4435" w:type="pct"/>
            <w:gridSpan w:val="5"/>
          </w:tcPr>
          <w:p w14:paraId="4627AC97" w14:textId="02C4CDF9" w:rsidR="00BF28AB" w:rsidRPr="00884C6E" w:rsidRDefault="00BF28AB" w:rsidP="00551A07">
            <w:pPr>
              <w:widowControl w:val="0"/>
              <w:ind w:left="-1383" w:firstLine="1383"/>
              <w:jc w:val="right"/>
              <w:rPr>
                <w:lang w:val="lt-LT"/>
              </w:rPr>
            </w:pPr>
            <w:r w:rsidRPr="00884C6E">
              <w:rPr>
                <w:b/>
                <w:lang w:val="lt-LT"/>
              </w:rPr>
              <w:t xml:space="preserve">Suma </w:t>
            </w:r>
            <w:r w:rsidRPr="00884C6E">
              <w:rPr>
                <w:b/>
                <w:bCs/>
                <w:lang w:val="lt-LT"/>
              </w:rPr>
              <w:t>be PVM (Eur):</w:t>
            </w:r>
          </w:p>
        </w:tc>
        <w:tc>
          <w:tcPr>
            <w:tcW w:w="565" w:type="pct"/>
          </w:tcPr>
          <w:p w14:paraId="30B63A32" w14:textId="72D08FC0" w:rsidR="00BF28AB" w:rsidRPr="00884C6E" w:rsidRDefault="00BF28AB" w:rsidP="00551A07">
            <w:pPr>
              <w:widowControl w:val="0"/>
              <w:ind w:left="-1383" w:firstLine="1383"/>
              <w:jc w:val="right"/>
              <w:rPr>
                <w:lang w:val="lt-LT"/>
              </w:rPr>
            </w:pPr>
          </w:p>
        </w:tc>
      </w:tr>
      <w:tr w:rsidR="00BF28AB" w:rsidRPr="00884C6E" w14:paraId="60C6A90C" w14:textId="77777777" w:rsidTr="00BF28AB">
        <w:trPr>
          <w:trHeight w:val="147"/>
        </w:trPr>
        <w:tc>
          <w:tcPr>
            <w:tcW w:w="4435" w:type="pct"/>
            <w:gridSpan w:val="5"/>
          </w:tcPr>
          <w:p w14:paraId="0CD2288C" w14:textId="0A983072" w:rsidR="00BF28AB" w:rsidRPr="00884C6E" w:rsidRDefault="00BF28AB" w:rsidP="00551A07">
            <w:pPr>
              <w:widowControl w:val="0"/>
              <w:jc w:val="right"/>
              <w:rPr>
                <w:lang w:val="lt-LT"/>
              </w:rPr>
            </w:pPr>
            <w:r w:rsidRPr="00884C6E">
              <w:rPr>
                <w:b/>
                <w:lang w:val="lt-LT"/>
              </w:rPr>
              <w:t xml:space="preserve">PVM </w:t>
            </w:r>
            <w:r w:rsidRPr="00884C6E">
              <w:rPr>
                <w:b/>
                <w:i/>
                <w:color w:val="000000" w:themeColor="text1"/>
                <w:lang w:val="lt-LT"/>
              </w:rPr>
              <w:t>[tarifas]</w:t>
            </w:r>
            <w:r w:rsidRPr="00884C6E">
              <w:rPr>
                <w:b/>
                <w:lang w:val="lt-LT"/>
              </w:rPr>
              <w:t>:</w:t>
            </w:r>
          </w:p>
        </w:tc>
        <w:tc>
          <w:tcPr>
            <w:tcW w:w="565" w:type="pct"/>
          </w:tcPr>
          <w:p w14:paraId="3556DF70" w14:textId="2B162D3C" w:rsidR="00BF28AB" w:rsidRPr="00884C6E" w:rsidRDefault="00BF28AB" w:rsidP="00551A07">
            <w:pPr>
              <w:widowControl w:val="0"/>
              <w:jc w:val="right"/>
              <w:rPr>
                <w:lang w:val="lt-LT"/>
              </w:rPr>
            </w:pPr>
          </w:p>
        </w:tc>
      </w:tr>
      <w:tr w:rsidR="00BF28AB" w:rsidRPr="007D4399" w14:paraId="48A7A8C4" w14:textId="77777777" w:rsidTr="00BF28AB">
        <w:trPr>
          <w:trHeight w:val="147"/>
        </w:trPr>
        <w:tc>
          <w:tcPr>
            <w:tcW w:w="4435" w:type="pct"/>
            <w:gridSpan w:val="5"/>
          </w:tcPr>
          <w:p w14:paraId="0B879CCB" w14:textId="2DD83760" w:rsidR="00BF28AB" w:rsidRPr="00884C6E" w:rsidRDefault="00BF28AB" w:rsidP="00551A07">
            <w:pPr>
              <w:widowControl w:val="0"/>
              <w:jc w:val="right"/>
              <w:rPr>
                <w:lang w:val="lt-LT"/>
              </w:rPr>
            </w:pPr>
            <w:r w:rsidRPr="00884C6E">
              <w:rPr>
                <w:b/>
                <w:lang w:val="lt-LT"/>
              </w:rPr>
              <w:t xml:space="preserve">Bendra suma su PVM </w:t>
            </w:r>
            <w:r w:rsidRPr="00884C6E">
              <w:rPr>
                <w:b/>
                <w:bCs/>
                <w:lang w:val="lt-LT"/>
              </w:rPr>
              <w:t>(Eur):</w:t>
            </w:r>
          </w:p>
        </w:tc>
        <w:tc>
          <w:tcPr>
            <w:tcW w:w="565" w:type="pct"/>
          </w:tcPr>
          <w:p w14:paraId="5BA79FBB" w14:textId="226EB0F6" w:rsidR="00BF28AB" w:rsidRPr="00884C6E" w:rsidRDefault="00BF28AB" w:rsidP="00551A07">
            <w:pPr>
              <w:widowControl w:val="0"/>
              <w:jc w:val="right"/>
              <w:rPr>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41B129DE" w14:textId="77777777" w:rsidR="00DA481E" w:rsidRPr="00884C6E" w:rsidRDefault="00DA481E" w:rsidP="00DA481E">
      <w:pPr>
        <w:pStyle w:val="Stilius3"/>
        <w:widowControl w:val="0"/>
        <w:suppressAutoHyphens/>
        <w:rPr>
          <w:sz w:val="24"/>
          <w:szCs w:val="24"/>
        </w:rPr>
      </w:pPr>
    </w:p>
    <w:p w14:paraId="449FF6D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r w:rsidRPr="00884C6E">
        <w:rPr>
          <w:rFonts w:ascii="Times New Roman" w:hAnsi="Times New Roman" w:cs="Times New Roman"/>
          <w:sz w:val="24"/>
          <w:szCs w:val="24"/>
          <w:lang w:val="lt-LT"/>
        </w:rPr>
        <w:tab/>
      </w:r>
    </w:p>
    <w:p w14:paraId="47CCD9F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DBFBA3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F57445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1E69E1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4ADCC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E056A3B"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4182BA8"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BAD4675"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4127F2"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01D8C88"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9471075"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66815DB"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F09374D"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E78ADD" w14:textId="77777777" w:rsidR="008805A3"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3 priedas</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7D4399"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7D4399"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7D4399"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7D4399"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7D4399"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7D4399"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7D4399"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7D4399"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7D4399"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7D4399"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7D4399"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7D4399"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7D4399"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7D4399"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4 priedas</w:t>
      </w: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7D4399"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4CD464F"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5 priedas</w:t>
      </w:r>
    </w:p>
    <w:p w14:paraId="4B85B570"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7D4399"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7D4399"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7D4399"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884C6E">
        <w:rPr>
          <w:rFonts w:ascii="Times New Roman" w:hAnsi="Times New Roman" w:cs="Times New Roman"/>
          <w:sz w:val="24"/>
          <w:szCs w:val="24"/>
          <w:lang w:val="lt-LT"/>
        </w:rPr>
        <w:t>6 priedas</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77777777" w:rsidR="00B32563" w:rsidRPr="00884C6E"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884C6E">
        <w:rPr>
          <w:rFonts w:ascii="Times New Roman" w:hAnsi="Times New Roman" w:cs="Times New Roman"/>
          <w:b/>
          <w:sz w:val="24"/>
          <w:szCs w:val="24"/>
          <w:lang w:val="lt-LT"/>
        </w:rPr>
        <w:t>ATLIKTŲ DARBŲ AKTAS NR.</w:t>
      </w:r>
      <w:bookmarkEnd w:id="8"/>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7D4399"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7D4399"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7D4399"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7D4399"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EE5F" w14:textId="77777777" w:rsidR="00321384" w:rsidRDefault="00321384">
      <w:r>
        <w:separator/>
      </w:r>
    </w:p>
  </w:endnote>
  <w:endnote w:type="continuationSeparator" w:id="0">
    <w:p w14:paraId="0F941CDD" w14:textId="77777777" w:rsidR="00321384" w:rsidRDefault="0032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4194" w14:textId="77777777" w:rsidR="00321384" w:rsidRDefault="00321384">
      <w:r>
        <w:separator/>
      </w:r>
    </w:p>
  </w:footnote>
  <w:footnote w:type="continuationSeparator" w:id="0">
    <w:p w14:paraId="55A4CA91" w14:textId="77777777" w:rsidR="00321384" w:rsidRDefault="0032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17F86"/>
    <w:rsid w:val="000223DB"/>
    <w:rsid w:val="00080CC8"/>
    <w:rsid w:val="00081295"/>
    <w:rsid w:val="000B14CB"/>
    <w:rsid w:val="000B213D"/>
    <w:rsid w:val="000F3947"/>
    <w:rsid w:val="000F45FE"/>
    <w:rsid w:val="00130384"/>
    <w:rsid w:val="001303A2"/>
    <w:rsid w:val="00144786"/>
    <w:rsid w:val="001719CE"/>
    <w:rsid w:val="001C6477"/>
    <w:rsid w:val="001F3746"/>
    <w:rsid w:val="00212F0D"/>
    <w:rsid w:val="0021700A"/>
    <w:rsid w:val="00270928"/>
    <w:rsid w:val="002D2027"/>
    <w:rsid w:val="002D4A2E"/>
    <w:rsid w:val="002E06A2"/>
    <w:rsid w:val="00321384"/>
    <w:rsid w:val="00323994"/>
    <w:rsid w:val="003356C1"/>
    <w:rsid w:val="00343CF7"/>
    <w:rsid w:val="00363B54"/>
    <w:rsid w:val="003762E6"/>
    <w:rsid w:val="003E1A7D"/>
    <w:rsid w:val="003E76F2"/>
    <w:rsid w:val="00465C5D"/>
    <w:rsid w:val="00475602"/>
    <w:rsid w:val="00484FF1"/>
    <w:rsid w:val="004915BE"/>
    <w:rsid w:val="004A264B"/>
    <w:rsid w:val="004C31A1"/>
    <w:rsid w:val="004E0F54"/>
    <w:rsid w:val="004E156B"/>
    <w:rsid w:val="00504484"/>
    <w:rsid w:val="0051061A"/>
    <w:rsid w:val="00551A07"/>
    <w:rsid w:val="00555863"/>
    <w:rsid w:val="005613F6"/>
    <w:rsid w:val="005644ED"/>
    <w:rsid w:val="00573047"/>
    <w:rsid w:val="005740B0"/>
    <w:rsid w:val="005758A5"/>
    <w:rsid w:val="005C14CF"/>
    <w:rsid w:val="00614A59"/>
    <w:rsid w:val="00652BC1"/>
    <w:rsid w:val="00653475"/>
    <w:rsid w:val="00661DF1"/>
    <w:rsid w:val="006752F1"/>
    <w:rsid w:val="006C1932"/>
    <w:rsid w:val="006C50E5"/>
    <w:rsid w:val="006E3D70"/>
    <w:rsid w:val="006F0A7F"/>
    <w:rsid w:val="007313A7"/>
    <w:rsid w:val="007636EA"/>
    <w:rsid w:val="007D4399"/>
    <w:rsid w:val="007E2FF9"/>
    <w:rsid w:val="008653E6"/>
    <w:rsid w:val="008805A3"/>
    <w:rsid w:val="00884C6E"/>
    <w:rsid w:val="008A446F"/>
    <w:rsid w:val="008C4292"/>
    <w:rsid w:val="009566C0"/>
    <w:rsid w:val="009C337D"/>
    <w:rsid w:val="009D6A81"/>
    <w:rsid w:val="009F1B8A"/>
    <w:rsid w:val="00AC06A5"/>
    <w:rsid w:val="00AC3D2A"/>
    <w:rsid w:val="00AC629E"/>
    <w:rsid w:val="00AD7B58"/>
    <w:rsid w:val="00AF3F07"/>
    <w:rsid w:val="00B32563"/>
    <w:rsid w:val="00B71E8A"/>
    <w:rsid w:val="00B80F35"/>
    <w:rsid w:val="00B845BE"/>
    <w:rsid w:val="00B905D6"/>
    <w:rsid w:val="00B97E4D"/>
    <w:rsid w:val="00BB0ECC"/>
    <w:rsid w:val="00BF28AB"/>
    <w:rsid w:val="00C00900"/>
    <w:rsid w:val="00C117BF"/>
    <w:rsid w:val="00C24B05"/>
    <w:rsid w:val="00C61A2A"/>
    <w:rsid w:val="00CF3677"/>
    <w:rsid w:val="00D215B1"/>
    <w:rsid w:val="00D94794"/>
    <w:rsid w:val="00DA481E"/>
    <w:rsid w:val="00DB4964"/>
    <w:rsid w:val="00DD71FA"/>
    <w:rsid w:val="00DD7B8A"/>
    <w:rsid w:val="00E1302D"/>
    <w:rsid w:val="00E33F99"/>
    <w:rsid w:val="00E43393"/>
    <w:rsid w:val="00E43FAD"/>
    <w:rsid w:val="00E5784F"/>
    <w:rsid w:val="00E83B30"/>
    <w:rsid w:val="00EA0F2C"/>
    <w:rsid w:val="00EC6819"/>
    <w:rsid w:val="00ED720F"/>
    <w:rsid w:val="00ED7BAA"/>
    <w:rsid w:val="00EE15BE"/>
    <w:rsid w:val="00EF5BA3"/>
    <w:rsid w:val="00F22678"/>
    <w:rsid w:val="00F34832"/>
    <w:rsid w:val="00F3733B"/>
    <w:rsid w:val="00F41E1B"/>
    <w:rsid w:val="00F5141A"/>
    <w:rsid w:val="00F905FC"/>
    <w:rsid w:val="00FA4CD4"/>
    <w:rsid w:val="00FC07F0"/>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56145</Words>
  <Characters>32004</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Vita Zabalevičienė</cp:lastModifiedBy>
  <cp:revision>6</cp:revision>
  <dcterms:created xsi:type="dcterms:W3CDTF">2024-12-06T08:41:00Z</dcterms:created>
  <dcterms:modified xsi:type="dcterms:W3CDTF">2024-12-09T07:10:00Z</dcterms:modified>
</cp:coreProperties>
</file>