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4984538" w:rsidR="00491677" w:rsidRPr="00A84FFE" w:rsidRDefault="00491677" w:rsidP="00491677">
      <w:pPr>
        <w:ind w:left="5760" w:firstLine="720"/>
        <w:jc w:val="both"/>
      </w:pPr>
      <w:r w:rsidRPr="00A84FFE">
        <w:t xml:space="preserve">bataliono vado </w:t>
      </w:r>
      <w:r w:rsidRPr="00A84FFE">
        <w:rPr>
          <w:bCs/>
          <w:szCs w:val="20"/>
        </w:rPr>
        <w:t>202</w:t>
      </w:r>
      <w:r w:rsidR="000A782C">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323CC73" w:rsidR="007F0B5B" w:rsidRPr="0063141E" w:rsidRDefault="000A782C" w:rsidP="00980660">
      <w:pPr>
        <w:jc w:val="center"/>
        <w:rPr>
          <w:b/>
        </w:rPr>
      </w:pPr>
      <w:r>
        <w:rPr>
          <w:b/>
          <w:iCs/>
          <w:caps/>
          <w:u w:val="single"/>
        </w:rPr>
        <w:t>duomenų šifravimo įrenginių remonto paslaugos</w:t>
      </w:r>
      <w:r w:rsidR="003A5E45">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4EB3655E"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6A634D" w:rsidRPr="006A634D">
        <w:rPr>
          <w:szCs w:val="24"/>
        </w:rPr>
        <w:t xml:space="preserve">duomenų šifravimo įrenginių remonto </w:t>
      </w:r>
      <w:r w:rsidR="003A5E45" w:rsidRPr="003A5E45">
        <w:rPr>
          <w:szCs w:val="24"/>
        </w:rPr>
        <w:t>paslaug</w:t>
      </w:r>
      <w:r w:rsidR="003A5E45">
        <w:rPr>
          <w:szCs w:val="24"/>
        </w:rPr>
        <w:t>ą</w:t>
      </w:r>
      <w:r w:rsidR="00324E9F" w:rsidRPr="00C741F4">
        <w:rPr>
          <w:color w:val="000000" w:themeColor="text1"/>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7F8004A4" w:rsidR="00324E9F" w:rsidRDefault="00324E9F" w:rsidP="00324E9F">
      <w:pPr>
        <w:pStyle w:val="Heading2"/>
        <w:numPr>
          <w:ilvl w:val="0"/>
          <w:numId w:val="0"/>
        </w:numPr>
        <w:ind w:firstLine="709"/>
      </w:pPr>
      <w:r w:rsidRPr="00546784">
        <w:t>1.4. Pirkimo procedūras vykdo perkančiosios organizacijos viešojo pirkimo komisija (toliau – komisija). Komisija veikia iki pir</w:t>
      </w:r>
      <w:r w:rsidR="00A03B82">
        <w:t>kimo sutarties pasirašymo su tei</w:t>
      </w:r>
      <w:r w:rsidRPr="00546784">
        <w:t xml:space="preserve">kėju arba iki sprendimo nutraukti viešąjį pirkimą priėmimo. Komisija sprendimus priima Viešųjų pirkimų įstatymo 19 straipsnio    </w:t>
      </w:r>
      <w:r>
        <w:t xml:space="preserve">       </w:t>
      </w:r>
      <w:r w:rsidRPr="00546784">
        <w:t xml:space="preserve">       5 dalyje nustatyta tvarka.</w:t>
      </w:r>
    </w:p>
    <w:p w14:paraId="2E9A6048" w14:textId="240B12A5" w:rsidR="001867F2" w:rsidRPr="001867F2" w:rsidRDefault="001867F2" w:rsidP="001867F2">
      <w:pPr>
        <w:ind w:firstLine="709"/>
        <w:jc w:val="both"/>
      </w:pPr>
      <w:r>
        <w:t>1.5</w:t>
      </w:r>
      <w:r w:rsidRPr="00546784">
        <w:t xml:space="preserve">. </w:t>
      </w:r>
      <w:r w:rsidR="00A03B82">
        <w:t>Pirkimo metu bus atliekama tei</w:t>
      </w:r>
      <w:r w:rsidRPr="00791B8E">
        <w:t>kėjo ir su juo susijusių asmenų patikra dėl atitikties nacionalin</w:t>
      </w:r>
      <w:r w:rsidR="00A03B82">
        <w:t>io saugumo interesams, todėl tei</w:t>
      </w:r>
      <w:r w:rsidRPr="00791B8E">
        <w:t>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31D32D09" w:rsidR="00324E9F" w:rsidRPr="00546784" w:rsidRDefault="001867F2" w:rsidP="00324E9F">
      <w:pPr>
        <w:ind w:firstLine="709"/>
        <w:jc w:val="both"/>
      </w:pPr>
      <w:r>
        <w:t>1.7</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4C5EB9B3" w14:textId="35BC7EE5" w:rsidR="00324E9F" w:rsidRPr="00546784" w:rsidRDefault="001867F2" w:rsidP="00324E9F">
      <w:pPr>
        <w:ind w:firstLine="709"/>
        <w:jc w:val="both"/>
      </w:pPr>
      <w:r>
        <w:t>1.8</w:t>
      </w:r>
      <w:r w:rsidR="00324E9F" w:rsidRPr="00546784">
        <w:t>. Stebėtojai dalyvauti Komisijos posėdžiuose nėra kviečiami.</w:t>
      </w:r>
    </w:p>
    <w:p w14:paraId="6906DF8B" w14:textId="51DE3D91"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r:id="rId8" w:history="1">
        <w:r w:rsidR="006A634D" w:rsidRPr="001231F9">
          <w:rPr>
            <w:rStyle w:val="Hyperlink"/>
          </w:rPr>
          <w:t>https://viesiejipirkimai.lt</w:t>
        </w:r>
      </w:hyperlink>
      <w:r w:rsidR="006A634D">
        <w:t xml:space="preserve">. </w:t>
      </w:r>
      <w:r w:rsidR="00324E9F" w:rsidRPr="00546784">
        <w:t>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4B1560E6" w:rsidR="00324E9F" w:rsidRDefault="001867F2" w:rsidP="00324E9F">
      <w:pPr>
        <w:ind w:firstLine="709"/>
        <w:jc w:val="both"/>
      </w:pPr>
      <w:r>
        <w:t>1.10</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w:t>
      </w:r>
      <w:r w:rsidR="00324E9F" w:rsidRPr="00546784">
        <w:lastRenderedPageBreak/>
        <w:t xml:space="preserve">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3DDE06A7" w:rsidR="00324E9F" w:rsidRPr="00546784" w:rsidRDefault="001867F2" w:rsidP="00324E9F">
      <w:pPr>
        <w:ind w:firstLine="709"/>
        <w:jc w:val="both"/>
      </w:pPr>
      <w:r>
        <w:t>1.11</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45AF6F76" w:rsidR="00324E9F" w:rsidRPr="00546784" w:rsidRDefault="00324E9F" w:rsidP="00324E9F">
      <w:pPr>
        <w:pStyle w:val="Heading2"/>
        <w:numPr>
          <w:ilvl w:val="0"/>
          <w:numId w:val="0"/>
        </w:numPr>
        <w:ind w:left="720"/>
      </w:pPr>
      <w:r w:rsidRPr="00546784">
        <w:t>1.1</w:t>
      </w:r>
      <w:r w:rsidR="001867F2">
        <w:t>2</w:t>
      </w:r>
      <w:r w:rsidRPr="00546784">
        <w:t>. Perkančioji organizacija yra pridėtinės vertės mokesčio (toliau – PVM) mokėtoja.</w:t>
      </w:r>
    </w:p>
    <w:p w14:paraId="53CE995E" w14:textId="21058AB9" w:rsidR="00984A79" w:rsidRPr="00546784" w:rsidRDefault="00324E9F" w:rsidP="00324E9F">
      <w:pPr>
        <w:pStyle w:val="Heading2"/>
        <w:numPr>
          <w:ilvl w:val="0"/>
          <w:numId w:val="0"/>
        </w:numPr>
        <w:ind w:firstLine="709"/>
      </w:pPr>
      <w:r w:rsidRPr="00546784">
        <w:t>1.1</w:t>
      </w:r>
      <w:r w:rsidR="001867F2">
        <w:t>3</w:t>
      </w:r>
      <w:r w:rsidRPr="00546784">
        <w:t xml:space="preserve">. </w:t>
      </w:r>
      <w:r w:rsidRPr="00546784">
        <w:rPr>
          <w:szCs w:val="24"/>
        </w:rPr>
        <w:t>Perkančiosios organiza</w:t>
      </w:r>
      <w:r>
        <w:rPr>
          <w:szCs w:val="24"/>
        </w:rPr>
        <w:t>cijos asmuo kontaktams: Aidas Bernotas, el. paštas aidas.bernotas@mil.lt</w:t>
      </w:r>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2219FAE0" w:rsidR="001867F2" w:rsidRDefault="00A03B82" w:rsidP="001867F2">
      <w:pPr>
        <w:ind w:left="426" w:firstLine="283"/>
      </w:pPr>
      <w:r>
        <w:t>2.2. Tei</w:t>
      </w:r>
      <w:r w:rsidR="001867F2">
        <w:t>kėjas ir jo siūlomos P</w:t>
      </w:r>
      <w:r w:rsidR="002C3319">
        <w:t>aslaugos</w:t>
      </w:r>
      <w:r w:rsidR="001867F2">
        <w:t xml:space="preserve"> neturi kelti grėsmės nacionaliniam saugumui.</w:t>
      </w:r>
    </w:p>
    <w:p w14:paraId="28EAFA35" w14:textId="4243F6BC" w:rsidR="001867F2" w:rsidRPr="001867F2" w:rsidRDefault="001867F2" w:rsidP="001867F2">
      <w:pPr>
        <w:ind w:firstLine="709"/>
        <w:jc w:val="both"/>
      </w:pPr>
      <w:r>
        <w:t xml:space="preserve">2.3. Jeigu pirkimo dokumentuose nurodytas konkretus modelis ar tiekimo šaltinis, standartas, konkretus procesas ar prekių ženklas, patentas, tipai, konkreti kilmė ar gamyba, tai apima ir jiems lygiaverčius </w:t>
      </w:r>
      <w:r w:rsidR="00A03B82">
        <w:t>produktus ar procesus (t. y. tei</w:t>
      </w:r>
      <w:r>
        <w:t>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w:t>
      </w:r>
      <w:r w:rsidR="00A03B82">
        <w:t>kumo įrodymas yra tei</w:t>
      </w:r>
      <w:r>
        <w:t>kėjo pareiga.</w:t>
      </w:r>
    </w:p>
    <w:p w14:paraId="53CE9962" w14:textId="4EE57C4A"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25E73E77" w14:textId="06566614" w:rsidR="00CE53C4" w:rsidRPr="00CE53C4" w:rsidRDefault="00791B8E" w:rsidP="00CE53C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r w:rsidR="006A634D">
        <w:t>D</w:t>
      </w:r>
      <w:r w:rsidR="006A634D" w:rsidRPr="006A634D">
        <w:t>uomenų šifr</w:t>
      </w:r>
      <w:r w:rsidR="006A634D">
        <w:t>avimo įrenginių remonto paslauga</w:t>
      </w:r>
      <w:r w:rsidR="006A634D" w:rsidRPr="006A634D">
        <w:t xml:space="preserve"> </w:t>
      </w:r>
      <w:r w:rsidR="00D535D1">
        <w:t xml:space="preserve">(BVPŽ kodas: </w:t>
      </w:r>
      <w:r w:rsidR="006A634D" w:rsidRPr="006A634D">
        <w:t>50300000-8</w:t>
      </w:r>
      <w:r w:rsidR="00D535D1">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CE53C4" w:rsidRPr="0063141E" w14:paraId="0EEFCF7B" w14:textId="77777777" w:rsidTr="00B42281">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38B81CCE" w:rsidR="00CE53C4" w:rsidRDefault="00CE53C4" w:rsidP="00DE0EE9">
            <w:pPr>
              <w:jc w:val="center"/>
            </w:pPr>
            <w:r>
              <w:t>1</w:t>
            </w:r>
            <w:r w:rsidR="00EA17F3">
              <w:t>.</w:t>
            </w:r>
          </w:p>
        </w:tc>
        <w:tc>
          <w:tcPr>
            <w:tcW w:w="1789" w:type="dxa"/>
            <w:vMerge w:val="restart"/>
            <w:tcBorders>
              <w:top w:val="single" w:sz="4" w:space="0" w:color="auto"/>
              <w:left w:val="single" w:sz="4" w:space="0" w:color="auto"/>
              <w:right w:val="single" w:sz="4" w:space="0" w:color="auto"/>
            </w:tcBorders>
          </w:tcPr>
          <w:p w14:paraId="22E1BE43" w14:textId="42D7E842" w:rsidR="00CE53C4" w:rsidRPr="00D07F39" w:rsidRDefault="00CE53C4" w:rsidP="002C3319">
            <w:pPr>
              <w:jc w:val="center"/>
              <w:rPr>
                <w:color w:val="000000"/>
              </w:rPr>
            </w:pPr>
            <w:r w:rsidRPr="006A634D">
              <w:t>Duomenų šifravimo įrenginių remonto paslauga</w:t>
            </w:r>
          </w:p>
        </w:tc>
        <w:tc>
          <w:tcPr>
            <w:tcW w:w="5784" w:type="dxa"/>
            <w:vAlign w:val="center"/>
          </w:tcPr>
          <w:p w14:paraId="7A55FED8" w14:textId="77777777" w:rsidR="00CE53C4" w:rsidRPr="006A634D" w:rsidRDefault="00CE53C4" w:rsidP="006A634D">
            <w:pPr>
              <w:tabs>
                <w:tab w:val="left" w:pos="993"/>
              </w:tabs>
              <w:jc w:val="both"/>
              <w:rPr>
                <w:lang w:eastAsia="lt-LT"/>
              </w:rPr>
            </w:pPr>
            <w:r w:rsidRPr="006A634D">
              <w:rPr>
                <w:lang w:eastAsia="lt-LT"/>
              </w:rPr>
              <w:t xml:space="preserve">1. </w:t>
            </w:r>
            <w:r w:rsidRPr="006A634D">
              <w:rPr>
                <w:b/>
                <w:lang w:eastAsia="lt-LT"/>
              </w:rPr>
              <w:t>Bendrieji reikalavimai duomenų šifravimo įrenginių remonto paslaugai:</w:t>
            </w:r>
          </w:p>
          <w:p w14:paraId="501E97EF" w14:textId="77777777" w:rsidR="00CE53C4" w:rsidRPr="006A634D" w:rsidRDefault="00CE53C4" w:rsidP="006A634D">
            <w:pPr>
              <w:tabs>
                <w:tab w:val="left" w:pos="993"/>
              </w:tabs>
              <w:jc w:val="both"/>
              <w:rPr>
                <w:lang w:eastAsia="lt-LT"/>
              </w:rPr>
            </w:pPr>
            <w:r w:rsidRPr="006A634D">
              <w:rPr>
                <w:lang w:eastAsia="lt-LT"/>
              </w:rPr>
              <w:t>1.1. Paslaugų teikėjas turi būti gamintojo įgaliotas atstovas. Paslaugų teikėjas privalo pateikti</w:t>
            </w:r>
          </w:p>
          <w:p w14:paraId="40B78238" w14:textId="77777777" w:rsidR="00CE53C4" w:rsidRPr="006A634D" w:rsidRDefault="00CE53C4" w:rsidP="006A634D">
            <w:pPr>
              <w:tabs>
                <w:tab w:val="left" w:pos="993"/>
              </w:tabs>
              <w:jc w:val="both"/>
              <w:rPr>
                <w:lang w:eastAsia="lt-LT"/>
              </w:rPr>
            </w:pPr>
            <w:r w:rsidRPr="006A634D">
              <w:rPr>
                <w:lang w:eastAsia="lt-LT"/>
              </w:rPr>
              <w:t>tai patvirtinantį dokumentą;</w:t>
            </w:r>
          </w:p>
          <w:p w14:paraId="5B0B6261" w14:textId="77777777" w:rsidR="00CE53C4" w:rsidRPr="006A634D" w:rsidRDefault="00CE53C4" w:rsidP="006A634D">
            <w:pPr>
              <w:tabs>
                <w:tab w:val="left" w:pos="993"/>
              </w:tabs>
              <w:jc w:val="both"/>
              <w:rPr>
                <w:lang w:eastAsia="lt-LT"/>
              </w:rPr>
            </w:pPr>
            <w:r w:rsidRPr="006A634D">
              <w:rPr>
                <w:lang w:eastAsia="lt-LT"/>
              </w:rPr>
              <w:t>1.2. Visos remonto metu keičiamos detalės privalo būti naujos (negali būti atnaujintos,</w:t>
            </w:r>
          </w:p>
          <w:p w14:paraId="5EC9FA61" w14:textId="77777777" w:rsidR="00CE53C4" w:rsidRPr="006A634D" w:rsidRDefault="00CE53C4" w:rsidP="006A634D">
            <w:pPr>
              <w:tabs>
                <w:tab w:val="left" w:pos="993"/>
              </w:tabs>
              <w:jc w:val="both"/>
              <w:rPr>
                <w:lang w:eastAsia="lt-LT"/>
              </w:rPr>
            </w:pPr>
            <w:r w:rsidRPr="006A634D">
              <w:rPr>
                <w:lang w:eastAsia="lt-LT"/>
              </w:rPr>
              <w:t>restauruotos (angl. refurbished)), nenaudotos;</w:t>
            </w:r>
          </w:p>
          <w:p w14:paraId="16492184" w14:textId="39FA335B" w:rsidR="00CE53C4" w:rsidRPr="006A634D" w:rsidRDefault="00CE53C4" w:rsidP="006A634D">
            <w:pPr>
              <w:tabs>
                <w:tab w:val="left" w:pos="993"/>
              </w:tabs>
              <w:jc w:val="both"/>
              <w:rPr>
                <w:lang w:eastAsia="lt-LT"/>
              </w:rPr>
            </w:pPr>
            <w:r w:rsidRPr="006A634D">
              <w:rPr>
                <w:lang w:eastAsia="lt-LT"/>
              </w:rPr>
              <w:t xml:space="preserve">1.3 </w:t>
            </w:r>
            <w:r w:rsidR="00186169" w:rsidRPr="00186169">
              <w:rPr>
                <w:lang w:eastAsia="lt-LT"/>
              </w:rPr>
              <w:t>Paslaugos teikimo laikotarpis – 12 (dvylika) mėnesių nuo sutarties pasirašymo datos</w:t>
            </w:r>
            <w:r w:rsidRPr="006A634D">
              <w:rPr>
                <w:lang w:eastAsia="lt-LT"/>
              </w:rPr>
              <w:t>;</w:t>
            </w:r>
          </w:p>
          <w:p w14:paraId="0E9785B2" w14:textId="77777777" w:rsidR="00CE53C4" w:rsidRPr="006A634D" w:rsidRDefault="00CE53C4" w:rsidP="006A634D">
            <w:pPr>
              <w:tabs>
                <w:tab w:val="left" w:pos="993"/>
              </w:tabs>
              <w:jc w:val="both"/>
              <w:rPr>
                <w:lang w:eastAsia="lt-LT"/>
              </w:rPr>
            </w:pPr>
            <w:r w:rsidRPr="006A634D">
              <w:rPr>
                <w:lang w:eastAsia="lt-LT"/>
              </w:rPr>
              <w:t>1.4. Reikalavimai nacionaliniam saugumui:</w:t>
            </w:r>
          </w:p>
          <w:p w14:paraId="65F0AEBD" w14:textId="55ECCD2C" w:rsidR="00CE53C4" w:rsidRPr="006A634D" w:rsidRDefault="00CE53C4" w:rsidP="006A634D">
            <w:pPr>
              <w:tabs>
                <w:tab w:val="left" w:pos="993"/>
              </w:tabs>
              <w:jc w:val="both"/>
              <w:rPr>
                <w:lang w:eastAsia="lt-LT"/>
              </w:rPr>
            </w:pPr>
            <w:r w:rsidRPr="006A634D">
              <w:rPr>
                <w:lang w:eastAsia="lt-LT"/>
              </w:rPr>
              <w:t xml:space="preserve">1.4.1. Pirkimo objektas </w:t>
            </w:r>
            <w:r w:rsidR="00EA17F3">
              <w:rPr>
                <w:lang w:eastAsia="lt-LT"/>
              </w:rPr>
              <w:t>–</w:t>
            </w:r>
            <w:r w:rsidRPr="006A634D">
              <w:rPr>
                <w:lang w:eastAsia="lt-LT"/>
              </w:rPr>
              <w:t xml:space="preserve"> paslaugos (Duomenų šifravimo įrenginių remontas), vadovaujantis</w:t>
            </w:r>
          </w:p>
          <w:p w14:paraId="27A5F9A4" w14:textId="1DA028BB" w:rsidR="00CE53C4" w:rsidRPr="006A634D" w:rsidRDefault="00CE53C4" w:rsidP="006A634D">
            <w:pPr>
              <w:tabs>
                <w:tab w:val="left" w:pos="993"/>
              </w:tabs>
              <w:jc w:val="both"/>
              <w:rPr>
                <w:lang w:eastAsia="lt-LT"/>
              </w:rPr>
            </w:pPr>
            <w:r w:rsidRPr="006A634D">
              <w:rPr>
                <w:lang w:eastAsia="lt-LT"/>
              </w:rPr>
              <w:t>Lietuvos Respublikos viešųjų pirkimų įstatymu, turi nekelti grėsmės nacionaliniam</w:t>
            </w:r>
            <w:r>
              <w:rPr>
                <w:lang w:eastAsia="lt-LT"/>
              </w:rPr>
              <w:t xml:space="preserve"> </w:t>
            </w:r>
            <w:r w:rsidRPr="006A634D">
              <w:rPr>
                <w:lang w:eastAsia="lt-LT"/>
              </w:rPr>
              <w:t>saugumui;</w:t>
            </w:r>
          </w:p>
          <w:p w14:paraId="7CF60653" w14:textId="39A0FF3E" w:rsidR="00CE53C4" w:rsidRPr="006A634D" w:rsidRDefault="00CE53C4" w:rsidP="006A634D">
            <w:pPr>
              <w:tabs>
                <w:tab w:val="left" w:pos="993"/>
              </w:tabs>
              <w:jc w:val="both"/>
              <w:rPr>
                <w:lang w:eastAsia="lt-LT"/>
              </w:rPr>
            </w:pPr>
            <w:r w:rsidRPr="006A634D">
              <w:rPr>
                <w:lang w:eastAsia="lt-LT"/>
              </w:rPr>
              <w:t>1.4.2. Perkančioji organizacija visais atvejais laikys, kad tiekėjas nėra patikimas ir kelia pavojų</w:t>
            </w:r>
            <w:r>
              <w:rPr>
                <w:lang w:eastAsia="lt-LT"/>
              </w:rPr>
              <w:t xml:space="preserve"> </w:t>
            </w:r>
            <w:r w:rsidRPr="006A634D">
              <w:rPr>
                <w:lang w:eastAsia="lt-LT"/>
              </w:rPr>
              <w:t>nacionaliniam ar kitos valstybės narės saugumui, jeigu ji gaus kompetentingų institucijų</w:t>
            </w:r>
            <w:r>
              <w:rPr>
                <w:lang w:eastAsia="lt-LT"/>
              </w:rPr>
              <w:t xml:space="preserve"> </w:t>
            </w:r>
            <w:r w:rsidRPr="006A634D">
              <w:rPr>
                <w:lang w:eastAsia="lt-LT"/>
              </w:rPr>
              <w:t>pateiktą tai patvirtinančią informaciją;</w:t>
            </w:r>
          </w:p>
          <w:p w14:paraId="7168F3A2" w14:textId="10B43811" w:rsidR="00CE53C4" w:rsidRPr="006A634D" w:rsidRDefault="00CE53C4" w:rsidP="006A634D">
            <w:pPr>
              <w:tabs>
                <w:tab w:val="left" w:pos="993"/>
              </w:tabs>
              <w:jc w:val="both"/>
              <w:rPr>
                <w:lang w:eastAsia="lt-LT"/>
              </w:rPr>
            </w:pPr>
            <w:r w:rsidRPr="006A634D">
              <w:rPr>
                <w:lang w:eastAsia="lt-LT"/>
              </w:rPr>
              <w:t>1.4.3. Perkančioji organizacija, vadovaudamasi Viešųjų pirkimų įstatymo 17 straipsnio 5</w:t>
            </w:r>
            <w:r>
              <w:rPr>
                <w:lang w:eastAsia="lt-LT"/>
              </w:rPr>
              <w:t xml:space="preserve"> </w:t>
            </w:r>
            <w:r w:rsidRPr="006A634D">
              <w:rPr>
                <w:lang w:eastAsia="lt-LT"/>
              </w:rPr>
              <w:t>dalimi pirkime neleidžia dalyvauti tiekėjams (juridiniams asmenims)/subtiekėjams</w:t>
            </w:r>
          </w:p>
          <w:p w14:paraId="68A7E05D" w14:textId="75F673BC" w:rsidR="00CE53C4" w:rsidRPr="006A634D" w:rsidRDefault="00CE53C4" w:rsidP="006A634D">
            <w:pPr>
              <w:tabs>
                <w:tab w:val="left" w:pos="993"/>
              </w:tabs>
              <w:jc w:val="both"/>
              <w:rPr>
                <w:lang w:eastAsia="lt-LT"/>
              </w:rPr>
            </w:pPr>
            <w:r w:rsidRPr="006A634D">
              <w:rPr>
                <w:lang w:eastAsia="lt-LT"/>
              </w:rPr>
              <w:t>(juridiniams asmenims), kurie nėra registruoti Europos Sąjungos valstybėje narėje,</w:t>
            </w:r>
            <w:r>
              <w:rPr>
                <w:lang w:eastAsia="lt-LT"/>
              </w:rPr>
              <w:t xml:space="preserve"> </w:t>
            </w:r>
            <w:r w:rsidRPr="006A634D">
              <w:rPr>
                <w:lang w:eastAsia="lt-LT"/>
              </w:rPr>
              <w:t xml:space="preserve">Šiaurės Atlanto sutarties </w:t>
            </w:r>
            <w:r w:rsidRPr="006A634D">
              <w:rPr>
                <w:lang w:eastAsia="lt-LT"/>
              </w:rPr>
              <w:lastRenderedPageBreak/>
              <w:t>organizacijos valstybėje narėje ar trečiojoje šalyje,</w:t>
            </w:r>
            <w:r>
              <w:rPr>
                <w:lang w:eastAsia="lt-LT"/>
              </w:rPr>
              <w:t xml:space="preserve"> </w:t>
            </w:r>
            <w:r w:rsidRPr="006A634D">
              <w:rPr>
                <w:lang w:eastAsia="lt-LT"/>
              </w:rPr>
              <w:t>pasirašiusioje Pasaulio prekybos organizacijos sutartį dėl viešųjų pirkimų ir kitus</w:t>
            </w:r>
            <w:r>
              <w:rPr>
                <w:lang w:eastAsia="lt-LT"/>
              </w:rPr>
              <w:t xml:space="preserve"> </w:t>
            </w:r>
            <w:r w:rsidRPr="006A634D">
              <w:rPr>
                <w:lang w:eastAsia="lt-LT"/>
              </w:rPr>
              <w:t>tarptautinius susitarimus. Taip pat pirkime neleidžiama dalyvauti tiekėjams (fiziniams</w:t>
            </w:r>
          </w:p>
          <w:p w14:paraId="2B90FD87" w14:textId="57140C8B" w:rsidR="00CE53C4" w:rsidRPr="006A634D" w:rsidRDefault="00CE53C4" w:rsidP="006A634D">
            <w:pPr>
              <w:tabs>
                <w:tab w:val="left" w:pos="993"/>
              </w:tabs>
              <w:jc w:val="both"/>
              <w:rPr>
                <w:lang w:eastAsia="lt-LT"/>
              </w:rPr>
            </w:pPr>
            <w:r w:rsidRPr="006A634D">
              <w:rPr>
                <w:lang w:eastAsia="lt-LT"/>
              </w:rPr>
              <w:t>asmenims)/subtiekėjams (fiziniams asmenims), kurie nėra deklaravę gyvenamosios</w:t>
            </w:r>
            <w:r>
              <w:rPr>
                <w:lang w:eastAsia="lt-LT"/>
              </w:rPr>
              <w:t xml:space="preserve"> </w:t>
            </w:r>
            <w:r w:rsidRPr="006A634D">
              <w:rPr>
                <w:lang w:eastAsia="lt-LT"/>
              </w:rPr>
              <w:t>vietos Europos Sąjungos valstybėje narėje, Šiaurės Atlanto sutarties organizacijos</w:t>
            </w:r>
          </w:p>
          <w:p w14:paraId="61B0B9F0" w14:textId="48B43049" w:rsidR="00CE53C4" w:rsidRPr="006A634D" w:rsidRDefault="00CE53C4" w:rsidP="006A634D">
            <w:pPr>
              <w:tabs>
                <w:tab w:val="left" w:pos="993"/>
              </w:tabs>
              <w:jc w:val="both"/>
              <w:rPr>
                <w:lang w:eastAsia="lt-LT"/>
              </w:rPr>
            </w:pPr>
            <w:r w:rsidRPr="006A634D">
              <w:rPr>
                <w:lang w:eastAsia="lt-LT"/>
              </w:rPr>
              <w:t>valstybėje narėje ar trečiojoje šalyje, pasirašiusioje Pasaulio prekybos organizacijos</w:t>
            </w:r>
            <w:r>
              <w:rPr>
                <w:lang w:eastAsia="lt-LT"/>
              </w:rPr>
              <w:t xml:space="preserve"> </w:t>
            </w:r>
            <w:r w:rsidRPr="006A634D">
              <w:rPr>
                <w:lang w:eastAsia="lt-LT"/>
              </w:rPr>
              <w:t>sutartį dėl viešųjų pirkimų ir kitus tarptautinius susitarimus.</w:t>
            </w:r>
          </w:p>
          <w:p w14:paraId="53DA0461" w14:textId="77777777" w:rsidR="00CE53C4" w:rsidRPr="006A634D" w:rsidRDefault="00CE53C4" w:rsidP="006A634D">
            <w:pPr>
              <w:tabs>
                <w:tab w:val="left" w:pos="993"/>
              </w:tabs>
              <w:jc w:val="both"/>
              <w:rPr>
                <w:lang w:eastAsia="lt-LT"/>
              </w:rPr>
            </w:pPr>
            <w:r w:rsidRPr="006A634D">
              <w:rPr>
                <w:lang w:eastAsia="lt-LT"/>
              </w:rPr>
              <w:t>1.5. Garantija ir remontas:</w:t>
            </w:r>
          </w:p>
          <w:p w14:paraId="6DE6CF0F" w14:textId="77777777" w:rsidR="00CE53C4" w:rsidRPr="006A634D" w:rsidRDefault="00CE53C4" w:rsidP="006A634D">
            <w:pPr>
              <w:tabs>
                <w:tab w:val="left" w:pos="993"/>
              </w:tabs>
              <w:jc w:val="both"/>
              <w:rPr>
                <w:lang w:eastAsia="lt-LT"/>
              </w:rPr>
            </w:pPr>
            <w:r w:rsidRPr="006A634D">
              <w:rPr>
                <w:lang w:eastAsia="lt-LT"/>
              </w:rPr>
              <w:t>1.5.1. Suremontuotai įrangai turi būti suteikiamas ne mažiau kaip 6 (šešių) mėnesių garantinio</w:t>
            </w:r>
          </w:p>
          <w:p w14:paraId="2850692B" w14:textId="2CC212B6" w:rsidR="00CE53C4" w:rsidRPr="006A634D" w:rsidRDefault="00CE53C4" w:rsidP="006A634D">
            <w:pPr>
              <w:tabs>
                <w:tab w:val="left" w:pos="993"/>
              </w:tabs>
              <w:jc w:val="both"/>
              <w:rPr>
                <w:lang w:eastAsia="lt-LT"/>
              </w:rPr>
            </w:pPr>
            <w:r w:rsidRPr="006A634D">
              <w:rPr>
                <w:lang w:eastAsia="lt-LT"/>
              </w:rPr>
              <w:t>aptarnavimo laikotarpis;</w:t>
            </w:r>
          </w:p>
          <w:p w14:paraId="262A1BBC" w14:textId="5E602C55" w:rsidR="00CE53C4" w:rsidRPr="006A634D" w:rsidRDefault="00801A2C" w:rsidP="006A634D">
            <w:pPr>
              <w:tabs>
                <w:tab w:val="left" w:pos="993"/>
              </w:tabs>
              <w:jc w:val="both"/>
              <w:rPr>
                <w:lang w:eastAsia="lt-LT"/>
              </w:rPr>
            </w:pPr>
            <w:r>
              <w:rPr>
                <w:lang w:eastAsia="lt-LT"/>
              </w:rPr>
              <w:t>1.5.2</w:t>
            </w:r>
            <w:r w:rsidR="00CE53C4" w:rsidRPr="006A634D">
              <w:rPr>
                <w:lang w:eastAsia="lt-LT"/>
              </w:rPr>
              <w:t>. Remonto trukmė – ne ilgiau kaip 40 kalendorinių dienų. Į remonto laiką neskaičiuojamas</w:t>
            </w:r>
            <w:r w:rsidR="002543E0">
              <w:rPr>
                <w:lang w:eastAsia="lt-LT"/>
              </w:rPr>
              <w:t xml:space="preserve"> </w:t>
            </w:r>
            <w:r w:rsidR="00CE53C4" w:rsidRPr="006A634D">
              <w:rPr>
                <w:lang w:eastAsia="lt-LT"/>
              </w:rPr>
              <w:t>įrenginių transportavimo laikotarpis;</w:t>
            </w:r>
          </w:p>
          <w:p w14:paraId="494CDEB7" w14:textId="2EF8863E" w:rsidR="00CE53C4" w:rsidRPr="006A634D" w:rsidRDefault="00801A2C" w:rsidP="006A634D">
            <w:pPr>
              <w:tabs>
                <w:tab w:val="left" w:pos="993"/>
              </w:tabs>
              <w:jc w:val="both"/>
              <w:rPr>
                <w:lang w:eastAsia="lt-LT"/>
              </w:rPr>
            </w:pPr>
            <w:r>
              <w:rPr>
                <w:lang w:eastAsia="lt-LT"/>
              </w:rPr>
              <w:t>1.5.3</w:t>
            </w:r>
            <w:r w:rsidR="00CE53C4" w:rsidRPr="006A634D">
              <w:rPr>
                <w:lang w:eastAsia="lt-LT"/>
              </w:rPr>
              <w:t>. Paslaugų teikėjas turi užtikrinti, kad duomenų šifravimo įrenginių remontas bus</w:t>
            </w:r>
            <w:r w:rsidR="00CE53C4">
              <w:rPr>
                <w:lang w:eastAsia="lt-LT"/>
              </w:rPr>
              <w:t xml:space="preserve"> </w:t>
            </w:r>
            <w:r w:rsidR="00CE53C4" w:rsidRPr="006A634D">
              <w:rPr>
                <w:lang w:eastAsia="lt-LT"/>
              </w:rPr>
              <w:t>atliekamas gamintojo akredituotoje laboratorijoje</w:t>
            </w:r>
          </w:p>
        </w:tc>
        <w:tc>
          <w:tcPr>
            <w:tcW w:w="1003" w:type="dxa"/>
            <w:vMerge w:val="restart"/>
            <w:tcBorders>
              <w:top w:val="single" w:sz="4" w:space="0" w:color="auto"/>
              <w:left w:val="single" w:sz="4" w:space="0" w:color="auto"/>
              <w:right w:val="single" w:sz="4" w:space="0" w:color="auto"/>
            </w:tcBorders>
          </w:tcPr>
          <w:p w14:paraId="2508EC2C" w14:textId="13CC1DB9" w:rsidR="00CE53C4" w:rsidRDefault="00CE53C4" w:rsidP="00DE0EE9">
            <w:pPr>
              <w:jc w:val="center"/>
            </w:pPr>
            <w:r>
              <w:lastRenderedPageBreak/>
              <w:t>vnt.</w:t>
            </w:r>
          </w:p>
        </w:tc>
        <w:tc>
          <w:tcPr>
            <w:tcW w:w="843" w:type="dxa"/>
            <w:vMerge w:val="restart"/>
            <w:tcBorders>
              <w:top w:val="single" w:sz="4" w:space="0" w:color="auto"/>
              <w:left w:val="single" w:sz="4" w:space="0" w:color="auto"/>
              <w:right w:val="single" w:sz="4" w:space="0" w:color="auto"/>
            </w:tcBorders>
          </w:tcPr>
          <w:p w14:paraId="625917B8" w14:textId="57463B7F" w:rsidR="00CE53C4" w:rsidRDefault="00CE53C4" w:rsidP="005F767C">
            <w:pPr>
              <w:jc w:val="center"/>
            </w:pPr>
            <w:r>
              <w:t>8</w:t>
            </w:r>
          </w:p>
        </w:tc>
      </w:tr>
      <w:tr w:rsidR="00CE53C4" w:rsidRPr="0063141E" w14:paraId="635830CC" w14:textId="77777777" w:rsidTr="00B42281">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7F23DBB5" w14:textId="1525A03C" w:rsidR="00CE53C4" w:rsidRDefault="00CE53C4" w:rsidP="00DE0EE9">
            <w:pPr>
              <w:jc w:val="center"/>
            </w:pPr>
            <w:r>
              <w:t>2</w:t>
            </w:r>
            <w:r w:rsidR="00EA17F3">
              <w:t>.</w:t>
            </w:r>
          </w:p>
        </w:tc>
        <w:tc>
          <w:tcPr>
            <w:tcW w:w="1789" w:type="dxa"/>
            <w:vMerge/>
            <w:tcBorders>
              <w:left w:val="single" w:sz="4" w:space="0" w:color="auto"/>
              <w:bottom w:val="single" w:sz="4" w:space="0" w:color="auto"/>
              <w:right w:val="single" w:sz="4" w:space="0" w:color="auto"/>
            </w:tcBorders>
          </w:tcPr>
          <w:p w14:paraId="1DB0B39B" w14:textId="77777777" w:rsidR="00CE53C4" w:rsidRPr="006A634D" w:rsidRDefault="00CE53C4" w:rsidP="002C3319">
            <w:pPr>
              <w:jc w:val="center"/>
            </w:pPr>
          </w:p>
        </w:tc>
        <w:tc>
          <w:tcPr>
            <w:tcW w:w="5784" w:type="dxa"/>
            <w:vAlign w:val="center"/>
          </w:tcPr>
          <w:p w14:paraId="3FA72DDB" w14:textId="78880798" w:rsidR="00CE53C4" w:rsidRDefault="00CE53C4" w:rsidP="00CE53C4">
            <w:pPr>
              <w:tabs>
                <w:tab w:val="left" w:pos="993"/>
              </w:tabs>
              <w:jc w:val="both"/>
              <w:rPr>
                <w:lang w:eastAsia="lt-LT"/>
              </w:rPr>
            </w:pPr>
            <w:r>
              <w:rPr>
                <w:lang w:eastAsia="lt-LT"/>
              </w:rPr>
              <w:t xml:space="preserve">2. </w:t>
            </w:r>
            <w:r w:rsidRPr="006A634D">
              <w:rPr>
                <w:b/>
                <w:lang w:eastAsia="lt-LT"/>
              </w:rPr>
              <w:t>Duomenų šifravimo įrenginių remontas (BVPŽ kodas 50300000-8):</w:t>
            </w:r>
          </w:p>
          <w:p w14:paraId="0B970108" w14:textId="77777777" w:rsidR="00CE53C4" w:rsidRDefault="00CE53C4" w:rsidP="00CE53C4">
            <w:pPr>
              <w:tabs>
                <w:tab w:val="left" w:pos="993"/>
              </w:tabs>
              <w:jc w:val="both"/>
              <w:rPr>
                <w:lang w:eastAsia="lt-LT"/>
              </w:rPr>
            </w:pPr>
            <w:r>
              <w:rPr>
                <w:lang w:eastAsia="lt-LT"/>
              </w:rPr>
              <w:t>2.1. Remontuojamų įrenginių modeliai: TCE 621/C, TCE 621/C Mk II;</w:t>
            </w:r>
          </w:p>
          <w:p w14:paraId="3B0F348C" w14:textId="77777777" w:rsidR="00CE53C4" w:rsidRDefault="00CE53C4" w:rsidP="00CE53C4">
            <w:pPr>
              <w:tabs>
                <w:tab w:val="left" w:pos="993"/>
              </w:tabs>
              <w:jc w:val="both"/>
              <w:rPr>
                <w:lang w:eastAsia="lt-LT"/>
              </w:rPr>
            </w:pPr>
            <w:r>
              <w:rPr>
                <w:lang w:eastAsia="lt-LT"/>
              </w:rPr>
              <w:t>2.2. Remontuojamų įrenginių rodomos klaidos: BSK FAILED, Post BP: Serial line failed,</w:t>
            </w:r>
          </w:p>
          <w:p w14:paraId="1EE6F6BC" w14:textId="515FB1E1" w:rsidR="00CE53C4" w:rsidRPr="006A634D" w:rsidRDefault="00CE53C4" w:rsidP="00CE53C4">
            <w:pPr>
              <w:tabs>
                <w:tab w:val="left" w:pos="993"/>
              </w:tabs>
              <w:jc w:val="both"/>
              <w:rPr>
                <w:lang w:eastAsia="lt-LT"/>
              </w:rPr>
            </w:pPr>
            <w:r>
              <w:rPr>
                <w:lang w:eastAsia="lt-LT"/>
              </w:rPr>
              <w:t>Leds test failed, MAC FAULT.</w:t>
            </w:r>
          </w:p>
        </w:tc>
        <w:tc>
          <w:tcPr>
            <w:tcW w:w="1003" w:type="dxa"/>
            <w:vMerge/>
            <w:tcBorders>
              <w:left w:val="single" w:sz="4" w:space="0" w:color="auto"/>
              <w:bottom w:val="single" w:sz="4" w:space="0" w:color="auto"/>
              <w:right w:val="single" w:sz="4" w:space="0" w:color="auto"/>
            </w:tcBorders>
          </w:tcPr>
          <w:p w14:paraId="1D945155" w14:textId="77777777" w:rsidR="00CE53C4" w:rsidRDefault="00CE53C4" w:rsidP="00DE0EE9">
            <w:pPr>
              <w:jc w:val="center"/>
            </w:pPr>
          </w:p>
        </w:tc>
        <w:tc>
          <w:tcPr>
            <w:tcW w:w="843" w:type="dxa"/>
            <w:vMerge/>
            <w:tcBorders>
              <w:left w:val="single" w:sz="4" w:space="0" w:color="auto"/>
              <w:bottom w:val="single" w:sz="4" w:space="0" w:color="auto"/>
              <w:right w:val="single" w:sz="4" w:space="0" w:color="auto"/>
            </w:tcBorders>
          </w:tcPr>
          <w:p w14:paraId="5E00E4D9" w14:textId="77777777" w:rsidR="00CE53C4" w:rsidRDefault="00CE53C4" w:rsidP="005F767C">
            <w:pPr>
              <w:jc w:val="center"/>
            </w:pP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19B907A2" w:rsidR="00D04F1B" w:rsidRPr="00D535D1" w:rsidRDefault="00ED4482" w:rsidP="00D04F1B">
      <w:pPr>
        <w:pStyle w:val="Heading2"/>
        <w:numPr>
          <w:ilvl w:val="0"/>
          <w:numId w:val="0"/>
        </w:numPr>
        <w:ind w:firstLine="709"/>
      </w:pPr>
      <w:r w:rsidRPr="00D535D1">
        <w:t>2.6</w:t>
      </w:r>
      <w:r w:rsidR="00D04F1B" w:rsidRPr="00D535D1">
        <w:t xml:space="preserve">. </w:t>
      </w:r>
      <w:r w:rsidR="002F33ED">
        <w:t>Paslauga turi būti suteikta per 12 mėn. nuo sutarties pasirašymo dienos</w:t>
      </w:r>
      <w:r w:rsidR="00EA17F3">
        <w:t>.</w:t>
      </w:r>
    </w:p>
    <w:p w14:paraId="1602F0FF" w14:textId="341FCC2E" w:rsidR="005032A0" w:rsidRDefault="00ED4482" w:rsidP="00D04F1B">
      <w:r>
        <w:t xml:space="preserve">            2.7</w:t>
      </w:r>
      <w:r w:rsidR="00D04F1B">
        <w:t xml:space="preserve">. Su laimėtoju numatoma sudaryti </w:t>
      </w:r>
      <w:r>
        <w:t>rašytinę sutartį</w:t>
      </w:r>
      <w:r w:rsidR="00DA3B32">
        <w:t>.</w:t>
      </w:r>
    </w:p>
    <w:p w14:paraId="6DAA3814" w14:textId="7C6EFA4C" w:rsidR="00CB244B" w:rsidRPr="005032A0" w:rsidRDefault="00CB244B" w:rsidP="00CB244B">
      <w:pPr>
        <w:pStyle w:val="Heading2"/>
        <w:numPr>
          <w:ilvl w:val="0"/>
          <w:numId w:val="0"/>
        </w:numPr>
        <w:ind w:left="-360" w:firstLine="1069"/>
        <w:rPr>
          <w:b/>
        </w:rPr>
      </w:pPr>
      <w:r>
        <w:t>2.8</w:t>
      </w:r>
      <w:r w:rsidRPr="00ED4482">
        <w:t>.</w:t>
      </w:r>
      <w:r>
        <w:rPr>
          <w:b/>
        </w:rPr>
        <w:t xml:space="preserve"> </w:t>
      </w:r>
      <w:r w:rsidRPr="005032A0">
        <w:rPr>
          <w:b/>
        </w:rPr>
        <w:t>Aplinkos apsaugos kriterijai tiekėjams:</w:t>
      </w:r>
    </w:p>
    <w:p w14:paraId="36364B68" w14:textId="2021783D" w:rsidR="00CB244B" w:rsidRPr="005032A0" w:rsidRDefault="00CB244B" w:rsidP="00CB244B">
      <w:pPr>
        <w:keepNext/>
        <w:ind w:firstLine="709"/>
        <w:jc w:val="both"/>
        <w:outlineLvl w:val="2"/>
        <w:rPr>
          <w:szCs w:val="20"/>
        </w:rPr>
      </w:pPr>
      <w:r>
        <w:rPr>
          <w:szCs w:val="20"/>
        </w:rPr>
        <w:t xml:space="preserve">2.8.1.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5BF79D3C" w14:textId="77777777" w:rsidR="00CB244B" w:rsidRPr="005032A0" w:rsidRDefault="00CB244B" w:rsidP="00CB244B">
      <w:pPr>
        <w:ind w:hanging="142"/>
      </w:pPr>
    </w:p>
    <w:p w14:paraId="4557F970" w14:textId="77777777" w:rsidR="00CB244B" w:rsidRPr="005032A0" w:rsidRDefault="00CB244B" w:rsidP="00CB244B">
      <w:pPr>
        <w:ind w:left="-142"/>
      </w:pPr>
      <w:r w:rsidRPr="005032A0">
        <w:rPr>
          <w:b/>
        </w:rPr>
        <w:t>1 lentelė</w:t>
      </w:r>
      <w:r w:rsidRPr="005032A0">
        <w:t>. Aplinkos apsaugos kriterijai tiekėjams</w:t>
      </w:r>
    </w:p>
    <w:tbl>
      <w:tblPr>
        <w:tblW w:w="10158" w:type="dxa"/>
        <w:tblInd w:w="-98" w:type="dxa"/>
        <w:tblCellMar>
          <w:left w:w="0" w:type="dxa"/>
          <w:right w:w="0" w:type="dxa"/>
        </w:tblCellMar>
        <w:tblLook w:val="04A0" w:firstRow="1" w:lastRow="0" w:firstColumn="1" w:lastColumn="0" w:noHBand="0" w:noVBand="1"/>
      </w:tblPr>
      <w:tblGrid>
        <w:gridCol w:w="675"/>
        <w:gridCol w:w="4820"/>
        <w:gridCol w:w="4663"/>
      </w:tblGrid>
      <w:tr w:rsidR="00CB244B" w:rsidRPr="005032A0" w14:paraId="584ABFE9" w14:textId="77777777" w:rsidTr="00E06A3D">
        <w:tc>
          <w:tcPr>
            <w:tcW w:w="675" w:type="dxa"/>
            <w:tcBorders>
              <w:top w:val="single" w:sz="4" w:space="0" w:color="auto"/>
              <w:left w:val="single" w:sz="4" w:space="0" w:color="auto"/>
              <w:bottom w:val="single" w:sz="4" w:space="0" w:color="auto"/>
              <w:right w:val="single" w:sz="4" w:space="0" w:color="auto"/>
            </w:tcBorders>
          </w:tcPr>
          <w:p w14:paraId="5B091414" w14:textId="77777777" w:rsidR="00CB244B" w:rsidRPr="005032A0" w:rsidRDefault="00CB244B" w:rsidP="002F33ED">
            <w:pPr>
              <w:ind w:left="-6"/>
              <w:jc w:val="center"/>
              <w:rPr>
                <w:bCs/>
              </w:rPr>
            </w:pPr>
            <w:r w:rsidRPr="005032A0">
              <w:rPr>
                <w:bCs/>
              </w:rPr>
              <w:t>Eil. Nr.</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42DAB" w14:textId="77777777" w:rsidR="00CB244B" w:rsidRPr="005032A0" w:rsidRDefault="00CB244B" w:rsidP="002F33ED">
            <w:pPr>
              <w:ind w:left="-47"/>
              <w:jc w:val="center"/>
              <w:rPr>
                <w:b/>
                <w:bCs/>
              </w:rPr>
            </w:pPr>
            <w:r w:rsidRPr="005032A0">
              <w:rPr>
                <w:b/>
                <w:bCs/>
              </w:rPr>
              <w:t>Reikalavimas</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8A9E6" w14:textId="77777777" w:rsidR="00CB244B" w:rsidRPr="005032A0" w:rsidRDefault="00CB244B" w:rsidP="002F33ED">
            <w:pPr>
              <w:jc w:val="center"/>
              <w:rPr>
                <w:b/>
                <w:bCs/>
              </w:rPr>
            </w:pPr>
            <w:r w:rsidRPr="005032A0">
              <w:rPr>
                <w:b/>
                <w:bCs/>
              </w:rPr>
              <w:t>Reikalavimo atitikimo patvirtinimas</w:t>
            </w:r>
          </w:p>
        </w:tc>
      </w:tr>
      <w:tr w:rsidR="00CB244B" w:rsidRPr="005032A0" w14:paraId="4D153BB9" w14:textId="77777777" w:rsidTr="00E06A3D">
        <w:tc>
          <w:tcPr>
            <w:tcW w:w="675" w:type="dxa"/>
            <w:tcBorders>
              <w:top w:val="single" w:sz="4" w:space="0" w:color="auto"/>
              <w:left w:val="single" w:sz="4" w:space="0" w:color="auto"/>
              <w:bottom w:val="single" w:sz="4" w:space="0" w:color="auto"/>
              <w:right w:val="single" w:sz="4" w:space="0" w:color="auto"/>
            </w:tcBorders>
          </w:tcPr>
          <w:p w14:paraId="46B121F0" w14:textId="77777777" w:rsidR="00CB244B" w:rsidRPr="005032A0" w:rsidRDefault="00CB244B" w:rsidP="002F33ED">
            <w:pPr>
              <w:ind w:left="-284"/>
              <w:jc w:val="center"/>
            </w:pPr>
          </w:p>
          <w:p w14:paraId="146FDB4B" w14:textId="77777777" w:rsidR="00CB244B" w:rsidRPr="005032A0" w:rsidRDefault="00CB244B" w:rsidP="002F33ED">
            <w:pPr>
              <w:jc w:val="center"/>
            </w:pPr>
          </w:p>
          <w:p w14:paraId="223C7D54" w14:textId="77777777" w:rsidR="00CB244B" w:rsidRPr="005032A0" w:rsidRDefault="00CB244B" w:rsidP="002F33ED">
            <w:pPr>
              <w:jc w:val="center"/>
            </w:pPr>
            <w:r w:rsidRPr="005032A0">
              <w:t>1.</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0B205" w14:textId="77777777" w:rsidR="00CB244B" w:rsidRPr="005032A0" w:rsidRDefault="00CB244B" w:rsidP="002F33ED">
            <w:pPr>
              <w:ind w:left="-47"/>
              <w:rPr>
                <w:b/>
                <w:bCs/>
              </w:rPr>
            </w:pPr>
            <w:r w:rsidRPr="005032A0">
              <w:t>Teikėjas savo veikloje naudoja elektros energiją, iš atsinaujinančių energijos šaltinių.</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A2DA1" w14:textId="77777777" w:rsidR="00CB244B" w:rsidRPr="005032A0" w:rsidRDefault="00CB244B" w:rsidP="002F33ED">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CB244B" w:rsidRPr="005032A0" w14:paraId="7F87A42B" w14:textId="77777777" w:rsidTr="00E06A3D">
        <w:trPr>
          <w:trHeight w:val="2816"/>
        </w:trPr>
        <w:tc>
          <w:tcPr>
            <w:tcW w:w="675" w:type="dxa"/>
            <w:tcBorders>
              <w:top w:val="single" w:sz="4" w:space="0" w:color="auto"/>
              <w:left w:val="single" w:sz="4" w:space="0" w:color="auto"/>
              <w:bottom w:val="single" w:sz="4" w:space="0" w:color="auto"/>
              <w:right w:val="single" w:sz="4" w:space="0" w:color="auto"/>
            </w:tcBorders>
          </w:tcPr>
          <w:p w14:paraId="42A117ED" w14:textId="77777777" w:rsidR="00CB244B" w:rsidRPr="005032A0" w:rsidRDefault="00CB244B" w:rsidP="002F33ED">
            <w:pPr>
              <w:ind w:left="-284"/>
              <w:jc w:val="center"/>
            </w:pPr>
          </w:p>
          <w:p w14:paraId="391FBDBC" w14:textId="77777777" w:rsidR="00CB244B" w:rsidRPr="005032A0" w:rsidRDefault="00CB244B" w:rsidP="002F33ED">
            <w:pPr>
              <w:jc w:val="center"/>
            </w:pPr>
          </w:p>
          <w:p w14:paraId="11BE9896" w14:textId="77777777" w:rsidR="00CB244B" w:rsidRPr="005032A0" w:rsidRDefault="00CB244B" w:rsidP="002F33ED">
            <w:pPr>
              <w:jc w:val="center"/>
            </w:pPr>
          </w:p>
          <w:p w14:paraId="57F06A50" w14:textId="77777777" w:rsidR="00CB244B" w:rsidRPr="005032A0" w:rsidRDefault="00CB244B" w:rsidP="002F33ED">
            <w:pPr>
              <w:jc w:val="center"/>
            </w:pPr>
          </w:p>
          <w:p w14:paraId="3D2B6544" w14:textId="77777777" w:rsidR="00CB244B" w:rsidRPr="005032A0" w:rsidRDefault="00CB244B" w:rsidP="002F33ED">
            <w:pPr>
              <w:jc w:val="center"/>
            </w:pPr>
          </w:p>
          <w:p w14:paraId="44D8B240" w14:textId="77777777" w:rsidR="00CB244B" w:rsidRPr="005032A0" w:rsidRDefault="00CB244B" w:rsidP="002F33ED">
            <w:pPr>
              <w:jc w:val="center"/>
            </w:pPr>
            <w:r w:rsidRPr="005032A0">
              <w:t>2.</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B2534" w14:textId="77777777" w:rsidR="00CB244B" w:rsidRPr="005032A0" w:rsidRDefault="00CB244B" w:rsidP="002F33ED">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F2192" w14:textId="77777777" w:rsidR="00CB244B" w:rsidRPr="005032A0" w:rsidRDefault="00CB244B" w:rsidP="002F33ED">
            <w:r w:rsidRPr="005032A0">
              <w:t>Prašome pateikti nepriklausomos šalies išduotą sertifikatą ar kitą lygiavertį dokumentą, kuriuo įrodoma atitiktis taikomiems standartams.</w:t>
            </w:r>
          </w:p>
        </w:tc>
      </w:tr>
    </w:tbl>
    <w:p w14:paraId="42E8D84D" w14:textId="77777777" w:rsidR="00CB244B" w:rsidRDefault="00CB244B" w:rsidP="00D04F1B"/>
    <w:p w14:paraId="7F653D6A" w14:textId="0879DBB6" w:rsidR="00223BAA" w:rsidRPr="00056D13" w:rsidRDefault="00E92AD1" w:rsidP="00056D13">
      <w:pPr>
        <w:pStyle w:val="Heading1"/>
        <w:numPr>
          <w:ilvl w:val="0"/>
          <w:numId w:val="36"/>
        </w:numPr>
        <w:spacing w:before="240" w:after="240"/>
        <w:ind w:hanging="3094"/>
        <w:rPr>
          <w:b/>
          <w:sz w:val="24"/>
          <w:szCs w:val="24"/>
        </w:rPr>
      </w:pPr>
      <w:r>
        <w:rPr>
          <w:b/>
          <w:sz w:val="24"/>
          <w:szCs w:val="24"/>
        </w:rPr>
        <w:t>TEI</w:t>
      </w:r>
      <w:r w:rsidR="00223BAA" w:rsidRPr="00056D13">
        <w:rPr>
          <w:b/>
          <w:sz w:val="24"/>
          <w:szCs w:val="24"/>
        </w:rPr>
        <w:t xml:space="preserve">KĖJŲ KVALIFIKACINIAI REIKALAVIMAI </w:t>
      </w:r>
      <w:r w:rsidR="008F5886">
        <w:rPr>
          <w:b/>
          <w:sz w:val="24"/>
          <w:szCs w:val="24"/>
        </w:rPr>
        <w:t>IR NACIONALINIS SAUGUMAS</w:t>
      </w:r>
    </w:p>
    <w:p w14:paraId="50284327" w14:textId="6205C88E"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00E92AD1">
        <w:rPr>
          <w:rFonts w:eastAsia="Calibri"/>
        </w:rPr>
        <w:t>dalyvauti tei</w:t>
      </w:r>
      <w:r w:rsidRPr="00F30806">
        <w:rPr>
          <w:rFonts w:eastAsia="Calibri"/>
        </w:rPr>
        <w:t>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w:t>
      </w:r>
      <w:r w:rsidR="00E92AD1">
        <w:rPr>
          <w:rFonts w:eastAsia="Calibri"/>
        </w:rPr>
        <w:t>i tei</w:t>
      </w:r>
      <w:r w:rsidRPr="00F30806">
        <w:rPr>
          <w:rFonts w:eastAsia="Calibri"/>
        </w:rPr>
        <w:t>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53AD6023" w:rsidR="001867F2" w:rsidRPr="00BF515B" w:rsidRDefault="001867F2" w:rsidP="001867F2">
      <w:pPr>
        <w:tabs>
          <w:tab w:val="left" w:pos="720"/>
        </w:tabs>
        <w:ind w:firstLine="720"/>
        <w:jc w:val="both"/>
        <w:rPr>
          <w:i/>
          <w:sz w:val="20"/>
          <w:szCs w:val="20"/>
        </w:rPr>
      </w:pPr>
      <w:r>
        <w:t>3.2. Perkančioji organizacija</w:t>
      </w:r>
      <w:r w:rsidR="004C03E0">
        <w:t xml:space="preserve"> laiko, kad t</w:t>
      </w:r>
      <w:r w:rsidRPr="00333446">
        <w:t>e</w:t>
      </w:r>
      <w:r w:rsidR="004C03E0">
        <w:t>i</w:t>
      </w:r>
      <w:r w:rsidRPr="00333446">
        <w:t>kėjas turi interesų, galinčių kelti grėsmę nacionaliniam saugumui, i</w:t>
      </w:r>
      <w:r w:rsidR="00E92AD1">
        <w:t>r draudžia pirkime dalyvauti tei</w:t>
      </w:r>
      <w:r w:rsidRPr="00333446">
        <w:t xml:space="preserve">kėjams, jų subtiekėjams ar ūkio subjektams, kurių pajėgumais remiamasi, </w:t>
      </w:r>
      <w:r>
        <w:t>jei jie</w:t>
      </w:r>
      <w:r w:rsidRPr="00333446">
        <w:t xml:space="preserve"> patys ar juos kontroliuojantys a</w:t>
      </w:r>
      <w:r w:rsidR="004C03E0">
        <w:t>smenys yra registruoti (jeigu t</w:t>
      </w:r>
      <w:r w:rsidRPr="00333446">
        <w:t>e</w:t>
      </w:r>
      <w:r w:rsidR="004C03E0">
        <w:t>i</w:t>
      </w:r>
      <w:r w:rsidRPr="00333446">
        <w:t>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w:t>
      </w:r>
      <w:r w:rsidR="004C03E0">
        <w:rPr>
          <w:lang w:eastAsia="lt-LT"/>
        </w:rPr>
        <w:t>, kad t</w:t>
      </w:r>
      <w:r>
        <w:rPr>
          <w:lang w:eastAsia="lt-LT"/>
        </w:rPr>
        <w:t>e</w:t>
      </w:r>
      <w:r w:rsidR="004C03E0">
        <w:rPr>
          <w:lang w:eastAsia="lt-LT"/>
        </w:rPr>
        <w:t>i</w:t>
      </w:r>
      <w:r>
        <w:rPr>
          <w:lang w:eastAsia="lt-LT"/>
        </w:rPr>
        <w:t>kėjas neturi reikalaujamo profesi</w:t>
      </w:r>
      <w:r w:rsidR="00E92AD1">
        <w:rPr>
          <w:lang w:eastAsia="lt-LT"/>
        </w:rPr>
        <w:t>nio pajėgumo, jeigu nustatys tei</w:t>
      </w:r>
      <w:r>
        <w:rPr>
          <w:lang w:eastAsia="lt-LT"/>
        </w:rPr>
        <w:t>kėjo interesų konfliktą, galintį neigiamai paveikti pirkimo sutarties vykdymą. Perkanči</w:t>
      </w:r>
      <w:r w:rsidR="004C03E0">
        <w:rPr>
          <w:lang w:eastAsia="lt-LT"/>
        </w:rPr>
        <w:t>oji organizacija laikys, kad tei</w:t>
      </w:r>
      <w:r>
        <w:rPr>
          <w:lang w:eastAsia="lt-LT"/>
        </w:rPr>
        <w:t xml:space="preserve">kėjas turi interesų konfliktą, galintį neigiamai paveikti pirkimo sutarties vykdymą, jeigu gaus kompetentingų </w:t>
      </w:r>
      <w:r w:rsidR="004C03E0">
        <w:rPr>
          <w:lang w:eastAsia="lt-LT"/>
        </w:rPr>
        <w:t>institucijų informacijos, kad t</w:t>
      </w:r>
      <w:r>
        <w:rPr>
          <w:lang w:eastAsia="lt-LT"/>
        </w:rPr>
        <w:t>e</w:t>
      </w:r>
      <w:r w:rsidR="004C03E0">
        <w:rPr>
          <w:lang w:eastAsia="lt-LT"/>
        </w:rPr>
        <w:t>i</w:t>
      </w:r>
      <w:r>
        <w:rPr>
          <w:lang w:eastAsia="lt-LT"/>
        </w:rPr>
        <w:t>kėjas ir jo pasitelkiami subtiekėjai turi interesų, galinčių kelti grėsmę nacionaliniam saugumui.</w:t>
      </w:r>
    </w:p>
    <w:p w14:paraId="5FB0285E" w14:textId="77777777" w:rsidR="001867F2" w:rsidRDefault="001867F2" w:rsidP="001867F2">
      <w:pPr>
        <w:tabs>
          <w:tab w:val="left" w:pos="720"/>
        </w:tabs>
        <w:ind w:firstLine="720"/>
        <w:jc w:val="both"/>
        <w:rPr>
          <w:lang w:eastAsia="lt-LT"/>
        </w:rPr>
      </w:pPr>
    </w:p>
    <w:p w14:paraId="04098C99" w14:textId="77777777" w:rsidR="001867F2" w:rsidRDefault="001867F2" w:rsidP="001867F2">
      <w:pPr>
        <w:tabs>
          <w:tab w:val="left" w:pos="720"/>
        </w:tabs>
        <w:ind w:firstLine="720"/>
        <w:jc w:val="both"/>
        <w:rPr>
          <w:lang w:eastAsia="lt-LT"/>
        </w:rPr>
      </w:pPr>
    </w:p>
    <w:p w14:paraId="7D637304" w14:textId="77777777" w:rsidR="001867F2" w:rsidRPr="00ED4482" w:rsidRDefault="001867F2" w:rsidP="001867F2">
      <w:pPr>
        <w:tabs>
          <w:tab w:val="left" w:pos="720"/>
        </w:tabs>
        <w:ind w:firstLine="720"/>
        <w:jc w:val="both"/>
        <w:rPr>
          <w:rFonts w:eastAsia="Calibri"/>
        </w:rPr>
      </w:pPr>
    </w:p>
    <w:p w14:paraId="6B404B73" w14:textId="77777777" w:rsidR="001867F2" w:rsidRDefault="001867F2" w:rsidP="001867F2">
      <w:pPr>
        <w:pStyle w:val="Heading2"/>
        <w:numPr>
          <w:ilvl w:val="0"/>
          <w:numId w:val="0"/>
        </w:numPr>
        <w:ind w:left="72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
        <w:gridCol w:w="1670"/>
        <w:gridCol w:w="5005"/>
        <w:gridCol w:w="2631"/>
      </w:tblGrid>
      <w:tr w:rsidR="001867F2" w14:paraId="43612A37" w14:textId="77777777" w:rsidTr="00E06A3D">
        <w:tc>
          <w:tcPr>
            <w:tcW w:w="555" w:type="dxa"/>
            <w:tcMar>
              <w:top w:w="0" w:type="dxa"/>
              <w:left w:w="108" w:type="dxa"/>
              <w:bottom w:w="0" w:type="dxa"/>
              <w:right w:w="108" w:type="dxa"/>
            </w:tcMar>
            <w:hideMark/>
          </w:tcPr>
          <w:p w14:paraId="1C9B634E" w14:textId="77777777" w:rsidR="001867F2" w:rsidRPr="0099316B" w:rsidRDefault="001867F2" w:rsidP="00B6769F">
            <w:pPr>
              <w:pStyle w:val="BodyA"/>
              <w:jc w:val="right"/>
              <w:rPr>
                <w:rFonts w:ascii="Times New Roman" w:hAnsi="Times New Roman"/>
                <w:bCs/>
                <w:color w:val="auto"/>
                <w:sz w:val="24"/>
                <w:szCs w:val="24"/>
              </w:rPr>
            </w:pPr>
            <w:r w:rsidRPr="0099316B">
              <w:rPr>
                <w:rFonts w:ascii="Times New Roman" w:hAnsi="Times New Roman"/>
                <w:bCs/>
                <w:color w:val="auto"/>
                <w:sz w:val="24"/>
                <w:szCs w:val="24"/>
              </w:rPr>
              <w:t>Eil Nr</w:t>
            </w:r>
          </w:p>
        </w:tc>
        <w:tc>
          <w:tcPr>
            <w:tcW w:w="1992" w:type="dxa"/>
            <w:tcMar>
              <w:top w:w="0" w:type="dxa"/>
              <w:left w:w="108" w:type="dxa"/>
              <w:bottom w:w="0" w:type="dxa"/>
              <w:right w:w="108" w:type="dxa"/>
            </w:tcMar>
            <w:vAlign w:val="center"/>
            <w:hideMark/>
          </w:tcPr>
          <w:p w14:paraId="103D69CD" w14:textId="77777777" w:rsidR="001867F2" w:rsidRPr="0099316B" w:rsidRDefault="001867F2" w:rsidP="00B6769F">
            <w:pPr>
              <w:jc w:val="center"/>
              <w:rPr>
                <w:bCs/>
              </w:rPr>
            </w:pPr>
            <w:r w:rsidRPr="0099316B">
              <w:rPr>
                <w:bCs/>
              </w:rPr>
              <w:t>Reikalavimas</w:t>
            </w:r>
          </w:p>
        </w:tc>
        <w:tc>
          <w:tcPr>
            <w:tcW w:w="15448" w:type="dxa"/>
            <w:tcMar>
              <w:top w:w="0" w:type="dxa"/>
              <w:left w:w="108" w:type="dxa"/>
              <w:bottom w:w="0" w:type="dxa"/>
              <w:right w:w="108" w:type="dxa"/>
            </w:tcMar>
            <w:vAlign w:val="center"/>
            <w:hideMark/>
          </w:tcPr>
          <w:p w14:paraId="1F10955F" w14:textId="77777777" w:rsidR="001867F2" w:rsidRPr="0099316B" w:rsidRDefault="001867F2" w:rsidP="00B6769F">
            <w:pPr>
              <w:jc w:val="center"/>
              <w:rPr>
                <w:bCs/>
              </w:rPr>
            </w:pPr>
            <w:r w:rsidRPr="0099316B">
              <w:rPr>
                <w:bCs/>
              </w:rPr>
              <w:t>Atitikį pagrindžiantys dokumentai</w:t>
            </w:r>
          </w:p>
        </w:tc>
        <w:tc>
          <w:tcPr>
            <w:tcW w:w="5811" w:type="dxa"/>
            <w:tcMar>
              <w:top w:w="0" w:type="dxa"/>
              <w:left w:w="108" w:type="dxa"/>
              <w:bottom w:w="0" w:type="dxa"/>
              <w:right w:w="108" w:type="dxa"/>
            </w:tcMar>
            <w:vAlign w:val="center"/>
            <w:hideMark/>
          </w:tcPr>
          <w:p w14:paraId="5A3F2451" w14:textId="77777777" w:rsidR="001867F2" w:rsidRPr="0099316B" w:rsidRDefault="001867F2" w:rsidP="008054E5">
            <w:pPr>
              <w:jc w:val="center"/>
              <w:rPr>
                <w:bCs/>
                <w:lang w:val="en-US"/>
              </w:rPr>
            </w:pPr>
            <w:r w:rsidRPr="0099316B">
              <w:rPr>
                <w:bCs/>
              </w:rPr>
              <w:t>Subjektas, kuris turi atitikti reikalavimą</w:t>
            </w:r>
          </w:p>
        </w:tc>
      </w:tr>
      <w:tr w:rsidR="001867F2" w14:paraId="38E4EA4F" w14:textId="77777777" w:rsidTr="00E06A3D">
        <w:tc>
          <w:tcPr>
            <w:tcW w:w="555" w:type="dxa"/>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Mar>
              <w:top w:w="0" w:type="dxa"/>
              <w:left w:w="108" w:type="dxa"/>
              <w:bottom w:w="0" w:type="dxa"/>
              <w:right w:w="108" w:type="dxa"/>
            </w:tcMar>
            <w:hideMark/>
          </w:tcPr>
          <w:p w14:paraId="0E1E0CDC" w14:textId="5B9F439B" w:rsidR="001867F2" w:rsidRPr="00F5785C" w:rsidRDefault="0099316B" w:rsidP="00B6769F">
            <w:r>
              <w:t>Teikėjas</w:t>
            </w:r>
            <w:r w:rsidR="001867F2" w:rsidRPr="00F5785C">
              <w:t xml:space="preserve"> nekelia grėsmės nacionaliniam saugumui.</w:t>
            </w:r>
          </w:p>
        </w:tc>
        <w:tc>
          <w:tcPr>
            <w:tcW w:w="15448" w:type="dxa"/>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 xml:space="preserve">Pildomas 4 priedas „Informacija apie teikėją </w:t>
            </w:r>
            <w:r w:rsidRPr="00F5785C">
              <w:rPr>
                <w:b/>
                <w:bCs/>
                <w:i/>
                <w:iCs/>
                <w:color w:val="auto"/>
                <w:sz w:val="24"/>
                <w:szCs w:val="24"/>
              </w:rPr>
              <w:lastRenderedPageBreak/>
              <w:t>(subteikėją,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Mar>
              <w:top w:w="0" w:type="dxa"/>
              <w:left w:w="108" w:type="dxa"/>
              <w:bottom w:w="0" w:type="dxa"/>
              <w:right w:w="108" w:type="dxa"/>
            </w:tcMar>
            <w:hideMark/>
          </w:tcPr>
          <w:p w14:paraId="7FDF69A5" w14:textId="77777777" w:rsidR="001867F2" w:rsidRPr="00F5785C" w:rsidRDefault="001867F2" w:rsidP="00B6769F">
            <w:r w:rsidRPr="00F5785C">
              <w:lastRenderedPageBreak/>
              <w:t xml:space="preserve">Teikėjas, kiekvienas teikėjų grupės narys, jeigu pasiūlymą teikia ūkio subjektų grupė, Teikėjas ir ūkio subjektas, kurio pajėgumais remiasi teikėjas, pagal jų prisiimamus įsipareigojimus pirkimo </w:t>
            </w:r>
            <w:r w:rsidRPr="00F5785C">
              <w:lastRenderedPageBreak/>
              <w:t>sutarčiai vykdyti, gamintojas.</w:t>
            </w:r>
          </w:p>
        </w:tc>
      </w:tr>
    </w:tbl>
    <w:p w14:paraId="2B7A2755" w14:textId="77777777" w:rsidR="001867F2" w:rsidRDefault="001867F2" w:rsidP="001867F2">
      <w:pPr>
        <w:pStyle w:val="Heading2"/>
        <w:numPr>
          <w:ilvl w:val="0"/>
          <w:numId w:val="0"/>
        </w:numPr>
        <w:ind w:left="720"/>
      </w:pPr>
    </w:p>
    <w:p w14:paraId="146A188C" w14:textId="265AF995" w:rsidR="008245A3" w:rsidRDefault="00D37BBF" w:rsidP="00F40E1F">
      <w:pPr>
        <w:pStyle w:val="Heading2"/>
        <w:numPr>
          <w:ilvl w:val="1"/>
          <w:numId w:val="33"/>
        </w:numPr>
        <w:tabs>
          <w:tab w:val="left" w:pos="851"/>
        </w:tabs>
        <w:ind w:firstLine="719"/>
      </w:pPr>
      <w:r>
        <w:t>Tei</w:t>
      </w:r>
      <w:r w:rsidR="00040063" w:rsidRPr="0063141E">
        <w:t>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48C30B56" w:rsidR="00040063" w:rsidRPr="0063141E" w:rsidRDefault="00D37BBF" w:rsidP="00752CBE">
            <w:pPr>
              <w:pStyle w:val="Point1"/>
              <w:spacing w:before="0" w:after="0" w:line="276" w:lineRule="auto"/>
              <w:ind w:left="0" w:firstLine="0"/>
              <w:rPr>
                <w:szCs w:val="24"/>
                <w:lang w:val="lt-LT"/>
              </w:rPr>
            </w:pPr>
            <w:r>
              <w:rPr>
                <w:color w:val="000000"/>
                <w:szCs w:val="24"/>
              </w:rPr>
              <w:t>Tei</w:t>
            </w:r>
            <w:r w:rsidR="00040063" w:rsidRPr="0063141E">
              <w:rPr>
                <w:color w:val="000000"/>
                <w:szCs w:val="24"/>
              </w:rPr>
              <w:t>kėjo veiklos pobūdis atitink</w:t>
            </w:r>
            <w:r>
              <w:rPr>
                <w:color w:val="000000"/>
                <w:szCs w:val="24"/>
              </w:rPr>
              <w:t>a pirkimo objekto specifiką. Tei</w:t>
            </w:r>
            <w:r w:rsidR="00040063" w:rsidRPr="0063141E">
              <w:rPr>
                <w:color w:val="000000"/>
                <w:szCs w:val="24"/>
              </w:rPr>
              <w:t>kėjas yra įregistruotas įstatymų nustatyta tvarka (jei reikia) ir turi šiai pirkimo sutarčiai vykdyti privalomus dokumentus</w:t>
            </w:r>
            <w:r w:rsidR="00040063">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67CB4354" w:rsidR="00040063" w:rsidRPr="0063141E" w:rsidRDefault="00D37BBF" w:rsidP="00752CBE">
            <w:pPr>
              <w:jc w:val="both"/>
              <w:rPr>
                <w:bCs/>
                <w:color w:val="000000"/>
              </w:rPr>
            </w:pPr>
            <w:r>
              <w:rPr>
                <w:bCs/>
                <w:color w:val="000000"/>
              </w:rPr>
              <w:t>Tei</w:t>
            </w:r>
            <w:r w:rsidR="00040063" w:rsidRPr="0063141E">
              <w:rPr>
                <w:bCs/>
                <w:color w:val="000000"/>
              </w:rPr>
              <w:t>kėjas, k</w:t>
            </w:r>
            <w:r>
              <w:rPr>
                <w:bCs/>
                <w:color w:val="000000"/>
              </w:rPr>
              <w:t>uris yra fizinis asmuo, arba tei</w:t>
            </w:r>
            <w:r w:rsidR="00040063" w:rsidRPr="0063141E">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E92AD1">
              <w:rPr>
                <w:bCs/>
                <w:color w:val="000000"/>
              </w:rPr>
              <w:t>teisę surašyti ir pasirašyti tei</w:t>
            </w:r>
            <w:r w:rsidR="00040063" w:rsidRPr="0063141E">
              <w:rPr>
                <w:bCs/>
                <w:color w:val="000000"/>
              </w:rPr>
              <w:t xml:space="preserve">kėjo apskaitos dokumentus, neturi teistumo (arba teistumas yra </w:t>
            </w:r>
            <w:r w:rsidR="00E92AD1">
              <w:rPr>
                <w:bCs/>
                <w:color w:val="000000"/>
              </w:rPr>
              <w:t>išnykęs ar panaikintas), dėl tei</w:t>
            </w:r>
            <w:r w:rsidR="00040063" w:rsidRPr="0063141E">
              <w:rPr>
                <w:bCs/>
                <w:color w:val="000000"/>
              </w:rPr>
              <w:t>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w:t>
            </w:r>
            <w:r w:rsidR="00E92AD1">
              <w:rPr>
                <w:bCs/>
                <w:color w:val="000000"/>
              </w:rPr>
              <w:t>r turto legalizavimą. Dėl tei</w:t>
            </w:r>
            <w:r w:rsidR="00040063" w:rsidRPr="0063141E">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040063">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036A706F" w:rsidR="00040063" w:rsidRPr="0063141E" w:rsidRDefault="00D37BBF" w:rsidP="00752CBE">
            <w:pPr>
              <w:jc w:val="both"/>
              <w:rPr>
                <w:bCs/>
              </w:rPr>
            </w:pPr>
            <w:r>
              <w:rPr>
                <w:bCs/>
              </w:rPr>
              <w:t>Tei</w:t>
            </w:r>
            <w:r w:rsidR="00040063" w:rsidRPr="0063141E">
              <w:rPr>
                <w:bCs/>
              </w:rPr>
              <w:t>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095C0BF6"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te</w:t>
            </w:r>
            <w:r w:rsidR="004C03E0">
              <w:t>i</w:t>
            </w:r>
            <w:r w:rsidRPr="0063141E">
              <w:t>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3201184" w:rsidR="00040063" w:rsidRDefault="00D37BBF" w:rsidP="00752CBE">
            <w:pPr>
              <w:jc w:val="both"/>
              <w:rPr>
                <w:bCs/>
              </w:rPr>
            </w:pPr>
            <w:r>
              <w:rPr>
                <w:bCs/>
              </w:rPr>
              <w:t>„Tei</w:t>
            </w:r>
            <w:r w:rsidR="00040063" w:rsidRPr="0063141E">
              <w:rPr>
                <w:bCs/>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w:t>
            </w:r>
            <w:r w:rsidR="00DC4290">
              <w:rPr>
                <w:bCs/>
              </w:rPr>
              <w:t>s. Pateikiama laisvos formos tei</w:t>
            </w:r>
            <w:r w:rsidR="00040063" w:rsidRPr="0063141E">
              <w:rPr>
                <w:bCs/>
              </w:rPr>
              <w:t>kėjo deklaracija“</w:t>
            </w:r>
            <w:r w:rsidR="00040063">
              <w:rPr>
                <w:bCs/>
              </w:rPr>
              <w:t>.</w:t>
            </w:r>
          </w:p>
          <w:p w14:paraId="171596E6" w14:textId="141F4064" w:rsidR="00040063" w:rsidRPr="0002638C" w:rsidRDefault="00D37BBF" w:rsidP="00E17AD6">
            <w:pPr>
              <w:jc w:val="both"/>
            </w:pPr>
            <w:r>
              <w:t>Tei</w:t>
            </w:r>
            <w:r w:rsidR="00040063">
              <w:t xml:space="preserve">kėjas patvirtina, kad siūlomų </w:t>
            </w:r>
            <w:r w:rsidR="00E17AD6">
              <w:t>paslaugų</w:t>
            </w:r>
            <w:r w:rsidR="00040063">
              <w:t xml:space="preserve"> (įskaitant jų sudedamąsias dalis) </w:t>
            </w:r>
            <w:r w:rsidR="00E17AD6">
              <w:t>teikėjas</w:t>
            </w:r>
            <w:r w:rsidR="00040063">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3BDB0F10" w:rsidR="00040063" w:rsidRPr="0063141E" w:rsidRDefault="00E92AD1" w:rsidP="00752CBE">
            <w:pPr>
              <w:jc w:val="both"/>
            </w:pPr>
            <w:r>
              <w:rPr>
                <w:bCs/>
              </w:rPr>
              <w:t>Pateikiama laisvos formos tei</w:t>
            </w:r>
            <w:r w:rsidR="00040063" w:rsidRPr="0063141E">
              <w:rPr>
                <w:bCs/>
              </w:rPr>
              <w:t>kėjo deklaracija</w:t>
            </w:r>
            <w:r w:rsidR="00040063">
              <w:rPr>
                <w:bCs/>
              </w:rPr>
              <w:t>.</w:t>
            </w:r>
          </w:p>
        </w:tc>
      </w:tr>
    </w:tbl>
    <w:p w14:paraId="21DB0358" w14:textId="77777777" w:rsidR="00040063" w:rsidRPr="00FE567C" w:rsidRDefault="00040063" w:rsidP="00040063">
      <w:pPr>
        <w:pStyle w:val="Heading2"/>
        <w:numPr>
          <w:ilvl w:val="0"/>
          <w:numId w:val="0"/>
        </w:numPr>
      </w:pPr>
    </w:p>
    <w:p w14:paraId="6A1C00BC" w14:textId="65AC06C8" w:rsidR="00040063" w:rsidRPr="00FE567C" w:rsidRDefault="00D37BBF" w:rsidP="00040063">
      <w:pPr>
        <w:pStyle w:val="Heading2"/>
        <w:numPr>
          <w:ilvl w:val="1"/>
          <w:numId w:val="32"/>
        </w:numPr>
        <w:ind w:left="0"/>
      </w:pPr>
      <w:r>
        <w:t>Jeigu teikėjas (tei</w:t>
      </w:r>
      <w:r w:rsidR="00040063" w:rsidRPr="00FE567C">
        <w:t>kėjų grupė), pateikdamas atitikimą aukščiau nurodytiems kvalifikaciniams reikalavimams patvirtinančius dokumentus, pateikia</w:t>
      </w:r>
      <w:r w:rsidR="00DC4290">
        <w:t xml:space="preserve"> suklastotus dokumentus arba tei</w:t>
      </w:r>
      <w:r w:rsidR="00040063" w:rsidRPr="00FE567C">
        <w:t>kėjo pateikta melaginga informacija įrodoma priemonėmis, kurias perkančioji organizacija gali pagrįsti, arba iš viso nep</w:t>
      </w:r>
      <w:r w:rsidR="00DC4290">
        <w:t>ateikia tokių dokumentų, šio tei</w:t>
      </w:r>
      <w:r w:rsidR="00040063" w:rsidRPr="00FE567C">
        <w:t>kėjo pasiūlymas atmetamas ir toliau nenagrinėjamas.</w:t>
      </w:r>
    </w:p>
    <w:p w14:paraId="4F552E39" w14:textId="0555AC89"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w:t>
      </w:r>
      <w:r w:rsidR="00D37BBF">
        <w:rPr>
          <w:color w:val="000000"/>
        </w:rPr>
        <w:t>toje 3 p. nurodytų dokumentų tei</w:t>
      </w:r>
      <w:r w:rsidR="00D24724">
        <w:rPr>
          <w:color w:val="000000"/>
        </w:rPr>
        <w:t xml:space="preserve">kėjas gali pateikti </w:t>
      </w:r>
      <w:r w:rsidR="00040063" w:rsidRPr="0063141E">
        <w:rPr>
          <w:color w:val="000000"/>
        </w:rPr>
        <w:t>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w:t>
      </w:r>
      <w:r w:rsidR="00D37BBF">
        <w:rPr>
          <w:color w:val="000000"/>
        </w:rPr>
        <w:t>izacija turi teisę paprašyti tei</w:t>
      </w:r>
      <w:r w:rsidR="00040063" w:rsidRPr="0063141E">
        <w:rPr>
          <w:color w:val="000000"/>
        </w:rPr>
        <w:t>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2DD8675"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D37BBF">
        <w:rPr>
          <w:b/>
          <w:sz w:val="24"/>
          <w:szCs w:val="24"/>
        </w:rPr>
        <w:t>tei</w:t>
      </w:r>
      <w:r w:rsidR="00040063" w:rsidRPr="0063141E">
        <w:rPr>
          <w:b/>
          <w:sz w:val="24"/>
          <w:szCs w:val="24"/>
        </w:rPr>
        <w:t>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Perkančioji organizacija  pirkimo dokumentuose nurodytų minimalių kvalifikacijos reikalavimų atitinkančių doku</w:t>
      </w:r>
      <w:r w:rsidR="00DC4290">
        <w:rPr>
          <w:sz w:val="24"/>
          <w:szCs w:val="24"/>
        </w:rPr>
        <w:t>mentų prašys pateikti tik to tei</w:t>
      </w:r>
      <w:r w:rsidR="00040063" w:rsidRPr="0063141E">
        <w:rPr>
          <w:sz w:val="24"/>
          <w:szCs w:val="24"/>
        </w:rPr>
        <w:t xml:space="preserv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0422D5C1"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rsidR="00A739E6">
        <w:t>), j</w:t>
      </w:r>
      <w:r>
        <w:t>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7F0B8505" w:rsidR="00796E38" w:rsidRDefault="00796E38" w:rsidP="005D5022">
      <w:pPr>
        <w:pStyle w:val="Heading2"/>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5D5022" w:rsidRPr="001231F9">
          <w:rPr>
            <w:rStyle w:val="Hyperlink"/>
          </w:rPr>
          <w:t>https://viesiejipirkimai.lt</w:t>
        </w:r>
      </w:hyperlink>
      <w:r w:rsidR="005D5022">
        <w:t xml:space="preserve"> </w:t>
      </w:r>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neaiškumams,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A0DA80F" w:rsidR="00CD73C4" w:rsidRDefault="00CD73C4" w:rsidP="00FD7451">
      <w:pPr>
        <w:pStyle w:val="Heading2"/>
        <w:numPr>
          <w:ilvl w:val="1"/>
          <w:numId w:val="34"/>
        </w:numPr>
      </w:pPr>
      <w:r w:rsidRPr="0063141E">
        <w:t xml:space="preserve">Pasiūlymas turi būti pateiktas iki </w:t>
      </w:r>
      <w:r w:rsidR="00A33FAE" w:rsidRPr="00FD7451">
        <w:rPr>
          <w:b/>
        </w:rPr>
        <w:t>2</w:t>
      </w:r>
      <w:r w:rsidR="00D24724">
        <w:rPr>
          <w:b/>
        </w:rPr>
        <w:t>025</w:t>
      </w:r>
      <w:r w:rsidR="00A33FAE" w:rsidRPr="00FD7451">
        <w:rPr>
          <w:b/>
        </w:rPr>
        <w:t xml:space="preserve"> m. </w:t>
      </w:r>
      <w:r w:rsidR="006B504A">
        <w:rPr>
          <w:b/>
        </w:rPr>
        <w:t>liepos</w:t>
      </w:r>
      <w:r w:rsidR="00B6769F">
        <w:rPr>
          <w:b/>
        </w:rPr>
        <w:t xml:space="preserve"> </w:t>
      </w:r>
      <w:r w:rsidR="00A33FAE" w:rsidRPr="00FD7451">
        <w:rPr>
          <w:b/>
        </w:rPr>
        <w:t xml:space="preserve">mėn. </w:t>
      </w:r>
      <w:r w:rsidR="00550943">
        <w:rPr>
          <w:b/>
        </w:rPr>
        <w:t>10</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CACB144"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5D5022">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w:t>
      </w:r>
      <w:r w:rsidR="007D578D">
        <w:rPr>
          <w:lang w:val="en-US"/>
        </w:rPr>
        <w:t>anizacijai kyla abejonių dėl tei</w:t>
      </w:r>
      <w:r w:rsidRPr="00E4006F">
        <w:rPr>
          <w:lang w:val="en-US"/>
        </w:rPr>
        <w:t>kėjo pasiūlyme nurodytos informacijos konfide</w:t>
      </w:r>
      <w:r w:rsidR="007D578D">
        <w:rPr>
          <w:lang w:val="en-US"/>
        </w:rPr>
        <w:t>ncialumo, ji privalo prašyti tei</w:t>
      </w:r>
      <w:r w:rsidRPr="00E4006F">
        <w:rPr>
          <w:lang w:val="en-US"/>
        </w:rPr>
        <w:t>kėjo įrodyti, kodėl nurodyta informac</w:t>
      </w:r>
      <w:r w:rsidR="007D578D">
        <w:rPr>
          <w:lang w:val="en-US"/>
        </w:rPr>
        <w:t>ija yra konfidenciali. Jeigu tei</w:t>
      </w:r>
      <w:r w:rsidRPr="00E4006F">
        <w:rPr>
          <w:lang w:val="en-US"/>
        </w:rPr>
        <w:t>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0F41878"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5D5022">
        <w:rPr>
          <w:iCs/>
          <w:color w:val="000000"/>
          <w:szCs w:val="24"/>
        </w:rPr>
        <w:t>1</w:t>
      </w:r>
      <w:r w:rsidRPr="0063141E">
        <w:rPr>
          <w:iCs/>
          <w:color w:val="000000"/>
          <w:szCs w:val="24"/>
        </w:rPr>
        <w:t xml:space="preserve"> darbo dien</w:t>
      </w:r>
      <w:r w:rsidR="005D5022">
        <w:rPr>
          <w:iCs/>
          <w:color w:val="000000"/>
          <w:szCs w:val="24"/>
        </w:rPr>
        <w:t>ai</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EAAF54C"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paaiškinimus, patikslinimus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5D5022">
        <w:rPr>
          <w:b/>
          <w:iCs/>
          <w:szCs w:val="24"/>
        </w:rPr>
        <w:t>2</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2B629AD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00EA17F3">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 xml:space="preserv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376C7974"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Pr="00956040">
        <w:rPr>
          <w:b/>
        </w:rPr>
        <w:t>2</w:t>
      </w:r>
      <w:r w:rsidR="00D24724">
        <w:rPr>
          <w:b/>
        </w:rPr>
        <w:t>025</w:t>
      </w:r>
      <w:r w:rsidRPr="00956040">
        <w:rPr>
          <w:b/>
        </w:rPr>
        <w:t xml:space="preserve"> m.                 </w:t>
      </w:r>
      <w:r w:rsidR="00587CCE" w:rsidRPr="00956040">
        <w:rPr>
          <w:b/>
        </w:rPr>
        <w:t xml:space="preserve">   </w:t>
      </w:r>
      <w:r w:rsidR="006B504A">
        <w:rPr>
          <w:b/>
        </w:rPr>
        <w:t>liepos</w:t>
      </w:r>
      <w:r w:rsidR="00B6769F">
        <w:rPr>
          <w:b/>
        </w:rPr>
        <w:t xml:space="preserve"> </w:t>
      </w:r>
      <w:r w:rsidR="00C55A56" w:rsidRPr="00956040">
        <w:rPr>
          <w:b/>
        </w:rPr>
        <w:t>mėn.</w:t>
      </w:r>
      <w:r w:rsidR="0018242D">
        <w:rPr>
          <w:b/>
        </w:rPr>
        <w:t xml:space="preserve"> </w:t>
      </w:r>
      <w:r w:rsidR="00550943">
        <w:rPr>
          <w:b/>
        </w:rPr>
        <w:t>10</w:t>
      </w:r>
      <w:bookmarkStart w:id="0" w:name="_GoBack"/>
      <w:bookmarkEnd w:id="0"/>
      <w:r w:rsidR="00611D9A">
        <w:rPr>
          <w:b/>
        </w:rPr>
        <w:t xml:space="preserve"> </w:t>
      </w:r>
      <w:r w:rsidRPr="00956040">
        <w:rPr>
          <w:b/>
        </w:rPr>
        <w:t>d.</w:t>
      </w:r>
      <w:r w:rsidR="00B6769F">
        <w:rPr>
          <w:b/>
        </w:rPr>
        <w:t xml:space="preserve"> 9.00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6D0866CD" w:rsidR="00DD4B34" w:rsidRPr="00DD4B34" w:rsidRDefault="00DD4B34" w:rsidP="00DD4B34">
      <w:pPr>
        <w:numPr>
          <w:ilvl w:val="1"/>
          <w:numId w:val="5"/>
        </w:numPr>
        <w:tabs>
          <w:tab w:val="left" w:pos="1134"/>
        </w:tabs>
        <w:ind w:left="0" w:firstLine="720"/>
        <w:contextualSpacing/>
        <w:jc w:val="both"/>
        <w:rPr>
          <w:iCs/>
        </w:rPr>
      </w:pPr>
      <w:r w:rsidRPr="00DD4B34">
        <w:rPr>
          <w:iCs/>
        </w:rPr>
        <w:t>Perkančioji organi</w:t>
      </w:r>
      <w:r w:rsidR="007D578D">
        <w:rPr>
          <w:iCs/>
        </w:rPr>
        <w:t>zacija tikrina tei</w:t>
      </w:r>
      <w:r w:rsidRPr="00DD4B34">
        <w:rPr>
          <w:iCs/>
        </w:rPr>
        <w:t xml:space="preserve">kėjų pasiūlymuose pateiktas </w:t>
      </w:r>
      <w:r w:rsidRPr="00DD4B34">
        <w:rPr>
          <w:szCs w:val="20"/>
        </w:rPr>
        <w:t xml:space="preserve">kvalifikacinių reikalavimų atitikties deklaracijas </w:t>
      </w:r>
      <w:r w:rsidRPr="00DD4B34">
        <w:rPr>
          <w:iCs/>
        </w:rPr>
        <w:t>(</w:t>
      </w:r>
      <w:r w:rsidR="005D5022">
        <w:rPr>
          <w:iCs/>
        </w:rPr>
        <w:t>Pirkimo sąlygų 2</w:t>
      </w:r>
      <w:r w:rsidRPr="00DD4B34">
        <w:rPr>
          <w:iCs/>
        </w:rPr>
        <w:t xml:space="preserve"> p</w:t>
      </w:r>
      <w:r w:rsidR="005D5022">
        <w:rPr>
          <w:iCs/>
        </w:rPr>
        <w:t>riedas</w:t>
      </w:r>
      <w:r w:rsidRPr="00DD4B34">
        <w:rPr>
          <w:iCs/>
        </w:rPr>
        <w:t>).</w:t>
      </w:r>
      <w:r w:rsidRPr="00DD4B34">
        <w:rPr>
          <w:szCs w:val="20"/>
        </w:rPr>
        <w:t xml:space="preserve"> </w:t>
      </w:r>
    </w:p>
    <w:p w14:paraId="755EFDA3" w14:textId="648EDCFD" w:rsidR="00DD4B34" w:rsidRPr="00DD4B34" w:rsidRDefault="007D578D" w:rsidP="00DD4B34">
      <w:pPr>
        <w:numPr>
          <w:ilvl w:val="1"/>
          <w:numId w:val="5"/>
        </w:numPr>
        <w:tabs>
          <w:tab w:val="left" w:pos="1134"/>
        </w:tabs>
        <w:ind w:left="0" w:firstLine="720"/>
        <w:contextualSpacing/>
        <w:jc w:val="both"/>
        <w:rPr>
          <w:iCs/>
        </w:rPr>
      </w:pPr>
      <w:r>
        <w:rPr>
          <w:szCs w:val="20"/>
        </w:rPr>
        <w:t>Jeigu tei</w:t>
      </w:r>
      <w:r w:rsidR="00DD4B34" w:rsidRPr="00DD4B34">
        <w:rPr>
          <w:szCs w:val="20"/>
        </w:rPr>
        <w:t xml:space="preserve">kėjas kvalifikacinių reikalavimų atitikties deklaracijoje nepažymėjo, ar atitinka keliamą (-us) reikalavimą (-us), tuomet perkančioji </w:t>
      </w:r>
      <w:r>
        <w:rPr>
          <w:szCs w:val="20"/>
        </w:rPr>
        <w:t>organizacija prašo tei</w:t>
      </w:r>
      <w:r w:rsidR="00DD4B34" w:rsidRPr="00DD4B34">
        <w:rPr>
          <w:szCs w:val="20"/>
        </w:rPr>
        <w:t xml:space="preserve">kėjo patikslinti deklaraciją per protingą terminą. </w:t>
      </w:r>
      <w:r w:rsidR="00DD4B34" w:rsidRPr="00DD4B34">
        <w:rPr>
          <w:color w:val="000000"/>
          <w:szCs w:val="20"/>
        </w:rPr>
        <w:t>Tokiu atveju perk</w:t>
      </w:r>
      <w:r>
        <w:rPr>
          <w:color w:val="000000"/>
          <w:szCs w:val="20"/>
        </w:rPr>
        <w:t>ančioji organizacija vertina tei</w:t>
      </w:r>
      <w:r w:rsidR="00DD4B34" w:rsidRPr="00DD4B34">
        <w:rPr>
          <w:color w:val="000000"/>
          <w:szCs w:val="20"/>
        </w:rPr>
        <w:t>kėjo pasiūlymą tik jam patikslinus deklaraciją.</w:t>
      </w:r>
      <w:r w:rsidR="00DD4B34" w:rsidRPr="00DD4B34">
        <w:rPr>
          <w:szCs w:val="20"/>
        </w:rPr>
        <w:t xml:space="preserve"> Pasiūlymas </w:t>
      </w:r>
      <w:r w:rsidR="004C03E0">
        <w:rPr>
          <w:szCs w:val="20"/>
        </w:rPr>
        <w:t>atmetamas tais atvejais, kai tei</w:t>
      </w:r>
      <w:r w:rsidR="00DD4B34" w:rsidRPr="00DD4B34">
        <w:rPr>
          <w:szCs w:val="20"/>
        </w:rPr>
        <w:t xml:space="preserve">kėjas, perkančiajai organizacijai paprašius, nepatikslino kvalifikacinių reikalavimų atitikties deklaracijos arba, </w:t>
      </w:r>
      <w:r w:rsidR="00DD4B34" w:rsidRPr="00DD4B34">
        <w:rPr>
          <w:color w:val="000000"/>
          <w:szCs w:val="20"/>
        </w:rPr>
        <w:t xml:space="preserve">patikslinęs minimalių kvalifikacinių reikalavimų atitikties deklaraciją, joje nurodė, kad neatitinka kvalifikacijos reikalavimų. </w:t>
      </w:r>
    </w:p>
    <w:p w14:paraId="58354C9A" w14:textId="047C0B7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w:t>
      </w:r>
      <w:r w:rsidR="00A03B82">
        <w:t>inkančius dokumentus, tik to tei</w:t>
      </w:r>
      <w:r w:rsidRPr="00DD4B34">
        <w:t>kėjo, kurio pasiūlymas pagal vertinimo rezultatus gali būti pripažintas laimėjusiu.</w:t>
      </w:r>
      <w:r w:rsidR="00A03B82">
        <w:rPr>
          <w:iCs/>
        </w:rPr>
        <w:t xml:space="preserve"> Tei</w:t>
      </w:r>
      <w:r w:rsidRPr="00DD4B34">
        <w:rPr>
          <w:iCs/>
        </w:rPr>
        <w:t xml:space="preserv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0C31B673" w:rsidR="00DD4B34" w:rsidRPr="00DD4B34" w:rsidRDefault="00A03B82" w:rsidP="00DD4B34">
      <w:pPr>
        <w:numPr>
          <w:ilvl w:val="1"/>
          <w:numId w:val="5"/>
        </w:numPr>
        <w:tabs>
          <w:tab w:val="left" w:pos="1134"/>
        </w:tabs>
        <w:ind w:left="0" w:firstLine="720"/>
        <w:contextualSpacing/>
        <w:jc w:val="both"/>
        <w:rPr>
          <w:iCs/>
        </w:rPr>
      </w:pPr>
      <w:r>
        <w:rPr>
          <w:iCs/>
        </w:rPr>
        <w:t>Jeigu yra nustatyta, kad tei</w:t>
      </w:r>
      <w:r w:rsidR="00DD4B34" w:rsidRPr="00DD4B34">
        <w:rPr>
          <w:iCs/>
        </w:rPr>
        <w:t>kėjo pateikti kvalifikacijos duomenys yra neišsamūs arba netikslūs, perkančioji organizacija kreipiasi r</w:t>
      </w:r>
      <w:r w:rsidR="004C03E0">
        <w:rPr>
          <w:iCs/>
        </w:rPr>
        <w:t>aštu CVP IS priemonėmis, kad tei</w:t>
      </w:r>
      <w:r w:rsidR="00DD4B34" w:rsidRPr="00DD4B34">
        <w:rPr>
          <w:iCs/>
        </w:rPr>
        <w:t>kėjas juos papildytų arba paaiškintų per perkančiosios organizacijos nurodytą terminą. Jeigu perkanč</w:t>
      </w:r>
      <w:r w:rsidR="004C03E0">
        <w:rPr>
          <w:iCs/>
        </w:rPr>
        <w:t>iosios organizacijos prašymu tei</w:t>
      </w:r>
      <w:r w:rsidR="00DD4B34" w:rsidRPr="00DD4B34">
        <w:rPr>
          <w:iCs/>
        </w:rPr>
        <w:t>kėjas CVP IS priemonėmis nepatikslino pateiktų netikslių ir neišsamių duomenų apie savo kvalifikaciją, perkančioji organizacija atmeta tokį pasiūlymą.</w:t>
      </w:r>
    </w:p>
    <w:p w14:paraId="1B4F3636" w14:textId="5EEC947D"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w:t>
      </w:r>
      <w:r w:rsidR="00A03B82">
        <w:rPr>
          <w:iCs/>
        </w:rPr>
        <w:t>imą dėl dokumentų pateikusio tei</w:t>
      </w:r>
      <w:r w:rsidRPr="00DD4B34">
        <w:rPr>
          <w:iCs/>
        </w:rPr>
        <w:t xml:space="preserve">kėjo kvalifikacijos duomenų atitikties pirkimo sąlygose nustatytiems reikalavimams. </w:t>
      </w:r>
    </w:p>
    <w:p w14:paraId="659CF2C4" w14:textId="57D00DC8" w:rsid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w:t>
      </w:r>
      <w:r w:rsidR="00A03B82">
        <w:rPr>
          <w:iCs/>
          <w:szCs w:val="24"/>
        </w:rPr>
        <w:t>ioji organizacija tikrindama tei</w:t>
      </w:r>
      <w:r w:rsidRPr="000F6529">
        <w:rPr>
          <w:iCs/>
          <w:szCs w:val="24"/>
        </w:rPr>
        <w:t>kėjo atitiktį Pirkimo sąlygų 3.2</w:t>
      </w:r>
      <w:r w:rsidR="00A03B82">
        <w:rPr>
          <w:iCs/>
          <w:szCs w:val="24"/>
        </w:rPr>
        <w:t xml:space="preserve"> papunkčio reikalavimams, iš tei</w:t>
      </w:r>
      <w:r w:rsidRPr="000F6529">
        <w:rPr>
          <w:iCs/>
          <w:szCs w:val="24"/>
        </w:rPr>
        <w:t>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00A03B82">
        <w:rPr>
          <w:i/>
          <w:iCs/>
          <w:szCs w:val="24"/>
        </w:rPr>
        <w:t>„Tei</w:t>
      </w:r>
      <w:r w:rsidRPr="00056D13">
        <w:rPr>
          <w:i/>
          <w:iCs/>
          <w:szCs w:val="24"/>
        </w:rPr>
        <w:t>kėjo deklaracijos forma“</w:t>
      </w:r>
      <w:r w:rsidRPr="000F6529">
        <w:rPr>
          <w:i/>
          <w:iCs/>
          <w:szCs w:val="24"/>
        </w:rPr>
        <w:t>),</w:t>
      </w:r>
      <w:r w:rsidRPr="000F6529">
        <w:rPr>
          <w:iCs/>
          <w:szCs w:val="24"/>
        </w:rPr>
        <w:t xml:space="preserve"> o iš pirmą eilėje</w:t>
      </w:r>
      <w:r w:rsidR="00A03B82">
        <w:rPr>
          <w:iCs/>
          <w:szCs w:val="24"/>
        </w:rPr>
        <w:t xml:space="preserve"> esantį pasiūlymą pateikusio tei</w:t>
      </w:r>
      <w:r w:rsidRPr="000F6529">
        <w:rPr>
          <w:iCs/>
          <w:szCs w:val="24"/>
        </w:rPr>
        <w:t xml:space="preserv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w:t>
      </w:r>
      <w:r w:rsidR="004C03E0">
        <w:rPr>
          <w:iCs/>
          <w:szCs w:val="24"/>
        </w:rPr>
        <w:t>tei</w:t>
      </w:r>
      <w:r w:rsidRPr="000F6529">
        <w:rPr>
          <w:iCs/>
          <w:szCs w:val="24"/>
        </w:rPr>
        <w:t>kėjas turi pateikti dokumentus</w:t>
      </w:r>
      <w:r w:rsidR="00F40E1F">
        <w:rPr>
          <w:iCs/>
          <w:szCs w:val="24"/>
        </w:rPr>
        <w:t>.</w:t>
      </w:r>
    </w:p>
    <w:p w14:paraId="224C390D" w14:textId="46E9F40E"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w:t>
      </w:r>
      <w:r w:rsidR="00DC4290">
        <w:rPr>
          <w:iCs/>
          <w:szCs w:val="24"/>
        </w:rPr>
        <w:t>irkime pasiūlymus pateikusių tei</w:t>
      </w:r>
      <w:r w:rsidRPr="000F6529">
        <w:rPr>
          <w:iCs/>
          <w:szCs w:val="24"/>
        </w:rPr>
        <w:t>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00023C52"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w:t>
      </w:r>
      <w:r w:rsidR="00DC4290">
        <w:rPr>
          <w:iCs/>
        </w:rPr>
        <w:t>P IS priemonėmis) paprašius, tei</w:t>
      </w:r>
      <w:r w:rsidRPr="00DD4B34">
        <w:rPr>
          <w:iCs/>
        </w:rPr>
        <w:t>kėjai privalo per perkančiosios organizacijos nurodytą terminą pateikti raštu (CVP IS priemonėmis) papildomus paaiškinimus nekeisdami pasiūlymo esmės.</w:t>
      </w:r>
    </w:p>
    <w:p w14:paraId="4036B3B7" w14:textId="77AE43E4"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w:t>
      </w:r>
      <w:r w:rsidR="00DC4290">
        <w:rPr>
          <w:iCs/>
        </w:rPr>
        <w:t>CVP IS priemonėmis paprašyti tei</w:t>
      </w:r>
      <w:r w:rsidRPr="00DD4B34">
        <w:rPr>
          <w:iCs/>
        </w:rPr>
        <w:t>kėjų per jos nurodytą terminą ištaisyti pasiūlyme pastebėtas aritmetines klaidas, nekeičiant pirminio susipažinimo su CVP IS priemonėmis gautais pasiūlymais paskelbtos kainos. Taisydamas pasiūlyme nu</w:t>
      </w:r>
      <w:r w:rsidR="004C03E0">
        <w:rPr>
          <w:iCs/>
        </w:rPr>
        <w:t>rodytas aritmetines klaidas, tei</w:t>
      </w:r>
      <w:r w:rsidRPr="00DD4B34">
        <w:rPr>
          <w:iCs/>
        </w:rPr>
        <w:t>kėjas neturi teisės atsisakyti kainos sudedamųjų dalių arba papildyti kainą naujomis dalimis.</w:t>
      </w:r>
    </w:p>
    <w:p w14:paraId="0D994D53" w14:textId="6471D340"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w:t>
      </w:r>
      <w:r w:rsidR="00DC4290">
        <w:rPr>
          <w:iCs/>
        </w:rPr>
        <w:t xml:space="preserve"> atmesti pasiūlymą – privalo tei</w:t>
      </w:r>
      <w:r w:rsidRPr="00DD4B34">
        <w:rPr>
          <w:iCs/>
        </w:rPr>
        <w:t>kėjo raštu CVP IS priemonėmis paprašyti nurodytą terminą pateikti neįprastai mažos pasiūlymo kainos pagrindimą, įskaitant ir detalų kainų sudėtinių dalių pagrindimą. Perkančioji organizaci</w:t>
      </w:r>
      <w:r w:rsidR="004C03E0">
        <w:rPr>
          <w:iCs/>
        </w:rPr>
        <w:t>ja turi įvertinti riziką, ar tei</w:t>
      </w:r>
      <w:r w:rsidRPr="00DD4B34">
        <w:rPr>
          <w:iCs/>
        </w:rPr>
        <w:t xml:space="preserve">kėjas, kurio pasiūlyme nurodyta neįprastai maža kaina, sugebės tinkamai įvykdyti pirkimo sutartį, bei užtikrinti, kad nebūtų sudaromos sąlygos konkurencijos iškraipymui. Perkančioji </w:t>
      </w:r>
      <w:r w:rsidR="00DC4290">
        <w:rPr>
          <w:iCs/>
        </w:rPr>
        <w:t>organizacija, vertindama, ar tei</w:t>
      </w:r>
      <w:r w:rsidRPr="00DD4B34">
        <w:rPr>
          <w:iCs/>
        </w:rPr>
        <w:t>kėjo pateiktame pasiūlyme nurodyta kaina yra ne</w:t>
      </w:r>
      <w:r w:rsidR="00DC4290">
        <w:rPr>
          <w:iCs/>
        </w:rPr>
        <w:t>įprastai maža, palygina visų tei</w:t>
      </w:r>
      <w:r w:rsidRPr="00DD4B34">
        <w:rPr>
          <w:iCs/>
        </w:rPr>
        <w:t>kėjų, kurių pasiūlymai neatmesti dėl kitų priežasčių, pasiūlytų kainų aritmetinį vidurkį. Jeigu pasiūlymo kaina yra 15 ir daugiau procentų mažesnė už pasiūlytų kainų aritmetinį vidurkį, vertina</w:t>
      </w:r>
      <w:r w:rsidR="004C03E0">
        <w:rPr>
          <w:iCs/>
        </w:rPr>
        <w:t>ma kaip neįprastai maža. Jei tei</w:t>
      </w:r>
      <w:r w:rsidRPr="00DD4B34">
        <w:rPr>
          <w:iCs/>
        </w:rPr>
        <w:t>kėjas kainos nepagrindžia, jo pasiūlymas atmetamas.</w:t>
      </w:r>
    </w:p>
    <w:p w14:paraId="4D381476" w14:textId="579F4120" w:rsidR="00DD4B34" w:rsidRPr="00DD4B34" w:rsidRDefault="00DC4290" w:rsidP="00DD4B34">
      <w:pPr>
        <w:numPr>
          <w:ilvl w:val="1"/>
          <w:numId w:val="5"/>
        </w:numPr>
        <w:tabs>
          <w:tab w:val="left" w:pos="1134"/>
        </w:tabs>
        <w:ind w:left="0" w:firstLine="720"/>
        <w:contextualSpacing/>
        <w:jc w:val="both"/>
        <w:rPr>
          <w:iCs/>
        </w:rPr>
      </w:pPr>
      <w:r>
        <w:rPr>
          <w:iCs/>
        </w:rPr>
        <w:t>Tei</w:t>
      </w:r>
      <w:r w:rsidR="00DD4B34" w:rsidRPr="00DD4B34">
        <w:rPr>
          <w:iCs/>
        </w:rPr>
        <w:t>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182D5F7D"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pasiūlymą ar jo dalį pateikė ne CVP IS priemonėmis;</w:t>
      </w:r>
    </w:p>
    <w:p w14:paraId="6BD86CA4" w14:textId="56048F8C" w:rsidR="00DD4B34" w:rsidRPr="00DD4B34" w:rsidRDefault="004C03E0" w:rsidP="00DD4B34">
      <w:pPr>
        <w:numPr>
          <w:ilvl w:val="2"/>
          <w:numId w:val="5"/>
        </w:numPr>
        <w:tabs>
          <w:tab w:val="left" w:pos="1418"/>
        </w:tabs>
        <w:ind w:left="0" w:firstLine="720"/>
        <w:contextualSpacing/>
        <w:jc w:val="both"/>
        <w:rPr>
          <w:iCs/>
        </w:rPr>
      </w:pPr>
      <w:r>
        <w:rPr>
          <w:iCs/>
        </w:rPr>
        <w:lastRenderedPageBreak/>
        <w:t>tei</w:t>
      </w:r>
      <w:r w:rsidR="00DD4B34" w:rsidRPr="00DD4B34">
        <w:rPr>
          <w:iCs/>
        </w:rPr>
        <w:t xml:space="preserve">kėjas pasiūlyme pateikė netikslią ar neišsamią </w:t>
      </w:r>
      <w:r w:rsidR="00DD4B34" w:rsidRPr="00DD4B34">
        <w:rPr>
          <w:szCs w:val="20"/>
        </w:rPr>
        <w:t>kvalifikacinių reikalavimų atitikties deklaraciją</w:t>
      </w:r>
      <w:r w:rsidR="00DD4B34" w:rsidRPr="00DD4B34">
        <w:rPr>
          <w:iCs/>
        </w:rPr>
        <w:t xml:space="preserve"> apie savo kvalifikaciją ir, perkančiajai organizacijai prašant, per jos nurodytą terminą, nepatikslino jų raštu CVP IS priemonėmis;</w:t>
      </w:r>
    </w:p>
    <w:p w14:paraId="68CCC1FE" w14:textId="14BDC54F" w:rsidR="00DD4B34" w:rsidRPr="00DD4B34" w:rsidRDefault="004C03E0" w:rsidP="00DD4B34">
      <w:pPr>
        <w:numPr>
          <w:ilvl w:val="2"/>
          <w:numId w:val="5"/>
        </w:numPr>
        <w:tabs>
          <w:tab w:val="left" w:pos="1418"/>
        </w:tabs>
        <w:ind w:hanging="788"/>
        <w:contextualSpacing/>
        <w:jc w:val="both"/>
        <w:rPr>
          <w:iCs/>
        </w:rPr>
      </w:pPr>
      <w:r>
        <w:rPr>
          <w:iCs/>
        </w:rPr>
        <w:t>tei</w:t>
      </w:r>
      <w:r w:rsidR="00DD4B34" w:rsidRPr="00DD4B34">
        <w:rPr>
          <w:iCs/>
        </w:rPr>
        <w:t>kėjas neatitiko kvalifikacijos reikalavimų;</w:t>
      </w:r>
    </w:p>
    <w:p w14:paraId="123B1534" w14:textId="2D179D37" w:rsidR="00DD4B34" w:rsidRPr="00DD4B34" w:rsidRDefault="004C03E0" w:rsidP="00DD4B34">
      <w:pPr>
        <w:numPr>
          <w:ilvl w:val="2"/>
          <w:numId w:val="5"/>
        </w:numPr>
        <w:ind w:left="0" w:firstLine="709"/>
        <w:contextualSpacing/>
        <w:jc w:val="both"/>
        <w:rPr>
          <w:iCs/>
        </w:rPr>
      </w:pPr>
      <w:r>
        <w:rPr>
          <w:iCs/>
        </w:rPr>
        <w:t>tei</w:t>
      </w:r>
      <w:r w:rsidR="00DD4B34" w:rsidRPr="00DD4B34">
        <w:rPr>
          <w:iCs/>
        </w:rPr>
        <w:t xml:space="preserve">kėjas, perkančiajai organizacijai prašant, per jos nurodytą terminą, nepateikė raštu CVP IS priemonėmis </w:t>
      </w:r>
      <w:r w:rsidR="00DD4B34" w:rsidRPr="00DD4B34">
        <w:t>pirkimo dokumentuose nurodytų kvalifikacijos reikalavimų atitinkančių dokumentų</w:t>
      </w:r>
      <w:r w:rsidR="00DD4B34" w:rsidRPr="00DD4B34">
        <w:rPr>
          <w:iCs/>
        </w:rPr>
        <w:t>;</w:t>
      </w:r>
    </w:p>
    <w:p w14:paraId="7FA91CE4" w14:textId="31691524"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w:t>
      </w:r>
      <w:r w:rsidR="00DC4290">
        <w:rPr>
          <w:iCs/>
        </w:rPr>
        <w:t>ygose nustatytų reikalavimų (tei</w:t>
      </w:r>
      <w:r w:rsidRPr="00DD4B34">
        <w:rPr>
          <w:iCs/>
        </w:rPr>
        <w:t>kėjo pasiūlyme nurodytas pirkimo objektas ar pateikta techninė specifikacija neatitinka pirkimo dokumentuose nustatytų reikalavimų ir pan.);</w:t>
      </w:r>
    </w:p>
    <w:p w14:paraId="15C64F17" w14:textId="776131C7"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per perkančiosios organizacijos nurodytą terminą neištaisė aritmetinių klaidų ir (ar) nepaaiškino pasiūlymo;</w:t>
      </w:r>
    </w:p>
    <w:p w14:paraId="73D4ED5C" w14:textId="55B446C2" w:rsidR="00DD4B34" w:rsidRPr="00DD4B34" w:rsidRDefault="00DC4290" w:rsidP="00DD4B34">
      <w:pPr>
        <w:numPr>
          <w:ilvl w:val="2"/>
          <w:numId w:val="5"/>
        </w:numPr>
        <w:tabs>
          <w:tab w:val="left" w:pos="1418"/>
        </w:tabs>
        <w:ind w:left="0" w:firstLine="720"/>
        <w:contextualSpacing/>
        <w:jc w:val="both"/>
        <w:rPr>
          <w:iCs/>
        </w:rPr>
      </w:pPr>
      <w:r>
        <w:rPr>
          <w:iCs/>
        </w:rPr>
        <w:t>visų tei</w:t>
      </w:r>
      <w:r w:rsidR="00DD4B34" w:rsidRPr="00DD4B34">
        <w:rPr>
          <w:iCs/>
        </w:rPr>
        <w:t>kėjų, kurių pasiūlymai neatmesti dėl kitų priežasčių, buvo pasiūlytos per didelės, perkančiajai organizacijai nepriimtinos kainos</w:t>
      </w:r>
      <w:r w:rsidR="00160613">
        <w:rPr>
          <w:iCs/>
        </w:rPr>
        <w:t>;</w:t>
      </w:r>
    </w:p>
    <w:p w14:paraId="4AA2D19D" w14:textId="6F51D67A" w:rsidR="00DD4B34" w:rsidRDefault="00DD4B34" w:rsidP="00DD4B34">
      <w:pPr>
        <w:numPr>
          <w:ilvl w:val="2"/>
          <w:numId w:val="5"/>
        </w:numPr>
        <w:tabs>
          <w:tab w:val="left" w:pos="1418"/>
        </w:tabs>
        <w:ind w:left="0" w:firstLine="720"/>
        <w:contextualSpacing/>
        <w:jc w:val="both"/>
        <w:rPr>
          <w:iCs/>
        </w:rPr>
      </w:pPr>
      <w:r w:rsidRPr="00DD4B34">
        <w:rPr>
          <w:iCs/>
        </w:rPr>
        <w:t>buvo pasiūly</w:t>
      </w:r>
      <w:r w:rsidR="004C03E0">
        <w:rPr>
          <w:iCs/>
        </w:rPr>
        <w:t>ta neįprastai maža kaina, ir tei</w:t>
      </w:r>
      <w:r w:rsidRPr="00DD4B34">
        <w:rPr>
          <w:iCs/>
        </w:rPr>
        <w:t>kėjas Pirkimo organizatoriaus prašymu per nurodytą terminą nepateikė raštiško CVP IS priemonėmis kainos sudėtinių dalių pagrindimo arba kitaip nepagrindė neįprastai mažos kainos.</w:t>
      </w:r>
    </w:p>
    <w:p w14:paraId="5569322B" w14:textId="77777777" w:rsidR="00841BF8" w:rsidRDefault="00841BF8" w:rsidP="00841BF8">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3FB68844" w14:textId="77777777" w:rsidR="00841BF8" w:rsidRPr="009E7CD9" w:rsidRDefault="00841BF8" w:rsidP="00841BF8">
      <w:pPr>
        <w:tabs>
          <w:tab w:val="left" w:pos="993"/>
        </w:tabs>
        <w:ind w:firstLine="709"/>
        <w:contextualSpacing/>
        <w:jc w:val="both"/>
        <w:rPr>
          <w:iCs/>
        </w:rPr>
      </w:pPr>
      <w:r>
        <w:rPr>
          <w:iCs/>
        </w:rPr>
        <w:t>8.10.10. p</w:t>
      </w:r>
      <w:r w:rsidRPr="009E7CD9">
        <w:rPr>
          <w:iCs/>
        </w:rPr>
        <w:t xml:space="preserve">ateikdamas atitikimą kvalifikaciniams reikalavimams patvirtinančius dokumentus, </w:t>
      </w:r>
      <w:r>
        <w:rPr>
          <w:iCs/>
        </w:rPr>
        <w:t xml:space="preserve">tiekėjas </w:t>
      </w:r>
      <w:r w:rsidRPr="009E7CD9">
        <w:rPr>
          <w:iCs/>
        </w:rPr>
        <w:t>pateikia suklastotus dokumentus arba tiekėjo pateikta melaginga informacija įrodoma priemonėmis, kurias perkančioji organizacija gali pagrįsti, arba iš viso nepateikia tokių dokumentų</w:t>
      </w:r>
      <w:r>
        <w:rPr>
          <w:iCs/>
        </w:rPr>
        <w:t>.</w:t>
      </w:r>
    </w:p>
    <w:p w14:paraId="319DFDC2" w14:textId="77777777" w:rsidR="00841BF8" w:rsidRDefault="00841BF8" w:rsidP="00841BF8">
      <w:pPr>
        <w:tabs>
          <w:tab w:val="left" w:pos="1418"/>
        </w:tabs>
        <w:contextualSpacing/>
        <w:jc w:val="both"/>
        <w:rPr>
          <w:iCs/>
        </w:rPr>
      </w:pP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6616ADA9"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4C03E0">
        <w:rPr>
          <w:b/>
          <w:iCs/>
          <w:szCs w:val="24"/>
        </w:rPr>
        <w:t>su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w:t>
      </w:r>
      <w:r w:rsidRPr="0063141E">
        <w:rPr>
          <w:color w:val="000000"/>
          <w:szCs w:val="24"/>
        </w:rPr>
        <w:lastRenderedPageBreak/>
        <w:t xml:space="preserve">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6ED643F4" w:rsidR="0021693C" w:rsidRDefault="002F33ED"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F33ED">
        <w:rPr>
          <w:rFonts w:ascii="Times New Roman" w:hAnsi="Times New Roman"/>
          <w:color w:val="000000"/>
          <w:sz w:val="24"/>
          <w:szCs w:val="24"/>
          <w:lang w:val="lt-LT"/>
        </w:rPr>
        <w:t>Paslauga turi būti suteikta per 12 mėn. nuo sutarties pasirašymo dienos</w:t>
      </w:r>
      <w:r>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 xml:space="preserve">Už </w:t>
      </w:r>
      <w:r w:rsidR="00A44B68" w:rsidRPr="0021693C">
        <w:rPr>
          <w:rFonts w:ascii="Times New Roman" w:hAnsi="Times New Roman"/>
          <w:color w:val="000000"/>
          <w:sz w:val="24"/>
          <w:szCs w:val="24"/>
        </w:rPr>
        <w:t>gautas</w:t>
      </w:r>
      <w:r w:rsidRPr="0021693C">
        <w:rPr>
          <w:rFonts w:ascii="Times New Roman" w:hAnsi="Times New Roman"/>
          <w:color w:val="000000"/>
          <w:sz w:val="24"/>
          <w:szCs w:val="24"/>
        </w:rPr>
        <w:t xml:space="preserve"> p</w:t>
      </w:r>
      <w:r w:rsidR="0021693C" w:rsidRPr="0021693C">
        <w:rPr>
          <w:rFonts w:ascii="Times New Roman" w:hAnsi="Times New Roman"/>
          <w:color w:val="000000"/>
          <w:sz w:val="24"/>
          <w:szCs w:val="24"/>
        </w:rPr>
        <w:t>aslaugas</w:t>
      </w:r>
      <w:r w:rsidR="00DC4290">
        <w:rPr>
          <w:rFonts w:ascii="Times New Roman" w:hAnsi="Times New Roman"/>
          <w:color w:val="000000"/>
          <w:sz w:val="24"/>
          <w:szCs w:val="24"/>
        </w:rPr>
        <w:t xml:space="preserve"> su tei</w:t>
      </w:r>
      <w:r w:rsidRPr="0021693C">
        <w:rPr>
          <w:rFonts w:ascii="Times New Roman" w:hAnsi="Times New Roman"/>
          <w:color w:val="000000"/>
          <w:sz w:val="24"/>
          <w:szCs w:val="24"/>
        </w:rPr>
        <w:t xml:space="preserve">kėju atsiskaitoma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(trisdešimt) dienų nuo sąskaitos faktūros gavimo dienos.</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lastRenderedPageBreak/>
        <w:t>Tei</w:t>
      </w:r>
      <w:r w:rsidR="00CD73C4" w:rsidRPr="0021693C">
        <w:rPr>
          <w:rFonts w:ascii="Times New Roman" w:hAnsi="Times New Roman"/>
          <w:iCs/>
          <w:color w:val="000000"/>
          <w:sz w:val="24"/>
          <w:szCs w:val="24"/>
        </w:rPr>
        <w:t>kėjas įsipareigoja sutartyje nustat</w:t>
      </w:r>
      <w:r w:rsidR="00DC4290">
        <w:rPr>
          <w:rFonts w:ascii="Times New Roman" w:hAnsi="Times New Roman"/>
          <w:iCs/>
          <w:color w:val="000000"/>
          <w:sz w:val="24"/>
          <w:szCs w:val="24"/>
        </w:rPr>
        <w:t>ytais terminais ir sąlygomis tei</w:t>
      </w:r>
      <w:r w:rsidR="00CD73C4" w:rsidRPr="0021693C">
        <w:rPr>
          <w:rFonts w:ascii="Times New Roman" w:hAnsi="Times New Roman"/>
          <w:iCs/>
          <w:color w:val="000000"/>
          <w:sz w:val="24"/>
          <w:szCs w:val="24"/>
        </w:rPr>
        <w:t>kti kokybiškas, techninėje specifikacijoje (sutarties priede) nustatytus reikalavimus, atitinkančias p</w:t>
      </w:r>
      <w:r w:rsidR="0021693C" w:rsidRPr="0021693C">
        <w:rPr>
          <w:rFonts w:ascii="Times New Roman" w:hAnsi="Times New Roman"/>
          <w:iCs/>
          <w:color w:val="000000"/>
          <w:sz w:val="24"/>
          <w:szCs w:val="24"/>
        </w:rPr>
        <w:t>aslaugas</w:t>
      </w:r>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r w:rsidRPr="0021693C">
        <w:rPr>
          <w:rFonts w:ascii="Times New Roman" w:hAnsi="Times New Roman"/>
          <w:color w:val="000000"/>
          <w:sz w:val="24"/>
          <w:szCs w:val="24"/>
        </w:rPr>
        <w:t xml:space="preserve">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w:t>
      </w:r>
      <w:r w:rsidR="00DC4290">
        <w:rPr>
          <w:rFonts w:ascii="Times New Roman" w:hAnsi="Times New Roman"/>
          <w:color w:val="000000"/>
          <w:sz w:val="24"/>
          <w:szCs w:val="24"/>
        </w:rPr>
        <w:t xml:space="preserve"> toms paslaugoms, kurios bus tei</w:t>
      </w:r>
      <w:r w:rsidRPr="0021693C">
        <w:rPr>
          <w:rFonts w:ascii="Times New Roman" w:hAnsi="Times New Roman"/>
          <w:color w:val="000000"/>
          <w:sz w:val="24"/>
          <w:szCs w:val="24"/>
        </w:rPr>
        <w:t>kiamos po įstatymo, keičiančio PVM dydį, įsigaliojimo, jeigu tame įstatyme nenumatyta kitaip. Kainos perskaičiavimas įforminamas protokolu. Perskaičiuota kaina įsigalioja nuo Pe</w:t>
      </w:r>
      <w:r w:rsidR="00DC4290">
        <w:rPr>
          <w:rFonts w:ascii="Times New Roman" w:hAnsi="Times New Roman"/>
          <w:color w:val="000000"/>
          <w:sz w:val="24"/>
          <w:szCs w:val="24"/>
        </w:rPr>
        <w:t>rkančiosios organizacijos ir Tei</w:t>
      </w:r>
      <w:r w:rsidRPr="0021693C">
        <w:rPr>
          <w:rFonts w:ascii="Times New Roman" w:hAnsi="Times New Roman"/>
          <w:color w:val="000000"/>
          <w:sz w:val="24"/>
          <w:szCs w:val="24"/>
        </w:rPr>
        <w:t>kėjo protokolo pasirašymo momento.</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6668C7CD"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C107C5">
        <w:rPr>
          <w:color w:val="000000"/>
        </w:rPr>
        <w:t>12</w:t>
      </w:r>
      <w:r w:rsidRPr="0077085F">
        <w:rPr>
          <w:color w:val="000000"/>
        </w:rPr>
        <w:t xml:space="preserve"> </w:t>
      </w:r>
      <w:r w:rsidR="00566D81">
        <w:rPr>
          <w:color w:val="000000"/>
        </w:rPr>
        <w:t>mėn.</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17F5EAD0"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160613">
        <w:t xml:space="preserve">          </w:t>
      </w:r>
      <w:r w:rsidR="00201A2D">
        <w:t xml:space="preserve">    </w:t>
      </w:r>
      <w:r w:rsidRPr="004F7CE1">
        <w:t xml:space="preserve"> </w:t>
      </w:r>
      <w:r w:rsidR="00201A2D">
        <w:t xml:space="preserve"> kpt. Tomas Čereška</w:t>
      </w:r>
    </w:p>
    <w:p w14:paraId="784557CF" w14:textId="77777777" w:rsidR="00CD73C4" w:rsidRDefault="00CD73C4" w:rsidP="00CD73C4">
      <w:pPr>
        <w:tabs>
          <w:tab w:val="left" w:pos="6480"/>
          <w:tab w:val="left" w:pos="7230"/>
        </w:tabs>
        <w:jc w:val="both"/>
      </w:pPr>
    </w:p>
    <w:p w14:paraId="174691CB" w14:textId="70D883F7" w:rsidR="00CD73C4" w:rsidRPr="0063141E" w:rsidRDefault="00CD73C4" w:rsidP="00CD73C4">
      <w:pPr>
        <w:tabs>
          <w:tab w:val="left" w:pos="6480"/>
          <w:tab w:val="left" w:pos="7230"/>
        </w:tabs>
        <w:jc w:val="both"/>
      </w:pPr>
      <w:r>
        <w:t xml:space="preserve">Pirkimų organizatorius </w:t>
      </w:r>
      <w:r>
        <w:tab/>
        <w:t xml:space="preserve">         </w:t>
      </w:r>
      <w:r w:rsidR="0023109C">
        <w:t xml:space="preserve">     </w:t>
      </w:r>
      <w:r>
        <w:t xml:space="preserve">    </w:t>
      </w:r>
      <w:r w:rsidR="0023109C">
        <w:t>vyr.</w:t>
      </w:r>
      <w:r>
        <w:t xml:space="preserve"> </w:t>
      </w:r>
      <w:r w:rsidR="00201A2D">
        <w:t xml:space="preserve">eil. </w:t>
      </w:r>
      <w:r w:rsidR="008B5D93">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4937F16" w14:textId="3C86EA40" w:rsidR="0021693C" w:rsidRDefault="0021693C" w:rsidP="00CD73C4">
      <w:pPr>
        <w:jc w:val="both"/>
      </w:pPr>
    </w:p>
    <w:p w14:paraId="1ED56E25" w14:textId="0794C0AF" w:rsidR="005A2A3F" w:rsidRDefault="005A2A3F" w:rsidP="00CD73C4">
      <w:pPr>
        <w:jc w:val="both"/>
      </w:pPr>
    </w:p>
    <w:p w14:paraId="70B0B3CA" w14:textId="77777777" w:rsidR="005A2A3F" w:rsidRDefault="005A2A3F" w:rsidP="00CD73C4">
      <w:pPr>
        <w:jc w:val="both"/>
      </w:pPr>
    </w:p>
    <w:p w14:paraId="0366D7E7" w14:textId="2E67EFC6" w:rsidR="00056D13" w:rsidRDefault="00056D13" w:rsidP="00CD73C4">
      <w:pPr>
        <w:jc w:val="both"/>
      </w:pPr>
    </w:p>
    <w:p w14:paraId="64663FBE" w14:textId="0F170F9E" w:rsidR="00D24724" w:rsidRDefault="00D24724" w:rsidP="00CD73C4">
      <w:pPr>
        <w:jc w:val="both"/>
      </w:pPr>
    </w:p>
    <w:p w14:paraId="02BEE077" w14:textId="696F213A" w:rsidR="00D24724" w:rsidRDefault="00D24724" w:rsidP="00CD73C4">
      <w:pPr>
        <w:jc w:val="both"/>
      </w:pPr>
    </w:p>
    <w:p w14:paraId="675AAF3F" w14:textId="77777777" w:rsidR="00D24724" w:rsidRDefault="00D24724" w:rsidP="00CD73C4">
      <w:pPr>
        <w:jc w:val="both"/>
      </w:pPr>
    </w:p>
    <w:p w14:paraId="24872290" w14:textId="36012065" w:rsidR="00056D13" w:rsidRDefault="00056D13"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11B6A8C5" w14:textId="0D172D92" w:rsidR="005A2A3F" w:rsidRDefault="005A2A3F" w:rsidP="007F0B5B">
      <w:pPr>
        <w:jc w:val="center"/>
        <w:rPr>
          <w:b/>
          <w:iCs/>
          <w:caps/>
          <w:u w:val="single"/>
        </w:rPr>
      </w:pPr>
      <w:r w:rsidRPr="005A2A3F">
        <w:rPr>
          <w:b/>
          <w:iCs/>
          <w:caps/>
          <w:u w:val="single"/>
        </w:rPr>
        <w:t>duomenų šifr</w:t>
      </w:r>
      <w:r>
        <w:rPr>
          <w:b/>
          <w:iCs/>
          <w:caps/>
          <w:u w:val="single"/>
        </w:rPr>
        <w:t>avimo įrenginių remonto paslaugA</w:t>
      </w:r>
      <w:r w:rsidRPr="005A2A3F">
        <w:rPr>
          <w:b/>
          <w:iCs/>
          <w:caps/>
          <w:u w:val="single"/>
        </w:rPr>
        <w:t xml:space="preserve"> </w:t>
      </w:r>
    </w:p>
    <w:p w14:paraId="53CE9A7D" w14:textId="76AACE3B"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EA17F3" w:rsidRDefault="00EA17F3"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EA17F3" w:rsidRDefault="00EA17F3"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4E39CDA" w:rsidR="00023319" w:rsidRDefault="00023319" w:rsidP="00752CBE">
            <w:pPr>
              <w:jc w:val="center"/>
            </w:pPr>
            <w:r>
              <w:t>1</w:t>
            </w:r>
            <w:r w:rsidR="00EA17F3">
              <w:t>.</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33BC47DF" w:rsidR="00023319" w:rsidRPr="00B0353B" w:rsidRDefault="005A2A3F" w:rsidP="00615DC4">
            <w:pPr>
              <w:rPr>
                <w:color w:val="000000"/>
              </w:rPr>
            </w:pPr>
            <w:r>
              <w:rPr>
                <w:color w:val="000000"/>
              </w:rPr>
              <w:t>D</w:t>
            </w:r>
            <w:r w:rsidRPr="005A2A3F">
              <w:rPr>
                <w:color w:val="000000"/>
              </w:rPr>
              <w:t>uomenų šifravimo įrenginių remonto paslaug</w:t>
            </w:r>
            <w:r>
              <w:rPr>
                <w:color w:val="000000"/>
              </w:rPr>
              <w:t>a</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541B34E1" w:rsidR="00023319" w:rsidRDefault="005A2A3F" w:rsidP="00752CBE">
            <w:pPr>
              <w:jc w:val="center"/>
              <w:rPr>
                <w:color w:val="000000"/>
              </w:rPr>
            </w:pPr>
            <w:r>
              <w:rPr>
                <w:color w:val="000000"/>
              </w:rPr>
              <w:t>8</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2A792A22" w14:textId="29058B2F" w:rsidR="00791500" w:rsidRPr="00A07824" w:rsidRDefault="000D58AB" w:rsidP="00A07824">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r w:rsidR="00791500">
        <w:t>s:</w:t>
      </w:r>
    </w:p>
    <w:p w14:paraId="00F1F552" w14:textId="5A4FB56C" w:rsidR="00052F1C" w:rsidRDefault="00052F1C" w:rsidP="00791500">
      <w:pPr>
        <w:ind w:right="282"/>
      </w:pPr>
    </w:p>
    <w:p w14:paraId="3EEFE160" w14:textId="77777777" w:rsidR="00791500" w:rsidRDefault="00791500" w:rsidP="00791500">
      <w:pPr>
        <w:ind w:right="282"/>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FB03E1">
              <w:rPr>
                <w:bCs/>
                <w:color w:val="000000"/>
              </w:rPr>
              <w:lastRenderedPageBreak/>
              <w:t>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„Tei</w:t>
            </w:r>
            <w:r w:rsidR="000A24D5" w:rsidRPr="0063141E">
              <w:rPr>
                <w:rStyle w:val="Emphasis"/>
                <w:i w:val="0"/>
                <w:lang w:val="en"/>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4EF1F63A" w:rsidR="000A24D5" w:rsidRPr="0063141E" w:rsidRDefault="00DC4290" w:rsidP="00324E9F">
            <w:pPr>
              <w:shd w:val="clear" w:color="auto" w:fill="FFFFFF"/>
              <w:jc w:val="both"/>
              <w:rPr>
                <w:i/>
              </w:rPr>
            </w:pPr>
            <w:r>
              <w:rPr>
                <w:rStyle w:val="Emphasis"/>
                <w:i w:val="0"/>
                <w:lang w:val="en"/>
              </w:rPr>
              <w:t>Pateikiama laisvos formos tei</w:t>
            </w:r>
            <w:r w:rsidR="000A24D5" w:rsidRPr="0063141E">
              <w:rPr>
                <w:rStyle w:val="Emphasis"/>
                <w:i w:val="0"/>
                <w:lang w:val="en"/>
              </w:rPr>
              <w:t>kėjo deklaracija.</w:t>
            </w:r>
            <w:r w:rsidR="000A24D5">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C238DAB" w:rsidR="00056D13" w:rsidRPr="00E052F5" w:rsidRDefault="00056D13" w:rsidP="00056D13">
      <w:pPr>
        <w:shd w:val="clear" w:color="auto" w:fill="FFFFFF"/>
        <w:suppressAutoHyphens/>
        <w:ind w:right="-178"/>
        <w:jc w:val="center"/>
        <w:rPr>
          <w:sz w:val="20"/>
          <w:szCs w:val="20"/>
        </w:rPr>
      </w:pPr>
      <w:r w:rsidRPr="00E052F5">
        <w:rPr>
          <w:sz w:val="20"/>
          <w:szCs w:val="20"/>
        </w:rPr>
        <w:t>(</w:t>
      </w:r>
      <w:r w:rsidR="00DC4290">
        <w:rPr>
          <w:i/>
          <w:iCs/>
          <w:sz w:val="20"/>
          <w:szCs w:val="20"/>
        </w:rPr>
        <w:t>tei</w:t>
      </w:r>
      <w:r w:rsidRPr="00E052F5">
        <w:rPr>
          <w:i/>
          <w:iCs/>
          <w:sz w:val="20"/>
          <w:szCs w:val="20"/>
        </w:rPr>
        <w:t>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2CFB86F6" w:rsidR="00056D13" w:rsidRPr="00E052F5" w:rsidRDefault="00DC4290" w:rsidP="00056D13">
      <w:pPr>
        <w:ind w:left="960" w:firstLine="318"/>
        <w:jc w:val="both"/>
        <w:rPr>
          <w:color w:val="000000"/>
          <w:sz w:val="20"/>
          <w:szCs w:val="20"/>
        </w:rPr>
      </w:pPr>
      <w:r>
        <w:rPr>
          <w:i/>
          <w:iCs/>
          <w:color w:val="000000"/>
          <w:sz w:val="20"/>
          <w:szCs w:val="20"/>
        </w:rPr>
        <w:t>(tei</w:t>
      </w:r>
      <w:r w:rsidR="00056D13" w:rsidRPr="00E052F5">
        <w:rPr>
          <w:i/>
          <w:iCs/>
          <w:color w:val="000000"/>
          <w:sz w:val="20"/>
          <w:szCs w:val="20"/>
        </w:rPr>
        <w:t>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4D6B3E54" w:rsidR="00056D13" w:rsidRPr="00E052F5" w:rsidRDefault="00DC4290" w:rsidP="00056D13">
      <w:pPr>
        <w:ind w:left="5640" w:firstLine="742"/>
        <w:jc w:val="both"/>
        <w:rPr>
          <w:color w:val="000000"/>
          <w:sz w:val="20"/>
          <w:szCs w:val="20"/>
        </w:rPr>
      </w:pPr>
      <w:r>
        <w:rPr>
          <w:i/>
          <w:iCs/>
          <w:color w:val="000000"/>
          <w:sz w:val="20"/>
          <w:szCs w:val="20"/>
        </w:rPr>
        <w:t>(tei</w:t>
      </w:r>
      <w:r w:rsidR="00056D13" w:rsidRPr="00E052F5">
        <w:rPr>
          <w:i/>
          <w:iCs/>
          <w:color w:val="000000"/>
          <w:sz w:val="20"/>
          <w:szCs w:val="20"/>
        </w:rPr>
        <w:t xml:space="preserv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56D13" w:rsidRPr="00E052F5" w14:paraId="613CCEA5" w14:textId="77777777" w:rsidTr="00E906DD">
        <w:trPr>
          <w:trHeight w:val="2043"/>
        </w:trPr>
        <w:tc>
          <w:tcPr>
            <w:tcW w:w="9918" w:type="dxa"/>
            <w:tcBorders>
              <w:top w:val="nil"/>
              <w:left w:val="nil"/>
              <w:bottom w:val="nil"/>
              <w:right w:val="nil"/>
            </w:tcBorders>
            <w:hideMark/>
          </w:tcPr>
          <w:p w14:paraId="2D81A251" w14:textId="47EB4C63" w:rsidR="00056D13" w:rsidRPr="00E052F5" w:rsidRDefault="00FC26DD" w:rsidP="00FC26DD">
            <w:pPr>
              <w:ind w:left="169"/>
              <w:jc w:val="both"/>
              <w:rPr>
                <w:szCs w:val="20"/>
              </w:rPr>
            </w:pPr>
            <w:r>
              <w:rPr>
                <w:szCs w:val="20"/>
                <w:lang w:eastAsia="lt-LT"/>
              </w:rPr>
              <w:t>T</w:t>
            </w:r>
            <w:r w:rsidR="00DC4290">
              <w:rPr>
                <w:szCs w:val="20"/>
                <w:lang w:eastAsia="lt-LT"/>
              </w:rPr>
              <w:t>ei</w:t>
            </w:r>
            <w:r w:rsidR="00056D13" w:rsidRPr="00E052F5">
              <w:rPr>
                <w:szCs w:val="20"/>
                <w:lang w:eastAsia="lt-LT"/>
              </w:rPr>
              <w:t>kėjo siūlomos p</w:t>
            </w:r>
            <w:r w:rsidR="00E17AD6">
              <w:rPr>
                <w:szCs w:val="20"/>
                <w:lang w:eastAsia="lt-LT"/>
              </w:rPr>
              <w:t>aslaugos</w:t>
            </w:r>
            <w:r w:rsidR="00056D13" w:rsidRPr="00E052F5">
              <w:rPr>
                <w:szCs w:val="20"/>
                <w:lang w:eastAsia="lt-LT"/>
              </w:rPr>
              <w:t xml:space="preserve"> nekelia grėsmės nacionaliniam saugumui – vadovaujantis </w:t>
            </w:r>
            <w:r w:rsidR="00056D13" w:rsidRPr="00E052F5">
              <w:rPr>
                <w:color w:val="000000"/>
                <w:szCs w:val="20"/>
              </w:rPr>
              <w:t>Lietuvos Respublikos viešųjų pirkimų, atliekamų gynybos ir saugumo srityje, įstatymo</w:t>
            </w:r>
            <w:r w:rsidR="00056D13" w:rsidRPr="00E052F5">
              <w:rPr>
                <w:szCs w:val="20"/>
                <w:lang w:eastAsia="lt-LT"/>
              </w:rPr>
              <w:t xml:space="preserve"> (toliau – GĮ) 40 straipsnio 9 dalies 1 punktu, </w:t>
            </w:r>
            <w:r w:rsidR="00056D13" w:rsidRPr="00E052F5">
              <w:rPr>
                <w:color w:val="000000"/>
                <w:szCs w:val="20"/>
              </w:rPr>
              <w:t>p</w:t>
            </w:r>
            <w:r w:rsidR="00E17AD6">
              <w:rPr>
                <w:color w:val="000000"/>
                <w:szCs w:val="20"/>
              </w:rPr>
              <w:t>aslaugų tei</w:t>
            </w:r>
            <w:r w:rsidR="00056D13" w:rsidRPr="00E052F5">
              <w:rPr>
                <w:color w:val="000000"/>
                <w:szCs w:val="20"/>
              </w:rPr>
              <w:t>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FA133D6" w14:textId="77777777" w:rsidR="00056D13" w:rsidRPr="00E052F5" w:rsidRDefault="00056D13" w:rsidP="00FC26DD">
      <w:pPr>
        <w:shd w:val="clear" w:color="auto" w:fill="FFFFFF"/>
        <w:ind w:firstLine="284"/>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FC26DD">
      <w:pPr>
        <w:ind w:left="284"/>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FC26DD">
      <w:pPr>
        <w:ind w:left="284"/>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0C09D03E" w:rsidR="00056D13" w:rsidRPr="00A93F30" w:rsidRDefault="00DC4290" w:rsidP="00056D13">
      <w:pPr>
        <w:jc w:val="center"/>
        <w:rPr>
          <w:b/>
        </w:rPr>
      </w:pPr>
      <w:r>
        <w:rPr>
          <w:b/>
          <w:color w:val="000000" w:themeColor="text1"/>
        </w:rPr>
        <w:t>INFORMACIJA APIE TEI</w:t>
      </w:r>
      <w:r w:rsidR="00056D13" w:rsidRPr="00A93F30">
        <w:rPr>
          <w:b/>
          <w:color w:val="000000" w:themeColor="text1"/>
        </w:rPr>
        <w:t xml:space="preserve">KĖJĄ </w:t>
      </w:r>
      <w:r w:rsidR="00056D13" w:rsidRPr="00A93F30">
        <w:rPr>
          <w:b/>
        </w:rPr>
        <w:t>(SUBTIEKĖJĄ, SUBRANGOVĄ, SUTARTINAI VEIKIANTĮ ASMENĮ)</w:t>
      </w:r>
    </w:p>
    <w:p w14:paraId="5818BBE3" w14:textId="43FAED6A" w:rsidR="00056D13" w:rsidRPr="00A93F30" w:rsidRDefault="00DC4290" w:rsidP="00056D13">
      <w:pPr>
        <w:jc w:val="center"/>
        <w:rPr>
          <w:sz w:val="20"/>
          <w:szCs w:val="20"/>
        </w:rPr>
      </w:pPr>
      <w:r>
        <w:rPr>
          <w:sz w:val="20"/>
          <w:szCs w:val="20"/>
        </w:rPr>
        <w:t>(apie tei</w:t>
      </w:r>
      <w:r w:rsidR="00056D13" w:rsidRPr="00A93F30">
        <w:rPr>
          <w:sz w:val="20"/>
          <w:szCs w:val="20"/>
        </w:rPr>
        <w:t>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025168BA" w:rsidR="00056D13" w:rsidRPr="00A93F30" w:rsidRDefault="004C03E0" w:rsidP="004C03E0">
            <w:pPr>
              <w:tabs>
                <w:tab w:val="left" w:pos="720"/>
              </w:tabs>
              <w:ind w:firstLine="17"/>
              <w:contextualSpacing/>
              <w:rPr>
                <w:b/>
              </w:rPr>
            </w:pPr>
            <w:r>
              <w:t>Jeigu tei</w:t>
            </w:r>
            <w:r w:rsidR="00056D13" w:rsidRPr="00A93F30">
              <w:t>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w:t>
            </w:r>
            <w:r>
              <w:t>tyta toje valstybėje, kurioje tei</w:t>
            </w:r>
            <w:r w:rsidR="00056D13" w:rsidRPr="00A93F30">
              <w:t>kėjas registruota</w:t>
            </w:r>
            <w:r>
              <w:t>s) išduotas dokumentas. Jeigu tei</w:t>
            </w:r>
            <w:r w:rsidR="00056D13" w:rsidRPr="00A93F30">
              <w:t>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210AC81" w:rsidR="00056D13" w:rsidRPr="00A93F30" w:rsidRDefault="004C03E0" w:rsidP="00160613">
            <w:pPr>
              <w:ind w:firstLine="0"/>
            </w:pPr>
            <w:r>
              <w:t>Jeigu tei</w:t>
            </w:r>
            <w:r w:rsidR="00056D13" w:rsidRPr="00A93F30">
              <w:t>kėjas yra juridinis asmuo, – jo (jeigu reikia – ir sutartinai veikiančių asmenų) galutinių savininkų, kurie tiesiogiai ir (a</w:t>
            </w:r>
            <w:r w:rsidR="00DC4290">
              <w:t>r) netiesiogiai kontroliuoja tei</w:t>
            </w:r>
            <w:r w:rsidR="00056D13" w:rsidRPr="00A93F30">
              <w:t>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62BB0004" w:rsidR="00056D13" w:rsidRPr="00A93F30" w:rsidRDefault="00A61DEC" w:rsidP="00160613">
            <w:pPr>
              <w:tabs>
                <w:tab w:val="left" w:pos="720"/>
              </w:tabs>
              <w:ind w:firstLine="17"/>
              <w:contextualSpacing/>
              <w:rPr>
                <w:b/>
              </w:rPr>
            </w:pPr>
            <w:r>
              <w:rPr>
                <w:lang w:eastAsia="lt-LT"/>
              </w:rPr>
              <w:t>Jei tei</w:t>
            </w:r>
            <w:r w:rsidR="00056D13" w:rsidRPr="00A93F30">
              <w:rPr>
                <w:lang w:eastAsia="lt-LT"/>
              </w:rPr>
              <w:t>kėjas yra juridinis asmuo, – duomenys apie jo (jeigu reikia – ir sutartinai veikiančių asmenų) galutiniams savininkams, kurie tiesiogiai ir (a</w:t>
            </w:r>
            <w:r w:rsidR="00DC4290">
              <w:rPr>
                <w:lang w:eastAsia="lt-LT"/>
              </w:rPr>
              <w:t>r) netiesiogiai kontroliuoja tei</w:t>
            </w:r>
            <w:r w:rsidR="00056D13" w:rsidRPr="00A93F30">
              <w:rPr>
                <w:lang w:eastAsia="lt-LT"/>
              </w:rPr>
              <w:t>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5B77F9B3" w:rsidR="00056D13" w:rsidRPr="002556C7" w:rsidRDefault="00A61DEC" w:rsidP="00160613">
            <w:pPr>
              <w:ind w:firstLine="17"/>
              <w:rPr>
                <w:b/>
              </w:rPr>
            </w:pPr>
            <w:r>
              <w:rPr>
                <w:iCs/>
              </w:rPr>
              <w:t>Valstybių, kuriose Tei</w:t>
            </w:r>
            <w:r w:rsidR="00056D13" w:rsidRPr="002556C7">
              <w:rPr>
                <w:iCs/>
              </w:rPr>
              <w:t xml:space="preserve">kėjas vykdo veiklą, sąrašas </w:t>
            </w:r>
            <w:r w:rsidR="00DC4290">
              <w:rPr>
                <w:iCs/>
              </w:rPr>
              <w:t>ir veiklos pobūdis, taip pat Tei</w:t>
            </w:r>
            <w:r w:rsidR="00056D13" w:rsidRPr="002556C7">
              <w:rPr>
                <w:iCs/>
              </w:rPr>
              <w:t>kėjo verslo kooperacijos ir partnerystės ryšiais susijusių kitų valstybių subjektų sąrašas ir jų duomenys (juridinio asmens pavadinimas, kodas, fizinio asmens vardas, pavardė, asmens kodas, valstybės, kuriose šie subjektai veikia</w:t>
            </w:r>
            <w:r w:rsidR="00056D13">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 xml:space="preserve">Lietuvos Respublikos asmens duomenų, tvarkomų nusikalstamų veikų prevencijos, tyrimo, atskleidimo ar baudžiamojo persekiojimo už jas, bausmių vykdymo arba nacionalinio saugumo ar gynybos tikslais, </w:t>
      </w:r>
      <w:r w:rsidRPr="00A93F30">
        <w:rPr>
          <w:lang w:eastAsia="lt-LT"/>
        </w:rPr>
        <w:lastRenderedPageBreak/>
        <w:t>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61EC0BAF" w:rsidR="005A2A3F" w:rsidRDefault="005A2A3F">
      <w:pPr>
        <w:rPr>
          <w:b/>
        </w:rPr>
      </w:pPr>
      <w:r>
        <w:rPr>
          <w:b/>
        </w:rPr>
        <w:br w:type="page"/>
      </w:r>
    </w:p>
    <w:p w14:paraId="37891CFB" w14:textId="77777777" w:rsidR="00056D13" w:rsidRDefault="00056D13" w:rsidP="0049779A">
      <w:pPr>
        <w:rPr>
          <w:b/>
        </w:rPr>
      </w:pPr>
    </w:p>
    <w:p w14:paraId="3C92AF60" w14:textId="367AE564" w:rsidR="00056D13" w:rsidRDefault="00056D13" w:rsidP="0049779A">
      <w:pPr>
        <w:rPr>
          <w:b/>
        </w:rPr>
      </w:pPr>
    </w:p>
    <w:p w14:paraId="53CE9AD0" w14:textId="53DC2882" w:rsidR="0049779A" w:rsidRPr="00EA73AC" w:rsidRDefault="0049779A" w:rsidP="0049779A">
      <w:pPr>
        <w:jc w:val="center"/>
        <w:rPr>
          <w:b/>
        </w:rPr>
      </w:pPr>
      <w:r w:rsidRPr="00EA73AC">
        <w:rPr>
          <w:b/>
        </w:rPr>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4A301A92"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Pr="003B29F3">
        <w:rPr>
          <w:lang w:eastAsia="lt-LT"/>
        </w:rPr>
        <w:t>2018 m. rugpjūčio 28 d. įsakymu Nr. V-747</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57AFBE46"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5A2A3F" w:rsidRPr="005A2A3F">
              <w:t>duomenų šifravimo įrenginių remonto paslaugą</w:t>
            </w:r>
            <w:r w:rsidRPr="00AE09B3">
              <w:rPr>
                <w:lang w:eastAsia="lt-LT"/>
              </w:rPr>
              <w:t xml:space="preserve"> (toliau – paslaugos), atitinkanči</w:t>
            </w:r>
            <w:r w:rsidR="005A2A3F">
              <w:rPr>
                <w:lang w:eastAsia="lt-LT"/>
              </w:rPr>
              <w:t>ą</w:t>
            </w:r>
            <w:r w:rsidRPr="00AE09B3">
              <w:rPr>
                <w:lang w:eastAsia="lt-LT"/>
              </w:rPr>
              <w:t xml:space="preserve"> Sutarties 1 priede </w:t>
            </w:r>
            <w:r w:rsidRPr="000D52FA">
              <w:rPr>
                <w:lang w:eastAsia="lt-LT"/>
              </w:rPr>
              <w:t>,,</w:t>
            </w:r>
            <w:r w:rsidR="005A2A3F">
              <w:rPr>
                <w:lang w:eastAsia="lt-LT"/>
              </w:rPr>
              <w:t>D</w:t>
            </w:r>
            <w:r w:rsidR="005A2A3F" w:rsidRPr="005A2A3F">
              <w:rPr>
                <w:lang w:eastAsia="lt-LT"/>
              </w:rPr>
              <w:t>uomenų šifravimo įrenginių remonto paslaug</w:t>
            </w:r>
            <w:r w:rsidR="005A2A3F">
              <w:rPr>
                <w:lang w:eastAsia="lt-LT"/>
              </w:rPr>
              <w:t>os</w:t>
            </w:r>
            <w:r w:rsidR="005A2A3F" w:rsidRPr="005A2A3F">
              <w:rPr>
                <w:lang w:eastAsia="lt-LT"/>
              </w:rPr>
              <w:t xml:space="preserve"> </w:t>
            </w:r>
            <w:r>
              <w:rPr>
                <w:lang w:eastAsia="lt-LT"/>
              </w:rPr>
              <w:t>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105AD88D" w14:textId="7203DCD2" w:rsidR="000D52FA" w:rsidRDefault="000D52FA" w:rsidP="000D52FA">
            <w:r w:rsidRPr="004C1DC9">
              <w:t xml:space="preserve">2.1. </w:t>
            </w:r>
            <w:r>
              <w:t>Sutarties bendra kaina-</w:t>
            </w:r>
          </w:p>
          <w:p w14:paraId="0832607C" w14:textId="10F2275D" w:rsidR="000D52FA" w:rsidRDefault="000D52FA" w:rsidP="000D52FA">
            <w:pPr>
              <w:jc w:val="both"/>
            </w:pPr>
            <w:r>
              <w:t xml:space="preserve">2.2. Sutarčiai taikoma fiksuota kainodara. </w:t>
            </w:r>
          </w:p>
          <w:p w14:paraId="207D98D4" w14:textId="0A267F90" w:rsidR="003B29F3" w:rsidRPr="000D52FA" w:rsidRDefault="000D52FA" w:rsidP="000D52FA">
            <w:pPr>
              <w:rPr>
                <w:b/>
              </w:rPr>
            </w:pPr>
            <w:r>
              <w:t>2.3.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12EB17A8" w14:textId="66AF341B" w:rsidR="008E25A5" w:rsidRDefault="00DC4290" w:rsidP="002F33ED">
            <w:pPr>
              <w:jc w:val="both"/>
            </w:pPr>
            <w:r>
              <w:t>3.1</w:t>
            </w:r>
            <w:r w:rsidR="002F33ED">
              <w:t xml:space="preserve">. Paslaugų teikimo trukmė – </w:t>
            </w:r>
            <w:r w:rsidR="008E25A5">
              <w:t>ne ilgiau nei 12 mėn.</w:t>
            </w:r>
            <w:r w:rsidR="007126E4">
              <w:t xml:space="preserve"> nuo sutarties pasirašymo dienos. Paslaugų teikimo trukmė susideda iš </w:t>
            </w:r>
            <w:r w:rsidR="008E25A5">
              <w:t>:</w:t>
            </w:r>
          </w:p>
          <w:p w14:paraId="64A20A1E" w14:textId="6B650598" w:rsidR="008E25A5" w:rsidRDefault="008E25A5" w:rsidP="002F33ED">
            <w:pPr>
              <w:jc w:val="both"/>
            </w:pPr>
            <w:r>
              <w:t>3.1.1. Įrenginių remonto trukmė</w:t>
            </w:r>
            <w:r w:rsidR="007126E4">
              <w:t>s</w:t>
            </w:r>
            <w:r>
              <w:t xml:space="preserve"> - </w:t>
            </w:r>
            <w:r w:rsidRPr="005F094F">
              <w:t>ne ilgiau kaip 40 kalendorinių dienų.</w:t>
            </w:r>
          </w:p>
          <w:p w14:paraId="00FB4EEE" w14:textId="1C3C3B88" w:rsidR="002F33ED" w:rsidRDefault="008E25A5" w:rsidP="00575FEC">
            <w:pPr>
              <w:jc w:val="both"/>
            </w:pPr>
            <w:r>
              <w:t>3.1.2. Įrenginių transportavimo trukmė</w:t>
            </w:r>
            <w:r w:rsidR="007126E4">
              <w:t>s</w:t>
            </w:r>
            <w:r>
              <w:t xml:space="preserve"> į</w:t>
            </w:r>
            <w:r w:rsidR="00575FEC">
              <w:t>/iš</w:t>
            </w:r>
            <w:r>
              <w:t xml:space="preserve"> įrenginių remonto vietą</w:t>
            </w:r>
            <w:r w:rsidR="006E6B95">
              <w:t>/os. Šifravimo įrenginių pristatymą į/iš remonto vietos organizuoja Pirkėjas, pasitelkdamas NATO šalių nacionalinių šifrų paskirstymo tarnybų (angl. NDA – National Distribution Authority) pajėgumus</w:t>
            </w:r>
            <w:r w:rsidR="00EA17F3">
              <w:t>.</w:t>
            </w:r>
          </w:p>
          <w:p w14:paraId="78910A8B" w14:textId="74B4DED4" w:rsidR="00083756" w:rsidRPr="003B29F3" w:rsidRDefault="006E6B95" w:rsidP="004363E5">
            <w:pPr>
              <w:jc w:val="both"/>
            </w:pPr>
            <w:r>
              <w:t>3.2</w:t>
            </w:r>
            <w:r w:rsidR="00083756" w:rsidRPr="003B29F3">
              <w:t>. Pardavėjas įsipareigoja:</w:t>
            </w:r>
          </w:p>
          <w:p w14:paraId="6F4E7A11" w14:textId="3ACEA847" w:rsidR="00083756" w:rsidRPr="003B29F3" w:rsidRDefault="006E6B95" w:rsidP="00083756">
            <w:pPr>
              <w:jc w:val="both"/>
            </w:pPr>
            <w:r>
              <w:t>3.2</w:t>
            </w:r>
            <w:r w:rsidR="00083756" w:rsidRPr="003B29F3">
              <w:t xml:space="preserve">.1. užtikrinti, kad </w:t>
            </w:r>
            <w:r w:rsidR="007C5167">
              <w:t>suteikiamų paslaugų</w:t>
            </w:r>
            <w:r w:rsidR="00083756" w:rsidRPr="003B29F3">
              <w:t xml:space="preserve"> (įskaitant jų sudedamąsias dalis) kilmė nėra iš Viešųjų pirkimų įstatymo (toliau – VPĮ) 92 straipsnio 15 dalyje numatytame sąraše nurodytų valstybių ar teritorijų;</w:t>
            </w:r>
          </w:p>
          <w:p w14:paraId="30ADDCE1" w14:textId="6623D68C" w:rsidR="00083756" w:rsidRPr="003B29F3" w:rsidRDefault="006E6B95" w:rsidP="00083756">
            <w:pPr>
              <w:jc w:val="both"/>
            </w:pPr>
            <w:r>
              <w:t>3.2</w:t>
            </w:r>
            <w:r w:rsidR="00083756" w:rsidRPr="003B29F3">
              <w:t>.2 užtikrinti, kad pardavėjas, jo subtiekėjas, ūkio subjektai,</w:t>
            </w:r>
            <w:r w:rsidR="00DC4290">
              <w:t xml:space="preserve"> kurių pajėgumais remiamasi, tei</w:t>
            </w:r>
            <w:r w:rsidR="00083756" w:rsidRPr="003B29F3">
              <w:t xml:space="preserve">kėjo siūlomų </w:t>
            </w:r>
            <w:r w:rsidR="007C5167">
              <w:t>paslaugų</w:t>
            </w:r>
            <w:r w:rsidR="00083756" w:rsidRPr="003B29F3">
              <w:t xml:space="preserve"> (įskaitant jų sudedamąsias dalis) gamintojas ar juos kontroliuojantys asmenys nėra registruoti (juridiniai asmenys), nėra nuolat gyvenantys (fiziniai asmenys) VPĮ 92 straipsnio 15 dalyje numatytame sąraše n</w:t>
            </w:r>
            <w:r w:rsidR="00083756">
              <w:t>urodytų valstybių ar teritorijų;</w:t>
            </w:r>
          </w:p>
          <w:p w14:paraId="18FF8393" w14:textId="0D6A04DF" w:rsidR="00083756" w:rsidRDefault="006E6B95" w:rsidP="00083756">
            <w:pPr>
              <w:jc w:val="both"/>
            </w:pPr>
            <w:r>
              <w:t>3.2</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2080F617" w:rsidR="009D6A7E" w:rsidRPr="003B29F3" w:rsidRDefault="006E6B95" w:rsidP="00083756">
            <w:pPr>
              <w:jc w:val="both"/>
            </w:pPr>
            <w:r>
              <w:t>3.2</w:t>
            </w:r>
            <w:r w:rsidR="00083756">
              <w:t xml:space="preserve">.4. </w:t>
            </w:r>
            <w:r w:rsidR="00083756" w:rsidRPr="009D6A7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w:t>
            </w:r>
            <w:r w:rsidR="00083756" w:rsidRPr="009D6A7E">
              <w:lastRenderedPageBreak/>
              <w:t>Respublikos Seimo 2002 m. gegužės 28 d. nutarimu Nr. IX-907 „Dėl Nacionalinio saugumo strategijos patvirtinimo“, taip pat Va</w:t>
            </w:r>
            <w:r w:rsidR="00DC4290">
              <w:t>lstybių ar teritorijų, kurių tei</w:t>
            </w:r>
            <w:r w:rsidR="00083756" w:rsidRPr="009D6A7E">
              <w:t>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7684044C" w14:textId="38E03D8B" w:rsidR="00BA14C7" w:rsidRDefault="00C00D4D" w:rsidP="00C00D4D">
            <w:pPr>
              <w:jc w:val="both"/>
            </w:pPr>
            <w:r w:rsidRPr="003B29F3">
              <w:t xml:space="preserve">4.1. </w:t>
            </w:r>
            <w:r w:rsidR="00BA1803" w:rsidRPr="00BA1803">
              <w:t xml:space="preserve">Mokėtojas su Teikėju atsiskaito </w:t>
            </w:r>
            <w:r w:rsidR="00616475">
              <w:t xml:space="preserve">per </w:t>
            </w:r>
            <w:r w:rsidR="00616475" w:rsidRPr="00616475">
              <w:t>30 (trisdešimt) dienų nuo dokumento, patvirtinančio paslaugų perdavimą-priėmimą, pasirašymo ir sąskaitos gavimo dienos</w:t>
            </w:r>
            <w:r w:rsidR="00BA1803" w:rsidRPr="00BA1803">
              <w:t>.</w:t>
            </w:r>
            <w:r w:rsidR="00616475">
              <w:t xml:space="preserve"> </w:t>
            </w:r>
            <w:r w:rsidR="00616475" w:rsidRPr="00616475">
              <w:t xml:space="preserve">Paslaugų perdavimo-priėmimo </w:t>
            </w:r>
            <w:r w:rsidR="00616475">
              <w:t>aktas</w:t>
            </w:r>
            <w:r w:rsidR="00616475" w:rsidRPr="00616475">
              <w:t xml:space="preserve"> pasirašomas </w:t>
            </w:r>
            <w:r w:rsidR="00616475">
              <w:t xml:space="preserve">Pirkėjui atsiėmus šifravimo įrenginius iš </w:t>
            </w:r>
            <w:r w:rsidR="00616475" w:rsidRPr="00616475">
              <w:t>NATO šalių nacionalinių šifrų paskirstymo tarnybų</w:t>
            </w:r>
            <w:r w:rsidR="00616475">
              <w:t xml:space="preserve"> ir įvertinus ar</w:t>
            </w:r>
            <w:r w:rsidR="00616475" w:rsidRPr="00616475">
              <w:t xml:space="preserve"> paslaugos suteiktos kokybiškai ir atitinka Sutartyje ir jos priede (-uose) joms nustatytus reikalavimus. Mokėtojas pasirašydamas dokumentą, patvirtinantį paslaugų perdavimą-priėmimą, patvirtina paslaugų atitiktį Sutarties ir jos priedų reikalavimams.</w:t>
            </w:r>
          </w:p>
          <w:p w14:paraId="57E6B4DA" w14:textId="161A0FA9"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r w:rsidRPr="003B29F3">
              <w:rPr>
                <w:lang w:val="en-US"/>
              </w:rPr>
              <w:t xml:space="preserve">nevykdant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2312DAA1" w:rsidR="00BA1803" w:rsidRPr="002F33ED" w:rsidRDefault="00BA1803" w:rsidP="003B29F3">
            <w:pPr>
              <w:jc w:val="both"/>
            </w:pPr>
            <w:r>
              <w:t>5.4</w:t>
            </w:r>
            <w:r w:rsidR="002543E0">
              <w:t>.2. P</w:t>
            </w:r>
            <w:r w:rsidRPr="003B29F3">
              <w:t>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39F950DD"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77777777" w:rsidR="00B90F52" w:rsidRDefault="00B90F52" w:rsidP="00B90F52">
            <w:pPr>
              <w:jc w:val="both"/>
            </w:pPr>
            <w:r>
              <w:t>9.2. Sutarties bendrosios dalies 11.2 punkte nurodytų Šalių iš anksto sutartų minimalių nuostolių dydis yra 7 % nuo Sutarties kainos su PVM.</w:t>
            </w:r>
          </w:p>
          <w:p w14:paraId="6C682B3C" w14:textId="77777777" w:rsidR="00B90F52" w:rsidRDefault="00B90F52" w:rsidP="00B90F52">
            <w:pPr>
              <w:jc w:val="both"/>
            </w:pPr>
            <w:r>
              <w:t>9.3. Sutarties bendrosios dalies 11.3 punkte numatytų Šalių iš anksto sutartų minimalių nuostolių dydis –50 Eur.</w:t>
            </w:r>
          </w:p>
          <w:p w14:paraId="63DBF2DD" w14:textId="77777777" w:rsidR="00B90F52" w:rsidRDefault="00B90F52" w:rsidP="00B90F52">
            <w:pPr>
              <w:jc w:val="both"/>
            </w:pPr>
            <w:r>
              <w:lastRenderedPageBreak/>
              <w:t>9.4. Nenugalimos jėgos aplinkybių trukmė 30 dienų, taikant Sutarties bendrosios dalies 9.1.2 punkto sąlygas.</w:t>
            </w:r>
          </w:p>
          <w:p w14:paraId="3EFC1DED" w14:textId="58794D67"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Sakartvelo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61AAAB17"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el.</w:t>
            </w:r>
            <w:r w:rsidR="00EA17F3">
              <w:t xml:space="preserve"> </w:t>
            </w:r>
            <w:r w:rsidR="001876FC">
              <w:t xml:space="preserve">p.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11206876" w:rsidR="00FA660B" w:rsidRPr="00FA660B" w:rsidRDefault="00B90F52" w:rsidP="00FA660B">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5A2A3F">
              <w:t>D</w:t>
            </w:r>
            <w:r w:rsidR="005A2A3F" w:rsidRPr="005A2A3F">
              <w:t>uomenų šifr</w:t>
            </w:r>
            <w:r w:rsidR="005A2A3F">
              <w:t>avimo įrenginių remonto paslaugos</w:t>
            </w:r>
            <w:r w:rsidR="005A2A3F" w:rsidRPr="005A2A3F">
              <w:t xml:space="preserve"> 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lastRenderedPageBreak/>
              <w:t xml:space="preserve">10. Sutarties galiojimas </w:t>
            </w:r>
          </w:p>
          <w:p w14:paraId="0C2A4665" w14:textId="5E97DF1F"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5F094F">
              <w:rPr>
                <w:bCs/>
              </w:rPr>
              <w:t>12</w:t>
            </w:r>
            <w:r w:rsidR="002F33ED">
              <w:rPr>
                <w:bCs/>
              </w:rPr>
              <w:t xml:space="preserve"> mėn.</w:t>
            </w:r>
            <w:r w:rsidR="006854FC">
              <w:rPr>
                <w:bCs/>
              </w:rPr>
              <w:t>,</w:t>
            </w:r>
            <w:r w:rsidR="0077085F" w:rsidRPr="0077085F">
              <w:rPr>
                <w:bCs/>
              </w:rPr>
              <w:t xml:space="preserve"> nuo Sutarties įsigaliojimo dienos, o finansinių ir garantinių įsipareigojimų atžvilgiu – iki visiško finansinių ir garantinių įsipareigojimų įvykdymo.</w:t>
            </w:r>
          </w:p>
          <w:p w14:paraId="6BD86DFA" w14:textId="7DD213CE"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EA17F3">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110758"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5A2A3F" w:rsidRDefault="0049779A" w:rsidP="0049779A">
      <w:pPr>
        <w:snapToGrid w:val="0"/>
        <w:jc w:val="both"/>
        <w:rPr>
          <w:b/>
        </w:rPr>
      </w:pPr>
      <w:r w:rsidRPr="005A2A3F">
        <w:rPr>
          <w:b/>
        </w:rPr>
        <w:t>PIRKĖJAS</w:t>
      </w:r>
      <w:r w:rsidRPr="005A2A3F">
        <w:rPr>
          <w:b/>
        </w:rPr>
        <w:tab/>
      </w:r>
      <w:r w:rsidRPr="005A2A3F">
        <w:rPr>
          <w:b/>
        </w:rPr>
        <w:tab/>
      </w:r>
      <w:r w:rsidRPr="005A2A3F">
        <w:rPr>
          <w:b/>
        </w:rPr>
        <w:tab/>
      </w:r>
      <w:r w:rsidRPr="005A2A3F">
        <w:rPr>
          <w:b/>
        </w:rPr>
        <w:tab/>
      </w:r>
      <w:r w:rsidRPr="005A2A3F">
        <w:rPr>
          <w:b/>
        </w:rPr>
        <w:tab/>
      </w:r>
      <w:r w:rsidRPr="005A2A3F">
        <w:rPr>
          <w:b/>
        </w:rPr>
        <w:tab/>
      </w:r>
      <w:r w:rsidRPr="005A2A3F">
        <w:rPr>
          <w:b/>
        </w:rPr>
        <w:tab/>
      </w:r>
      <w:r w:rsidRPr="005A2A3F">
        <w:rPr>
          <w:b/>
        </w:rPr>
        <w:tab/>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0B80A31E" w14:textId="056459F8" w:rsidR="00916752" w:rsidRPr="006B504A" w:rsidRDefault="0049779A" w:rsidP="006B504A">
      <w:pPr>
        <w:tabs>
          <w:tab w:val="left" w:pos="5040"/>
        </w:tabs>
        <w:rPr>
          <w:szCs w:val="20"/>
        </w:rPr>
      </w:pPr>
      <w:r w:rsidRPr="00F76D1C">
        <w:t xml:space="preserve">A.V. </w:t>
      </w:r>
      <w:r w:rsidRPr="00F76D1C">
        <w:tab/>
      </w:r>
      <w:r>
        <w:tab/>
      </w:r>
      <w:r>
        <w:tab/>
      </w:r>
      <w:r w:rsidR="006B504A">
        <w:t>A.V.</w:t>
      </w:r>
    </w:p>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 xml:space="preserve">2.6. Su Sutarties specialiojoje dalyje nurodytu Subtiekėju (-ais)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įrodymus, Šalių ir Subtiekėjo pareiga informuoti apie rekvizitų pasikeitimus,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atsikirtimus,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48C1F417" w:rsidR="006854FC" w:rsidRPr="006854FC" w:rsidRDefault="006854FC" w:rsidP="006854FC">
      <w:pPr>
        <w:jc w:val="both"/>
        <w:rPr>
          <w:lang w:eastAsia="lt-LT"/>
        </w:rPr>
      </w:pPr>
      <w:r w:rsidRPr="006854FC">
        <w:rPr>
          <w:lang w:eastAsia="lt-LT"/>
        </w:rPr>
        <w:t>2.13. Visi Pirkimo sutarties mokėjimų dokumentai yra teikiami naudojantis informacinės sistemos „</w:t>
      </w:r>
      <w:r w:rsidR="003C61AB">
        <w:rPr>
          <w:lang w:eastAsia="lt-LT"/>
        </w:rPr>
        <w:t>SABIS</w:t>
      </w:r>
      <w:r w:rsidRPr="006854FC">
        <w:rPr>
          <w:lang w:eastAsia="lt-LT"/>
        </w:rPr>
        <w:t>“ priemonėmis. Pasikeitus teisės aktų nuostatoms dėl mokėjimo dokumentų pateikimo naudojantis informacine sistema „</w:t>
      </w:r>
      <w:r w:rsidR="003C61AB">
        <w:rPr>
          <w:lang w:eastAsia="lt-LT"/>
        </w:rPr>
        <w:t>SABIS</w:t>
      </w:r>
      <w:r w:rsidRPr="006854FC">
        <w:rPr>
          <w:lang w:eastAsia="lt-LT"/>
        </w:rPr>
        <w:t>“,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(-uose))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 xml:space="preserve">5.1. Paslaugos turi atitikti Sutartyje ir jos priede (-uose)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terminu/ais;</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(-uose)</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769D148D" w:rsidR="005B07D6" w:rsidRPr="005B07D6" w:rsidRDefault="00D81420" w:rsidP="005B07D6">
      <w:pPr>
        <w:jc w:val="both"/>
      </w:pPr>
      <w:r>
        <w:t>11</w:t>
      </w:r>
      <w:r w:rsidR="005B07D6" w:rsidRPr="005B07D6">
        <w:t>.1. Per Sutarties specialiosios dalies 3</w:t>
      </w:r>
      <w:r w:rsidR="002543E0">
        <w:t xml:space="preserve"> </w:t>
      </w:r>
      <w:r w:rsidR="005B07D6" w:rsidRPr="005B07D6">
        <w:t xml:space="preserve">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 xml:space="preserve">.3.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subteikėjus,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neatitikimams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(-ų)/subteikėjo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 xml:space="preserve">Sutartyje nurodytas (-i) subtiekėjas (-ai)/subteikėjas (-ai) gali būti keičiamas (-i) kitu (-ais) subtiekėju (-ais)/subteikėju (-ais)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subteikėjo (-ų) keitimas kitu galimas tik iš anksto raštu suderinus su </w:t>
      </w:r>
      <w:r w:rsidRPr="005B07D6">
        <w:rPr>
          <w:b/>
          <w:lang w:eastAsia="lt-LT"/>
        </w:rPr>
        <w:t>Pirkėju</w:t>
      </w:r>
      <w:r w:rsidRPr="005B07D6">
        <w:rPr>
          <w:lang w:eastAsia="lt-LT"/>
        </w:rPr>
        <w:t xml:space="preserve">. Prašymas dėl Sutartyje nustatyto subtiekėjo (ų)/ subteikėjo (-ų) keitimo kitu </w:t>
      </w:r>
      <w:r w:rsidRPr="005B07D6">
        <w:rPr>
          <w:b/>
          <w:lang w:eastAsia="lt-LT"/>
        </w:rPr>
        <w:t xml:space="preserve">Pirkėjui </w:t>
      </w:r>
      <w:r w:rsidRPr="005B07D6">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(-ų)/subteikėjo (-ų) pakeitimas kitu subtiekėju (-ais)/ subteikėju (-ais)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(-ų)/subteikėjo (-ų) pakeitimas kitu subtiekėju (-ais)/ subteikėju (-ais)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5A2A3F" w:rsidRDefault="00083756" w:rsidP="00083756">
      <w:pPr>
        <w:snapToGrid w:val="0"/>
        <w:jc w:val="both"/>
        <w:rPr>
          <w:b/>
        </w:rPr>
      </w:pPr>
      <w:r w:rsidRPr="005A2A3F">
        <w:rPr>
          <w:b/>
        </w:rPr>
        <w:t>PIRKĖJAS</w:t>
      </w:r>
      <w:r w:rsidRPr="005A2A3F">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05109E36" w14:textId="7D49B895" w:rsidR="00916752" w:rsidRDefault="00916752" w:rsidP="00586F6F"/>
    <w:p w14:paraId="103B20CC" w14:textId="0DB6CD4A" w:rsidR="00586F6F" w:rsidRDefault="00586F6F" w:rsidP="00586F6F"/>
    <w:p w14:paraId="38EE5830" w14:textId="28ED030E" w:rsidR="003A5E45" w:rsidRDefault="003A5E45" w:rsidP="00586F6F"/>
    <w:p w14:paraId="279AFD0A" w14:textId="0C85EF21" w:rsidR="003A5E45" w:rsidRDefault="003A5E45" w:rsidP="00586F6F"/>
    <w:p w14:paraId="0933825C" w14:textId="78323535" w:rsidR="003A5E45" w:rsidRDefault="003A5E45" w:rsidP="00586F6F"/>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04F87205" w14:textId="1C683DCB" w:rsidR="000563EC" w:rsidRDefault="000563EC" w:rsidP="00B6769F"/>
    <w:p w14:paraId="536401DD" w14:textId="77777777" w:rsidR="00D0473D" w:rsidRDefault="00D0473D" w:rsidP="00B6769F"/>
    <w:p w14:paraId="3D5C67E9" w14:textId="77777777" w:rsidR="00D0473D" w:rsidRDefault="00D0473D" w:rsidP="00B6769F"/>
    <w:p w14:paraId="6016A8B3" w14:textId="77777777" w:rsidR="00D0473D" w:rsidRDefault="00D0473D"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0EC09B3F" w:rsidR="007F0B5B" w:rsidRPr="0063141E" w:rsidRDefault="005D2FB2" w:rsidP="007F0B5B">
      <w:pPr>
        <w:ind w:left="6480"/>
      </w:pPr>
      <w:r>
        <w:t>202</w:t>
      </w:r>
      <w:r w:rsidR="00D24724">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4E0066FB" w:rsidR="004D5E79" w:rsidRPr="0094365A" w:rsidRDefault="005A2A3F" w:rsidP="00D66FC3">
      <w:pPr>
        <w:jc w:val="center"/>
        <w:rPr>
          <w:b/>
          <w:i/>
        </w:rPr>
      </w:pPr>
      <w:r>
        <w:rPr>
          <w:b/>
          <w:i/>
        </w:rPr>
        <w:t>D</w:t>
      </w:r>
      <w:r w:rsidRPr="005A2A3F">
        <w:rPr>
          <w:b/>
          <w:i/>
        </w:rPr>
        <w:t>uomenų šifr</w:t>
      </w:r>
      <w:r>
        <w:rPr>
          <w:b/>
          <w:i/>
        </w:rPr>
        <w:t>avimo įrenginių remonto paslaugos</w:t>
      </w:r>
      <w:r w:rsidRPr="005A2A3F">
        <w:rPr>
          <w:b/>
          <w:i/>
        </w:rPr>
        <w:t xml:space="preserve"> techninė specifikacija</w:t>
      </w:r>
    </w:p>
    <w:p w14:paraId="0234E36A" w14:textId="0390E824" w:rsidR="00916752" w:rsidRPr="0063141E" w:rsidRDefault="00916752" w:rsidP="00586F6F">
      <w:pP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509"/>
        <w:gridCol w:w="4394"/>
        <w:gridCol w:w="709"/>
        <w:gridCol w:w="992"/>
        <w:gridCol w:w="850"/>
        <w:gridCol w:w="993"/>
      </w:tblGrid>
      <w:tr w:rsidR="007F0B5B" w:rsidRPr="0063141E" w14:paraId="53CE9C09" w14:textId="77777777" w:rsidTr="00586F6F">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509" w:type="dxa"/>
            <w:vAlign w:val="center"/>
            <w:hideMark/>
          </w:tcPr>
          <w:p w14:paraId="53CE9C00" w14:textId="77777777" w:rsidR="007F0B5B" w:rsidRPr="0063141E" w:rsidRDefault="007F0B5B">
            <w:pPr>
              <w:jc w:val="center"/>
              <w:rPr>
                <w:sz w:val="20"/>
              </w:rPr>
            </w:pPr>
            <w:r w:rsidRPr="0063141E">
              <w:rPr>
                <w:sz w:val="20"/>
              </w:rPr>
              <w:t>Pavadinimas</w:t>
            </w:r>
          </w:p>
        </w:tc>
        <w:tc>
          <w:tcPr>
            <w:tcW w:w="439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586F6F">
        <w:trPr>
          <w:trHeight w:val="300"/>
        </w:trPr>
        <w:tc>
          <w:tcPr>
            <w:tcW w:w="520" w:type="dxa"/>
            <w:noWrap/>
          </w:tcPr>
          <w:p w14:paraId="4781BC11" w14:textId="308DABEE" w:rsidR="004D5E79" w:rsidRDefault="0094365A" w:rsidP="004D5E79">
            <w:pPr>
              <w:jc w:val="center"/>
            </w:pPr>
            <w:r>
              <w:t>1</w:t>
            </w:r>
          </w:p>
        </w:tc>
        <w:tc>
          <w:tcPr>
            <w:tcW w:w="1509" w:type="dxa"/>
            <w:tcBorders>
              <w:top w:val="single" w:sz="4" w:space="0" w:color="auto"/>
              <w:left w:val="single" w:sz="4" w:space="0" w:color="auto"/>
              <w:bottom w:val="single" w:sz="4" w:space="0" w:color="auto"/>
              <w:right w:val="single" w:sz="4" w:space="0" w:color="auto"/>
            </w:tcBorders>
          </w:tcPr>
          <w:p w14:paraId="5718BF20" w14:textId="1CCFB0C6" w:rsidR="004D5E79" w:rsidRPr="000A0C6D" w:rsidRDefault="005A2A3F" w:rsidP="005A2A3F">
            <w:pPr>
              <w:jc w:val="center"/>
              <w:rPr>
                <w:lang w:eastAsia="lt-LT"/>
              </w:rPr>
            </w:pPr>
            <w:r>
              <w:rPr>
                <w:lang w:eastAsia="lt-LT"/>
              </w:rPr>
              <w:t>D</w:t>
            </w:r>
            <w:r w:rsidRPr="005A2A3F">
              <w:rPr>
                <w:lang w:eastAsia="lt-LT"/>
              </w:rPr>
              <w:t>uomenų šifravimo įrenginių remonto paslaug</w:t>
            </w:r>
            <w:r>
              <w:rPr>
                <w:lang w:eastAsia="lt-LT"/>
              </w:rPr>
              <w:t>a</w:t>
            </w:r>
          </w:p>
        </w:tc>
        <w:tc>
          <w:tcPr>
            <w:tcW w:w="4394" w:type="dxa"/>
            <w:vAlign w:val="center"/>
          </w:tcPr>
          <w:p w14:paraId="15A7970C" w14:textId="77777777" w:rsidR="005A2A3F" w:rsidRDefault="005A2A3F" w:rsidP="005A2A3F">
            <w:pPr>
              <w:tabs>
                <w:tab w:val="left" w:pos="993"/>
              </w:tabs>
              <w:ind w:firstLine="426"/>
            </w:pPr>
            <w:r>
              <w:t xml:space="preserve">1. </w:t>
            </w:r>
            <w:r w:rsidRPr="002F33ED">
              <w:rPr>
                <w:b/>
              </w:rPr>
              <w:t>Bendrieji reikalavimai duomenų šifravimo įrenginių remonto paslaugai</w:t>
            </w:r>
            <w:r>
              <w:t>:</w:t>
            </w:r>
          </w:p>
          <w:p w14:paraId="79953E56" w14:textId="6A8AC411" w:rsidR="005A2A3F" w:rsidRDefault="005A2A3F" w:rsidP="00111D85">
            <w:pPr>
              <w:tabs>
                <w:tab w:val="left" w:pos="993"/>
              </w:tabs>
              <w:ind w:firstLine="426"/>
            </w:pPr>
            <w:r>
              <w:t>1.1. Paslaugų teikėjas turi būti gamintojo įgaliotas atstovas. Paslaugų teikėjas privalo pateikti</w:t>
            </w:r>
            <w:r w:rsidR="00111D85">
              <w:t xml:space="preserve"> </w:t>
            </w:r>
            <w:r>
              <w:t>tai patvirtinantį dokumentą;</w:t>
            </w:r>
          </w:p>
          <w:p w14:paraId="2EB893CA" w14:textId="0C896122" w:rsidR="005A2A3F" w:rsidRDefault="005A2A3F" w:rsidP="00111D85">
            <w:pPr>
              <w:tabs>
                <w:tab w:val="left" w:pos="993"/>
              </w:tabs>
              <w:ind w:firstLine="426"/>
            </w:pPr>
            <w:r>
              <w:t>1.2. Visos remonto metu keičiamos detalės privalo būti naujos (negali būti atnaujintos,</w:t>
            </w:r>
            <w:r w:rsidR="00111D85">
              <w:t xml:space="preserve"> restauruotos (angl. </w:t>
            </w:r>
            <w:r>
              <w:t>refurbished)), nenaudotos;</w:t>
            </w:r>
          </w:p>
          <w:p w14:paraId="7A0A8505" w14:textId="53231C02" w:rsidR="005A2A3F" w:rsidRDefault="005A2A3F" w:rsidP="005A2A3F">
            <w:pPr>
              <w:tabs>
                <w:tab w:val="left" w:pos="993"/>
              </w:tabs>
              <w:ind w:firstLine="426"/>
            </w:pPr>
            <w:r>
              <w:t xml:space="preserve">1.3 </w:t>
            </w:r>
            <w:r w:rsidR="00186169" w:rsidRPr="00186169">
              <w:t>Paslaugos teikimo laikotarpis – 12 (dvylika) mėnesių nuo sutarties pasirašymo datos</w:t>
            </w:r>
            <w:r>
              <w:t>;</w:t>
            </w:r>
          </w:p>
          <w:p w14:paraId="009E0C74" w14:textId="77777777" w:rsidR="005A2A3F" w:rsidRDefault="005A2A3F" w:rsidP="005A2A3F">
            <w:pPr>
              <w:tabs>
                <w:tab w:val="left" w:pos="993"/>
              </w:tabs>
              <w:ind w:firstLine="426"/>
            </w:pPr>
            <w:r>
              <w:t>1.4. Reikalavimai nacionaliniam saugumui:</w:t>
            </w:r>
          </w:p>
          <w:p w14:paraId="097A1F37" w14:textId="44A46FED" w:rsidR="005A2A3F" w:rsidRDefault="005A2A3F" w:rsidP="00111D85">
            <w:pPr>
              <w:tabs>
                <w:tab w:val="left" w:pos="993"/>
              </w:tabs>
              <w:ind w:firstLine="426"/>
            </w:pPr>
            <w:r>
              <w:t xml:space="preserve">1.4.1. Pirkimo objektas </w:t>
            </w:r>
            <w:r w:rsidR="00F00B0B">
              <w:t>–</w:t>
            </w:r>
            <w:r>
              <w:t xml:space="preserve"> paslaugos (Duomenų šifravimo įrenginių remontas), vadovaujantis</w:t>
            </w:r>
            <w:r w:rsidR="00111D85">
              <w:t xml:space="preserve"> </w:t>
            </w:r>
            <w:r>
              <w:t>Lietuvos Respublikos viešųjų pirkimų įstatymu, turi nekelti grėsmės nacionaliniam saugumui;</w:t>
            </w:r>
          </w:p>
          <w:p w14:paraId="2D0C3B93" w14:textId="77777777" w:rsidR="005A2A3F" w:rsidRDefault="005A2A3F" w:rsidP="005A2A3F">
            <w:pPr>
              <w:tabs>
                <w:tab w:val="left" w:pos="993"/>
              </w:tabs>
              <w:ind w:firstLine="426"/>
            </w:pPr>
            <w:r>
              <w:t>1.4.2. Perkančioji organizacija visais atvejais laikys, kad tiekėjas nėra patikimas ir kelia pavojų nacionaliniam ar kitos valstybės narės saugumui, jeigu ji gaus kompetentingų institucijų pateiktą tai patvirtinančią informaciją;</w:t>
            </w:r>
          </w:p>
          <w:p w14:paraId="07362147" w14:textId="1922C4BD" w:rsidR="005A2A3F" w:rsidRDefault="005A2A3F" w:rsidP="00111D85">
            <w:pPr>
              <w:tabs>
                <w:tab w:val="left" w:pos="993"/>
              </w:tabs>
              <w:ind w:firstLine="426"/>
            </w:pPr>
            <w:r>
              <w:t>1.4.3. Perkančioji organizacija, vadovaudamasi Viešųjų pirkimų įstatymo 17 straipsnio 5 dalimi pirkime neleidžia dalyvauti tiekėjams (juridiniams asmenims)/subtiekėjams</w:t>
            </w:r>
            <w:r w:rsidR="00111D85">
              <w:t xml:space="preserve"> </w:t>
            </w:r>
            <w:r>
              <w:t>(juridiniams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w:t>
            </w:r>
            <w:r w:rsidR="00111D85">
              <w:t xml:space="preserve"> </w:t>
            </w:r>
            <w:r>
              <w:t xml:space="preserve">asmenims)/subtiekėjams (fiziniams asmenims), kurie nėra deklaravę gyvenamosios vietos Europos Sąjungos </w:t>
            </w:r>
            <w:r>
              <w:lastRenderedPageBreak/>
              <w:t>valstybėje narėje, Šiaurės Atlanto sutarties organizacijos</w:t>
            </w:r>
            <w:r w:rsidR="00111D85">
              <w:t xml:space="preserve"> </w:t>
            </w:r>
            <w:r>
              <w:t>valstybėje narėje ar trečiojoje šalyje, pasirašiusioje Pasaulio prekybos organizacijos sutartį dėl viešųjų pirkimų ir kitus tarptautinius susitarimus.</w:t>
            </w:r>
          </w:p>
          <w:p w14:paraId="42A7456F" w14:textId="77777777" w:rsidR="005A2A3F" w:rsidRDefault="005A2A3F" w:rsidP="005A2A3F">
            <w:pPr>
              <w:tabs>
                <w:tab w:val="left" w:pos="993"/>
              </w:tabs>
              <w:ind w:firstLine="426"/>
            </w:pPr>
            <w:r>
              <w:t>1.5. Garantija ir remontas:</w:t>
            </w:r>
          </w:p>
          <w:p w14:paraId="2271C1B3" w14:textId="409713BD" w:rsidR="005A2A3F" w:rsidRDefault="005A2A3F" w:rsidP="00111D85">
            <w:pPr>
              <w:tabs>
                <w:tab w:val="left" w:pos="993"/>
              </w:tabs>
              <w:ind w:firstLine="426"/>
            </w:pPr>
            <w:r>
              <w:t>1.5.1. Suremontuotai įrangai turi būti suteikiamas ne mažiau kaip 6 (šešių) mėnesių garantinio</w:t>
            </w:r>
            <w:r w:rsidR="00111D85">
              <w:t xml:space="preserve"> </w:t>
            </w:r>
            <w:r>
              <w:t>aptarnavimo laikotarpis;</w:t>
            </w:r>
          </w:p>
          <w:p w14:paraId="40F5E569" w14:textId="3884C1E0" w:rsidR="005A2A3F" w:rsidRDefault="00801A2C" w:rsidP="00111D85">
            <w:pPr>
              <w:tabs>
                <w:tab w:val="left" w:pos="993"/>
              </w:tabs>
              <w:ind w:firstLine="426"/>
            </w:pPr>
            <w:r>
              <w:t>1.5.2</w:t>
            </w:r>
            <w:r w:rsidR="005A2A3F">
              <w:t>. Remonto trukmė – ne ilgiau kaip 40 kalendorinių dienų. Į remonto laiką neskaičiuojamas</w:t>
            </w:r>
            <w:r w:rsidR="00111D85">
              <w:t xml:space="preserve"> </w:t>
            </w:r>
            <w:r w:rsidR="005A2A3F">
              <w:t>įrenginių transportavimo laikotarpis;</w:t>
            </w:r>
          </w:p>
          <w:p w14:paraId="346EBFDE" w14:textId="582EA1D8" w:rsidR="005A2A3F" w:rsidRDefault="00801A2C" w:rsidP="005A2A3F">
            <w:pPr>
              <w:tabs>
                <w:tab w:val="left" w:pos="993"/>
              </w:tabs>
              <w:ind w:firstLine="426"/>
            </w:pPr>
            <w:r>
              <w:t>1.5.3</w:t>
            </w:r>
            <w:r w:rsidR="005A2A3F">
              <w:t>. Paslaugų teikėjas turi užtikrinti, kad duomenų šifravimo įrenginių remontas bus atliekamas gamintojo akredituotoje laboratorijoje</w:t>
            </w:r>
            <w:r w:rsidR="00F00B0B">
              <w:t>.</w:t>
            </w:r>
          </w:p>
          <w:p w14:paraId="17C36F82" w14:textId="7366ABB0" w:rsidR="005A2A3F" w:rsidRDefault="005A2A3F" w:rsidP="005A2A3F">
            <w:pPr>
              <w:tabs>
                <w:tab w:val="left" w:pos="993"/>
              </w:tabs>
              <w:ind w:firstLine="426"/>
            </w:pPr>
            <w:r>
              <w:t xml:space="preserve">2. </w:t>
            </w:r>
            <w:r w:rsidRPr="002F33ED">
              <w:rPr>
                <w:b/>
              </w:rPr>
              <w:t>Duomenų šifravimo įrenginių remontas (BVPŽ kodas 50300000-8</w:t>
            </w:r>
            <w:r>
              <w:t>):</w:t>
            </w:r>
          </w:p>
          <w:p w14:paraId="3F99891F" w14:textId="77777777" w:rsidR="005A2A3F" w:rsidRDefault="005A2A3F" w:rsidP="005A2A3F">
            <w:pPr>
              <w:tabs>
                <w:tab w:val="left" w:pos="993"/>
              </w:tabs>
              <w:ind w:firstLine="426"/>
            </w:pPr>
            <w:r>
              <w:t>2.1. Remontuojamų įrenginių modeliai: TCE 621/C, TCE 621/C Mk II;</w:t>
            </w:r>
          </w:p>
          <w:p w14:paraId="6B691E7E" w14:textId="669EAEA4" w:rsidR="0094365A" w:rsidRPr="00A05176" w:rsidRDefault="005A2A3F" w:rsidP="00111D85">
            <w:pPr>
              <w:tabs>
                <w:tab w:val="left" w:pos="993"/>
              </w:tabs>
              <w:ind w:firstLine="426"/>
            </w:pPr>
            <w:r>
              <w:t>2.2. Remontuojamų įrenginių rodomos klaidos: BSK FAILED, Post BP: Serial line failed,</w:t>
            </w:r>
            <w:r w:rsidR="00111D85">
              <w:t xml:space="preserve"> </w:t>
            </w:r>
            <w:r>
              <w:t>Leds test failed, MAC FAULT.</w:t>
            </w:r>
          </w:p>
        </w:tc>
        <w:tc>
          <w:tcPr>
            <w:tcW w:w="709" w:type="dxa"/>
          </w:tcPr>
          <w:p w14:paraId="3AC3A8E2" w14:textId="4A16A0B3" w:rsidR="004D5E79" w:rsidRDefault="004D5E79" w:rsidP="004D5E79">
            <w:pPr>
              <w:jc w:val="center"/>
            </w:pPr>
            <w:r>
              <w:lastRenderedPageBreak/>
              <w:t>vnt.</w:t>
            </w:r>
          </w:p>
        </w:tc>
        <w:tc>
          <w:tcPr>
            <w:tcW w:w="992" w:type="dxa"/>
            <w:noWrap/>
          </w:tcPr>
          <w:p w14:paraId="7F32A929" w14:textId="77777777" w:rsidR="004D5E79" w:rsidRPr="0063141E" w:rsidRDefault="004D5E79" w:rsidP="004D5E79">
            <w:pPr>
              <w:jc w:val="center"/>
            </w:pPr>
          </w:p>
        </w:tc>
        <w:tc>
          <w:tcPr>
            <w:tcW w:w="850" w:type="dxa"/>
            <w:noWrap/>
          </w:tcPr>
          <w:p w14:paraId="55907989" w14:textId="4D81DDC2" w:rsidR="004D5E79" w:rsidRPr="003A36F0" w:rsidRDefault="00111D85" w:rsidP="004D5E79">
            <w:pPr>
              <w:jc w:val="center"/>
              <w:rPr>
                <w:color w:val="000000"/>
              </w:rPr>
            </w:pPr>
            <w:r>
              <w:rPr>
                <w:color w:val="000000"/>
              </w:rPr>
              <w:t>8</w:t>
            </w:r>
          </w:p>
        </w:tc>
        <w:tc>
          <w:tcPr>
            <w:tcW w:w="993" w:type="dxa"/>
            <w:noWrap/>
            <w:vAlign w:val="center"/>
          </w:tcPr>
          <w:p w14:paraId="22936F7D" w14:textId="77777777" w:rsidR="004D5E79" w:rsidRPr="0063141E" w:rsidRDefault="004D5E79" w:rsidP="004D5E79">
            <w:pPr>
              <w:jc w:val="center"/>
              <w:rPr>
                <w:sz w:val="20"/>
              </w:rPr>
            </w:pPr>
          </w:p>
        </w:tc>
      </w:tr>
      <w:tr w:rsidR="005E7412" w:rsidRPr="0063141E" w14:paraId="53CE9C85" w14:textId="77777777" w:rsidTr="00B42281">
        <w:trPr>
          <w:trHeight w:val="300"/>
        </w:trPr>
        <w:tc>
          <w:tcPr>
            <w:tcW w:w="7132" w:type="dxa"/>
            <w:gridSpan w:val="4"/>
            <w:noWrap/>
            <w:vAlign w:val="center"/>
            <w:hideMark/>
          </w:tcPr>
          <w:p w14:paraId="53CE9C81" w14:textId="62A3AABF" w:rsidR="005E7412" w:rsidRPr="00DE5057" w:rsidRDefault="005E7412" w:rsidP="004D5E79">
            <w:pPr>
              <w:jc w:val="right"/>
            </w:pPr>
            <w:r w:rsidRPr="00DE5057">
              <w:t>Bendra suma eurai</w:t>
            </w:r>
            <w:r>
              <w:t>s</w:t>
            </w:r>
            <w:r w:rsidRPr="00DE5057">
              <w:t xml:space="preserve"> su PVM:</w:t>
            </w:r>
          </w:p>
        </w:tc>
        <w:tc>
          <w:tcPr>
            <w:tcW w:w="2835" w:type="dxa"/>
            <w:gridSpan w:val="3"/>
            <w:noWrap/>
            <w:vAlign w:val="center"/>
          </w:tcPr>
          <w:p w14:paraId="53CE9C84" w14:textId="77777777" w:rsidR="005E7412" w:rsidRPr="0063141E" w:rsidRDefault="005E7412" w:rsidP="004D5E79">
            <w:pPr>
              <w:rPr>
                <w:b/>
                <w:sz w:val="20"/>
              </w:rPr>
            </w:pPr>
          </w:p>
        </w:tc>
      </w:tr>
    </w:tbl>
    <w:p w14:paraId="53CE9C86" w14:textId="2A03B452" w:rsidR="007F0B5B" w:rsidRDefault="007F0B5B" w:rsidP="0094365A"/>
    <w:p w14:paraId="6B296BD4" w14:textId="69DDDF87" w:rsidR="001E662C" w:rsidRDefault="001E662C" w:rsidP="0094365A"/>
    <w:p w14:paraId="7FD5388C" w14:textId="77777777" w:rsidR="001E662C" w:rsidRPr="0063141E" w:rsidRDefault="001E662C"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rsidP="00B6769F">
            <w:pPr>
              <w:pStyle w:val="BodyText1"/>
              <w:ind w:firstLine="180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0A268FC"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61224FC2" w:rsidR="007832F9" w:rsidRPr="0063141E" w:rsidRDefault="00DA2E3D" w:rsidP="00167A0D">
      <w:r>
        <w:t xml:space="preserve">A.V. </w:t>
      </w:r>
      <w:r>
        <w:tab/>
      </w:r>
      <w:r>
        <w:tab/>
      </w:r>
      <w:r>
        <w:tab/>
      </w:r>
      <w:r>
        <w:tab/>
      </w:r>
      <w:r>
        <w:tab/>
      </w:r>
      <w:r>
        <w:tab/>
      </w:r>
      <w:r>
        <w:tab/>
        <w:t xml:space="preserve">    </w:t>
      </w:r>
      <w:r w:rsidR="00B6769F">
        <w:t xml:space="preserve">                               </w:t>
      </w:r>
      <w:r>
        <w:t xml:space="preserve"> A.V.</w:t>
      </w:r>
    </w:p>
    <w:p w14:paraId="23F8DF7A" w14:textId="7AF0FA0F" w:rsidR="00745502" w:rsidRDefault="00745502"/>
    <w:p w14:paraId="09B61B05" w14:textId="06AEB168" w:rsidR="00916752" w:rsidRDefault="00916752"/>
    <w:p w14:paraId="45189462" w14:textId="57285685" w:rsidR="00916752" w:rsidRDefault="00916752"/>
    <w:p w14:paraId="3A86E324" w14:textId="32646A16" w:rsidR="00F5785C" w:rsidRDefault="00F5785C"/>
    <w:p w14:paraId="51468942" w14:textId="7914CBDD" w:rsidR="005D1E8A" w:rsidRDefault="005D1E8A"/>
    <w:p w14:paraId="2DDDDDB7" w14:textId="2F5572E4" w:rsidR="005D1E8A" w:rsidRDefault="005D1E8A"/>
    <w:p w14:paraId="7C255304" w14:textId="53BD729B" w:rsidR="005D1E8A" w:rsidRDefault="005D1E8A"/>
    <w:p w14:paraId="25E27AED" w14:textId="0CD5A37E" w:rsidR="005D1E8A" w:rsidRDefault="005D1E8A"/>
    <w:p w14:paraId="19C95F1A" w14:textId="43210F11" w:rsidR="00D166DE" w:rsidRDefault="00D166DE"/>
    <w:p w14:paraId="664BC9E1" w14:textId="77777777" w:rsidR="002D4365" w:rsidRDefault="002D4365"/>
    <w:p w14:paraId="175ECD95" w14:textId="242AFC3C" w:rsidR="00D166DE" w:rsidRDefault="00D166DE"/>
    <w:p w14:paraId="201B52EE" w14:textId="77777777" w:rsidR="00D166DE" w:rsidRDefault="00D166DE"/>
    <w:p w14:paraId="389A80B8" w14:textId="30DEB775" w:rsidR="005D1E8A" w:rsidRDefault="005D1E8A"/>
    <w:p w14:paraId="6575562F" w14:textId="77777777" w:rsidR="00D166DE" w:rsidRPr="0063141E" w:rsidRDefault="00D166DE" w:rsidP="00D166DE">
      <w:pPr>
        <w:ind w:left="6480"/>
      </w:pPr>
      <w:r w:rsidRPr="0063141E">
        <w:lastRenderedPageBreak/>
        <w:t>P</w:t>
      </w:r>
      <w:r>
        <w:t>aslaugų</w:t>
      </w:r>
      <w:r w:rsidRPr="0063141E">
        <w:t xml:space="preserve"> pirkimo</w:t>
      </w:r>
      <w:r>
        <w:t>–</w:t>
      </w:r>
      <w:r w:rsidRPr="0063141E">
        <w:t>pardavimo sutarties</w:t>
      </w:r>
      <w:r>
        <w:t xml:space="preserve"> </w:t>
      </w:r>
      <w:r w:rsidRPr="002E7DC2">
        <w:rPr>
          <w:i/>
        </w:rPr>
        <w:t>(projekto)</w:t>
      </w:r>
    </w:p>
    <w:p w14:paraId="617834AB" w14:textId="77777777" w:rsidR="00D166DE" w:rsidRPr="0063141E" w:rsidRDefault="00D166DE" w:rsidP="00D166DE">
      <w:pPr>
        <w:ind w:left="6480"/>
      </w:pPr>
      <w:r>
        <w:t>2025</w:t>
      </w:r>
      <w:r w:rsidRPr="0063141E">
        <w:t xml:space="preserve"> m. ____________d. Nr.</w:t>
      </w:r>
      <w:r>
        <w:t xml:space="preserve"> PS-</w:t>
      </w:r>
    </w:p>
    <w:p w14:paraId="264EFDB2" w14:textId="2EB6C7E7" w:rsidR="005D1E8A" w:rsidRDefault="00D166DE" w:rsidP="00D166DE">
      <w:pPr>
        <w:ind w:left="5760" w:firstLine="720"/>
      </w:pPr>
      <w:r>
        <w:t>2</w:t>
      </w:r>
      <w:r w:rsidRPr="0063141E">
        <w:t xml:space="preserve"> priedas</w:t>
      </w:r>
    </w:p>
    <w:p w14:paraId="351FA60F" w14:textId="143D6FD4" w:rsidR="00D166DE" w:rsidRDefault="00D166DE" w:rsidP="00D166DE">
      <w:pPr>
        <w:ind w:left="5760" w:firstLine="720"/>
      </w:pPr>
    </w:p>
    <w:p w14:paraId="13F7CB7F" w14:textId="1DA3FA31" w:rsidR="00D166DE" w:rsidRDefault="00D166DE" w:rsidP="00D166DE">
      <w:pPr>
        <w:ind w:left="5760" w:firstLine="720"/>
      </w:pPr>
    </w:p>
    <w:p w14:paraId="36C1F88D" w14:textId="721D8375" w:rsidR="00D166DE" w:rsidRDefault="00D166DE" w:rsidP="00D166DE">
      <w:pPr>
        <w:ind w:left="5760" w:firstLine="720"/>
      </w:pPr>
    </w:p>
    <w:p w14:paraId="432B0997" w14:textId="6AD38191" w:rsidR="00D166DE" w:rsidRPr="00C2395E" w:rsidRDefault="00D166DE" w:rsidP="00D166DE">
      <w:pPr>
        <w:ind w:left="284" w:firstLine="283"/>
        <w:jc w:val="center"/>
        <w:rPr>
          <w:b/>
        </w:rPr>
      </w:pPr>
      <w:r w:rsidRPr="00C2395E">
        <w:rPr>
          <w:b/>
        </w:rPr>
        <w:t xml:space="preserve">PASLAUGŲ </w:t>
      </w:r>
      <w:r w:rsidR="003A660D">
        <w:rPr>
          <w:b/>
        </w:rPr>
        <w:t>PERDAVIMO-PRIĖMIMO</w:t>
      </w:r>
      <w:r w:rsidRPr="00C2395E">
        <w:rPr>
          <w:b/>
        </w:rPr>
        <w:t xml:space="preserve"> AKTAS</w:t>
      </w:r>
    </w:p>
    <w:p w14:paraId="651BB73A" w14:textId="77777777" w:rsidR="00D166DE" w:rsidRPr="00C2395E" w:rsidRDefault="00D166DE" w:rsidP="00D166DE">
      <w:pPr>
        <w:ind w:left="284" w:firstLine="283"/>
        <w:jc w:val="center"/>
      </w:pPr>
    </w:p>
    <w:p w14:paraId="24BCF6A0" w14:textId="20230300" w:rsidR="003A660D" w:rsidRPr="008B34BF" w:rsidRDefault="003A660D" w:rsidP="003A660D">
      <w:pPr>
        <w:jc w:val="center"/>
        <w:rPr>
          <w:sz w:val="22"/>
          <w:szCs w:val="22"/>
          <w:lang w:eastAsia="lt-LT"/>
        </w:rPr>
      </w:pPr>
      <w:r>
        <w:rPr>
          <w:sz w:val="22"/>
          <w:szCs w:val="22"/>
          <w:lang w:eastAsia="lt-LT"/>
        </w:rPr>
        <w:t>202</w:t>
      </w:r>
      <w:r w:rsidR="00A739E6">
        <w:rPr>
          <w:sz w:val="22"/>
          <w:szCs w:val="22"/>
          <w:lang w:eastAsia="lt-LT"/>
        </w:rPr>
        <w:t xml:space="preserve">5 m.                       </w:t>
      </w:r>
      <w:r w:rsidRPr="008B34BF">
        <w:rPr>
          <w:sz w:val="22"/>
          <w:szCs w:val="22"/>
          <w:lang w:eastAsia="lt-LT"/>
        </w:rPr>
        <w:t xml:space="preserve">    d.</w:t>
      </w:r>
    </w:p>
    <w:p w14:paraId="004E1C64" w14:textId="77777777" w:rsidR="003A660D" w:rsidRPr="008B34BF" w:rsidRDefault="003A660D" w:rsidP="003A660D">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4FA3C7A6" w14:textId="77777777" w:rsidR="003A660D" w:rsidRPr="008B34BF" w:rsidRDefault="003A660D" w:rsidP="003A660D">
      <w:pPr>
        <w:tabs>
          <w:tab w:val="left" w:pos="2340"/>
          <w:tab w:val="left" w:pos="2835"/>
        </w:tabs>
        <w:jc w:val="center"/>
        <w:rPr>
          <w:color w:val="000000"/>
          <w:sz w:val="22"/>
          <w:szCs w:val="22"/>
          <w:lang w:eastAsia="lt-LT"/>
        </w:rPr>
      </w:pPr>
      <w:r w:rsidRPr="008B34BF">
        <w:rPr>
          <w:color w:val="000000"/>
          <w:sz w:val="22"/>
          <w:szCs w:val="22"/>
          <w:lang w:eastAsia="lt-LT"/>
        </w:rPr>
        <w:t>(vieta)</w:t>
      </w:r>
    </w:p>
    <w:p w14:paraId="592F024C" w14:textId="77777777" w:rsidR="003A660D" w:rsidRPr="008B34BF" w:rsidRDefault="003A660D" w:rsidP="003A660D">
      <w:pPr>
        <w:tabs>
          <w:tab w:val="left" w:pos="720"/>
          <w:tab w:val="left" w:pos="9540"/>
        </w:tabs>
        <w:rPr>
          <w:sz w:val="22"/>
          <w:szCs w:val="22"/>
          <w:lang w:eastAsia="lt-LT"/>
        </w:rPr>
      </w:pPr>
      <w:r w:rsidRPr="008B34BF">
        <w:rPr>
          <w:sz w:val="22"/>
          <w:szCs w:val="22"/>
          <w:lang w:eastAsia="lt-LT"/>
        </w:rPr>
        <w:tab/>
      </w:r>
    </w:p>
    <w:p w14:paraId="7B780169" w14:textId="77777777" w:rsidR="003A660D" w:rsidRPr="003A660D" w:rsidRDefault="003A660D" w:rsidP="003A660D">
      <w:pPr>
        <w:jc w:val="center"/>
        <w:rPr>
          <w:sz w:val="22"/>
          <w:szCs w:val="22"/>
          <w:lang w:val="en-US" w:eastAsia="lt-LT"/>
        </w:rPr>
      </w:pPr>
    </w:p>
    <w:p w14:paraId="45DB1740" w14:textId="77777777" w:rsidR="003A660D" w:rsidRPr="008B34BF" w:rsidRDefault="003A660D" w:rsidP="003A660D">
      <w:pPr>
        <w:tabs>
          <w:tab w:val="left" w:pos="9540"/>
        </w:tabs>
        <w:rPr>
          <w:sz w:val="22"/>
          <w:szCs w:val="22"/>
          <w:lang w:eastAsia="lt-LT"/>
        </w:rPr>
      </w:pPr>
    </w:p>
    <w:p w14:paraId="0117C0B4" w14:textId="77777777" w:rsidR="003A660D" w:rsidRPr="008B34BF" w:rsidRDefault="003A660D" w:rsidP="003A660D">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3A660D" w:rsidRPr="008B34BF" w14:paraId="0B679A3E" w14:textId="77777777" w:rsidTr="00C107C5">
        <w:trPr>
          <w:trHeight w:val="475"/>
        </w:trPr>
        <w:tc>
          <w:tcPr>
            <w:tcW w:w="2093" w:type="dxa"/>
            <w:tcBorders>
              <w:top w:val="nil"/>
              <w:left w:val="nil"/>
              <w:bottom w:val="nil"/>
              <w:right w:val="single" w:sz="4" w:space="0" w:color="auto"/>
            </w:tcBorders>
            <w:shd w:val="clear" w:color="auto" w:fill="auto"/>
          </w:tcPr>
          <w:p w14:paraId="074873B0" w14:textId="70A9D23B" w:rsidR="003A660D" w:rsidRPr="008B34BF" w:rsidRDefault="003A660D" w:rsidP="003A660D">
            <w:pPr>
              <w:ind w:left="-672" w:firstLine="141"/>
              <w:jc w:val="right"/>
              <w:rPr>
                <w:color w:val="000000"/>
                <w:sz w:val="22"/>
                <w:szCs w:val="22"/>
                <w:lang w:eastAsia="lt-LT"/>
              </w:rPr>
            </w:pPr>
            <w:r>
              <w:rPr>
                <w:color w:val="000000"/>
                <w:sz w:val="22"/>
                <w:szCs w:val="22"/>
                <w:lang w:eastAsia="lt-LT"/>
              </w:rPr>
              <w:t>Paslaugų</w:t>
            </w:r>
            <w:r w:rsidRPr="008B34BF">
              <w:rPr>
                <w:color w:val="000000"/>
                <w:sz w:val="22"/>
                <w:szCs w:val="22"/>
                <w:lang w:eastAsia="lt-LT"/>
              </w:rPr>
              <w:t xml:space="preserve"> pavadinimas</w:t>
            </w:r>
          </w:p>
        </w:tc>
        <w:tc>
          <w:tcPr>
            <w:tcW w:w="2551" w:type="dxa"/>
            <w:tcBorders>
              <w:top w:val="single" w:sz="4" w:space="0" w:color="auto"/>
              <w:left w:val="single" w:sz="4" w:space="0" w:color="auto"/>
              <w:right w:val="single" w:sz="4" w:space="0" w:color="auto"/>
            </w:tcBorders>
            <w:shd w:val="clear" w:color="auto" w:fill="auto"/>
          </w:tcPr>
          <w:p w14:paraId="018AE68F" w14:textId="61AFADFE" w:rsidR="003A660D" w:rsidRPr="008B34BF" w:rsidRDefault="003A660D" w:rsidP="00C107C5">
            <w:pPr>
              <w:rPr>
                <w:color w:val="000000"/>
                <w:sz w:val="22"/>
                <w:szCs w:val="22"/>
                <w:lang w:eastAsia="lt-LT"/>
              </w:rPr>
            </w:pPr>
            <w:r w:rsidRPr="003A660D">
              <w:rPr>
                <w:lang w:eastAsia="lt-LT"/>
              </w:rPr>
              <w:t>Duomenų šifravimo įrenginių remonto paslauga</w:t>
            </w:r>
          </w:p>
        </w:tc>
        <w:tc>
          <w:tcPr>
            <w:tcW w:w="2127" w:type="dxa"/>
            <w:tcBorders>
              <w:top w:val="nil"/>
              <w:left w:val="single" w:sz="4" w:space="0" w:color="auto"/>
              <w:bottom w:val="nil"/>
              <w:right w:val="single" w:sz="4" w:space="0" w:color="auto"/>
            </w:tcBorders>
          </w:tcPr>
          <w:p w14:paraId="48BB9CBB" w14:textId="77777777" w:rsidR="003A660D" w:rsidRPr="008B34BF" w:rsidRDefault="003A660D" w:rsidP="00C107C5">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60788A89" w14:textId="77777777" w:rsidR="003A660D" w:rsidRPr="008B34BF" w:rsidRDefault="003A660D" w:rsidP="00C107C5">
            <w:pPr>
              <w:rPr>
                <w:color w:val="000000"/>
                <w:sz w:val="22"/>
                <w:szCs w:val="22"/>
                <w:lang w:eastAsia="lt-LT"/>
              </w:rPr>
            </w:pPr>
          </w:p>
        </w:tc>
      </w:tr>
      <w:tr w:rsidR="003A660D" w:rsidRPr="008B34BF" w14:paraId="46645120" w14:textId="77777777" w:rsidTr="00C107C5">
        <w:trPr>
          <w:trHeight w:val="470"/>
        </w:trPr>
        <w:tc>
          <w:tcPr>
            <w:tcW w:w="2093" w:type="dxa"/>
            <w:tcBorders>
              <w:top w:val="nil"/>
              <w:left w:val="nil"/>
              <w:bottom w:val="nil"/>
              <w:right w:val="single" w:sz="4" w:space="0" w:color="auto"/>
            </w:tcBorders>
            <w:shd w:val="clear" w:color="auto" w:fill="auto"/>
          </w:tcPr>
          <w:p w14:paraId="2094E24A" w14:textId="77777777" w:rsidR="003A660D" w:rsidRPr="008B34BF" w:rsidRDefault="003A660D" w:rsidP="00C107C5">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AB9F958" w14:textId="619FC9D8" w:rsidR="003A660D" w:rsidRPr="009F6586" w:rsidRDefault="003A660D" w:rsidP="00C107C5">
            <w:pPr>
              <w:rPr>
                <w:color w:val="000000"/>
                <w:lang w:eastAsia="lt-LT"/>
              </w:rPr>
            </w:pPr>
          </w:p>
        </w:tc>
        <w:tc>
          <w:tcPr>
            <w:tcW w:w="2127" w:type="dxa"/>
            <w:tcBorders>
              <w:top w:val="nil"/>
              <w:left w:val="single" w:sz="4" w:space="0" w:color="auto"/>
              <w:bottom w:val="nil"/>
              <w:right w:val="single" w:sz="4" w:space="0" w:color="auto"/>
            </w:tcBorders>
          </w:tcPr>
          <w:p w14:paraId="1B9F4AE3" w14:textId="77777777" w:rsidR="003A660D" w:rsidRPr="008B34BF" w:rsidRDefault="003A660D" w:rsidP="00C107C5">
            <w:pPr>
              <w:jc w:val="right"/>
              <w:rPr>
                <w:color w:val="000000"/>
                <w:sz w:val="22"/>
                <w:szCs w:val="22"/>
                <w:lang w:eastAsia="lt-LT"/>
              </w:rPr>
            </w:pPr>
            <w:r w:rsidRPr="008B34BF">
              <w:rPr>
                <w:color w:val="000000"/>
                <w:sz w:val="22"/>
                <w:szCs w:val="22"/>
                <w:lang w:eastAsia="lt-LT"/>
              </w:rPr>
              <w:t xml:space="preserve">Apskaitos dokumento </w:t>
            </w:r>
          </w:p>
          <w:p w14:paraId="4908967E" w14:textId="77777777" w:rsidR="003A660D" w:rsidRPr="008B34BF" w:rsidRDefault="003A660D" w:rsidP="00C107C5">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9824A2B" w14:textId="77777777" w:rsidR="003A660D" w:rsidRPr="008B34BF" w:rsidRDefault="003A660D" w:rsidP="00C107C5">
            <w:pPr>
              <w:rPr>
                <w:color w:val="000000"/>
                <w:sz w:val="22"/>
                <w:szCs w:val="22"/>
                <w:lang w:eastAsia="lt-LT"/>
              </w:rPr>
            </w:pPr>
          </w:p>
        </w:tc>
      </w:tr>
    </w:tbl>
    <w:p w14:paraId="11891BFC" w14:textId="77777777" w:rsidR="003A660D" w:rsidRPr="008B34BF" w:rsidRDefault="003A660D" w:rsidP="003A660D">
      <w:pPr>
        <w:jc w:val="both"/>
        <w:rPr>
          <w:sz w:val="22"/>
          <w:szCs w:val="22"/>
          <w:lang w:eastAsia="lt-LT"/>
        </w:rPr>
      </w:pPr>
    </w:p>
    <w:p w14:paraId="5403407A" w14:textId="77777777" w:rsidR="003A660D" w:rsidRPr="008B34BF" w:rsidRDefault="003A660D" w:rsidP="003A660D">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134"/>
        <w:gridCol w:w="1389"/>
        <w:gridCol w:w="3402"/>
      </w:tblGrid>
      <w:tr w:rsidR="003A660D" w:rsidRPr="008B34BF" w14:paraId="0E6A7129" w14:textId="77777777" w:rsidTr="00C107C5">
        <w:trPr>
          <w:trHeight w:val="910"/>
        </w:trPr>
        <w:tc>
          <w:tcPr>
            <w:tcW w:w="562" w:type="dxa"/>
            <w:shd w:val="clear" w:color="auto" w:fill="auto"/>
            <w:vAlign w:val="center"/>
          </w:tcPr>
          <w:p w14:paraId="1BCD6F6D" w14:textId="77777777" w:rsidR="003A660D" w:rsidRPr="008B34BF" w:rsidRDefault="003A660D" w:rsidP="00C107C5">
            <w:pPr>
              <w:jc w:val="center"/>
              <w:rPr>
                <w:b/>
                <w:sz w:val="22"/>
                <w:szCs w:val="22"/>
                <w:lang w:eastAsia="lt-LT"/>
              </w:rPr>
            </w:pPr>
            <w:r w:rsidRPr="008B34BF">
              <w:rPr>
                <w:b/>
                <w:sz w:val="22"/>
                <w:szCs w:val="22"/>
                <w:lang w:eastAsia="lt-LT"/>
              </w:rPr>
              <w:t>Eil. Nr.</w:t>
            </w:r>
          </w:p>
        </w:tc>
        <w:tc>
          <w:tcPr>
            <w:tcW w:w="3119" w:type="dxa"/>
            <w:vAlign w:val="center"/>
          </w:tcPr>
          <w:p w14:paraId="333859AD" w14:textId="77777777" w:rsidR="003A660D" w:rsidRPr="009F6586" w:rsidRDefault="003A660D" w:rsidP="00C107C5">
            <w:pPr>
              <w:jc w:val="center"/>
              <w:rPr>
                <w:b/>
                <w:lang w:eastAsia="lt-LT"/>
              </w:rPr>
            </w:pPr>
          </w:p>
          <w:p w14:paraId="13D51AB7" w14:textId="7B34A888" w:rsidR="003A660D" w:rsidRPr="009F6586" w:rsidRDefault="003A660D" w:rsidP="003A660D">
            <w:pPr>
              <w:jc w:val="center"/>
              <w:rPr>
                <w:b/>
                <w:lang w:eastAsia="lt-LT"/>
              </w:rPr>
            </w:pPr>
            <w:r w:rsidRPr="009F6586">
              <w:rPr>
                <w:b/>
                <w:lang w:eastAsia="lt-LT"/>
              </w:rPr>
              <w:t>P</w:t>
            </w:r>
            <w:r>
              <w:rPr>
                <w:b/>
                <w:lang w:eastAsia="lt-LT"/>
              </w:rPr>
              <w:t>aslaugų</w:t>
            </w:r>
            <w:r w:rsidRPr="009F6586">
              <w:rPr>
                <w:b/>
                <w:lang w:eastAsia="lt-LT"/>
              </w:rPr>
              <w:t xml:space="preserve"> pavadinimas</w:t>
            </w:r>
          </w:p>
        </w:tc>
        <w:tc>
          <w:tcPr>
            <w:tcW w:w="1134" w:type="dxa"/>
            <w:shd w:val="clear" w:color="auto" w:fill="auto"/>
            <w:vAlign w:val="center"/>
          </w:tcPr>
          <w:p w14:paraId="716EA24A" w14:textId="77777777" w:rsidR="003A660D" w:rsidRPr="009F6586" w:rsidRDefault="003A660D" w:rsidP="00C107C5">
            <w:pPr>
              <w:jc w:val="center"/>
              <w:rPr>
                <w:b/>
                <w:lang w:eastAsia="lt-LT"/>
              </w:rPr>
            </w:pPr>
            <w:r w:rsidRPr="009F6586">
              <w:rPr>
                <w:b/>
                <w:lang w:eastAsia="lt-LT"/>
              </w:rPr>
              <w:t>Mat. vienetas</w:t>
            </w:r>
          </w:p>
        </w:tc>
        <w:tc>
          <w:tcPr>
            <w:tcW w:w="1389" w:type="dxa"/>
            <w:shd w:val="clear" w:color="auto" w:fill="auto"/>
            <w:vAlign w:val="center"/>
          </w:tcPr>
          <w:p w14:paraId="3C54D97C" w14:textId="77777777" w:rsidR="003A660D" w:rsidRPr="009F6586" w:rsidRDefault="003A660D" w:rsidP="00C107C5">
            <w:pPr>
              <w:jc w:val="center"/>
              <w:rPr>
                <w:lang w:eastAsia="lt-LT"/>
              </w:rPr>
            </w:pPr>
            <w:r w:rsidRPr="009F6586">
              <w:rPr>
                <w:b/>
                <w:lang w:eastAsia="lt-LT"/>
              </w:rPr>
              <w:t>Kiekis</w:t>
            </w:r>
          </w:p>
        </w:tc>
        <w:tc>
          <w:tcPr>
            <w:tcW w:w="3402" w:type="dxa"/>
            <w:vAlign w:val="center"/>
          </w:tcPr>
          <w:p w14:paraId="1E283367" w14:textId="77777777" w:rsidR="003A660D" w:rsidRPr="009F6586" w:rsidRDefault="003A660D" w:rsidP="00C107C5">
            <w:pPr>
              <w:jc w:val="center"/>
              <w:rPr>
                <w:b/>
                <w:lang w:eastAsia="lt-LT"/>
              </w:rPr>
            </w:pPr>
          </w:p>
          <w:p w14:paraId="0748C998" w14:textId="77777777" w:rsidR="003A660D" w:rsidRPr="009F6586" w:rsidRDefault="003A660D" w:rsidP="00C107C5">
            <w:pPr>
              <w:jc w:val="center"/>
              <w:rPr>
                <w:b/>
                <w:lang w:eastAsia="lt-LT"/>
              </w:rPr>
            </w:pPr>
            <w:r w:rsidRPr="009F6586">
              <w:rPr>
                <w:b/>
                <w:lang w:eastAsia="lt-LT"/>
              </w:rPr>
              <w:t>Suma</w:t>
            </w:r>
          </w:p>
        </w:tc>
      </w:tr>
      <w:tr w:rsidR="003A660D" w:rsidRPr="008B34BF" w14:paraId="62475671" w14:textId="77777777" w:rsidTr="00C107C5">
        <w:trPr>
          <w:trHeight w:val="356"/>
        </w:trPr>
        <w:tc>
          <w:tcPr>
            <w:tcW w:w="562" w:type="dxa"/>
            <w:shd w:val="clear" w:color="auto" w:fill="auto"/>
            <w:vAlign w:val="center"/>
          </w:tcPr>
          <w:p w14:paraId="2483FA6D" w14:textId="77777777" w:rsidR="003A660D" w:rsidRDefault="003A660D" w:rsidP="00C107C5">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62AFAD7" w14:textId="520F8033" w:rsidR="003A660D" w:rsidRPr="00B0353B" w:rsidRDefault="003A660D" w:rsidP="00C107C5">
            <w:pPr>
              <w:jc w:val="both"/>
              <w:rPr>
                <w:color w:val="000000"/>
              </w:rPr>
            </w:pPr>
            <w:r w:rsidRPr="003A660D">
              <w:rPr>
                <w:lang w:eastAsia="lt-LT"/>
              </w:rPr>
              <w:t>Duomenų šifravimo įrenginių remonto paslauga</w:t>
            </w:r>
          </w:p>
        </w:tc>
        <w:tc>
          <w:tcPr>
            <w:tcW w:w="1134" w:type="dxa"/>
            <w:shd w:val="clear" w:color="auto" w:fill="auto"/>
            <w:vAlign w:val="center"/>
          </w:tcPr>
          <w:p w14:paraId="69E602BD" w14:textId="77777777" w:rsidR="003A660D" w:rsidRPr="009F6586" w:rsidRDefault="003A660D" w:rsidP="00C107C5">
            <w:pPr>
              <w:jc w:val="center"/>
            </w:pPr>
            <w:r w:rsidRPr="009F6586">
              <w:t>vnt.</w:t>
            </w:r>
          </w:p>
        </w:tc>
        <w:tc>
          <w:tcPr>
            <w:tcW w:w="1389" w:type="dxa"/>
            <w:tcBorders>
              <w:top w:val="single" w:sz="4" w:space="0" w:color="auto"/>
              <w:left w:val="single" w:sz="4" w:space="0" w:color="auto"/>
              <w:bottom w:val="single" w:sz="4" w:space="0" w:color="auto"/>
              <w:right w:val="single" w:sz="4" w:space="0" w:color="auto"/>
            </w:tcBorders>
            <w:vAlign w:val="center"/>
          </w:tcPr>
          <w:p w14:paraId="3803F795" w14:textId="1E7671A4" w:rsidR="003A660D" w:rsidRPr="009F6586" w:rsidRDefault="003A660D" w:rsidP="00C107C5">
            <w:pPr>
              <w:jc w:val="center"/>
            </w:pPr>
            <w:r>
              <w:t>8</w:t>
            </w:r>
          </w:p>
        </w:tc>
        <w:tc>
          <w:tcPr>
            <w:tcW w:w="3402" w:type="dxa"/>
            <w:vAlign w:val="center"/>
          </w:tcPr>
          <w:p w14:paraId="0B3DF0B0" w14:textId="29EB66D7" w:rsidR="003A660D" w:rsidRPr="009F6586" w:rsidRDefault="003A660D" w:rsidP="00C107C5">
            <w:pPr>
              <w:jc w:val="center"/>
              <w:rPr>
                <w:lang w:eastAsia="lt-LT"/>
              </w:rPr>
            </w:pPr>
          </w:p>
        </w:tc>
      </w:tr>
    </w:tbl>
    <w:p w14:paraId="65CC2A54" w14:textId="77777777" w:rsidR="003A660D" w:rsidRPr="008B34BF" w:rsidRDefault="003A660D" w:rsidP="003A660D">
      <w:pPr>
        <w:jc w:val="both"/>
        <w:rPr>
          <w:sz w:val="22"/>
          <w:szCs w:val="22"/>
          <w:lang w:eastAsia="lt-LT"/>
        </w:rPr>
      </w:pPr>
    </w:p>
    <w:p w14:paraId="6480CD54" w14:textId="77777777" w:rsidR="003A660D" w:rsidRPr="009F6586" w:rsidRDefault="003A660D" w:rsidP="003A660D">
      <w:pPr>
        <w:rPr>
          <w:rFonts w:eastAsia="Arial"/>
          <w:b/>
          <w:lang w:eastAsia="ar-SA"/>
        </w:rPr>
      </w:pPr>
      <w:r w:rsidRPr="009F6586">
        <w:rPr>
          <w:rFonts w:eastAsia="Arial"/>
          <w:b/>
          <w:lang w:eastAsia="ar-SA"/>
        </w:rPr>
        <w:t xml:space="preserve">            PIRKIMO INICIATORIUS</w:t>
      </w:r>
      <w:r w:rsidRPr="009F6586">
        <w:rPr>
          <w:rFonts w:eastAsia="Arial"/>
          <w:b/>
          <w:lang w:eastAsia="ar-SA"/>
        </w:rPr>
        <w:tab/>
      </w:r>
      <w:r w:rsidRPr="009F6586">
        <w:rPr>
          <w:rFonts w:eastAsia="Arial"/>
          <w:b/>
          <w:lang w:eastAsia="ar-SA"/>
        </w:rPr>
        <w:tab/>
      </w:r>
      <w:r w:rsidRPr="009F6586">
        <w:rPr>
          <w:rFonts w:eastAsia="Arial"/>
          <w:b/>
          <w:lang w:eastAsia="ar-SA"/>
        </w:rPr>
        <w:tab/>
      </w:r>
      <w:r w:rsidRPr="009F6586">
        <w:rPr>
          <w:rFonts w:eastAsia="Arial"/>
          <w:b/>
          <w:lang w:eastAsia="ar-SA"/>
        </w:rPr>
        <w:tab/>
      </w:r>
      <w:r w:rsidRPr="009F6586">
        <w:rPr>
          <w:rFonts w:eastAsia="Arial"/>
          <w:b/>
          <w:lang w:eastAsia="ar-SA"/>
        </w:rPr>
        <w:tab/>
        <w:t xml:space="preserve">       PARDAVĖJAS</w:t>
      </w:r>
    </w:p>
    <w:p w14:paraId="08CBD928" w14:textId="2FBA9A44" w:rsidR="003476FB" w:rsidRDefault="003476FB" w:rsidP="003A660D">
      <w:pPr>
        <w:ind w:left="284" w:firstLine="283"/>
        <w:jc w:val="center"/>
      </w:pPr>
    </w:p>
    <w:sectPr w:rsidR="003476FB"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4CAA" w14:textId="77777777" w:rsidR="00110758" w:rsidRDefault="00110758">
      <w:r>
        <w:separator/>
      </w:r>
    </w:p>
  </w:endnote>
  <w:endnote w:type="continuationSeparator" w:id="0">
    <w:p w14:paraId="6E114FD0" w14:textId="77777777" w:rsidR="00110758" w:rsidRDefault="0011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EA17F3" w:rsidRDefault="00EA17F3"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EA17F3" w:rsidRDefault="00EA17F3"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EA17F3" w:rsidRDefault="00EA17F3" w:rsidP="0066554A">
    <w:pPr>
      <w:pStyle w:val="Footer"/>
      <w:framePr w:wrap="around" w:vAnchor="text" w:hAnchor="margin" w:xAlign="right" w:y="1"/>
      <w:rPr>
        <w:rStyle w:val="PageNumber"/>
      </w:rPr>
    </w:pPr>
  </w:p>
  <w:p w14:paraId="53CE9D0C" w14:textId="77777777" w:rsidR="00EA17F3" w:rsidRDefault="00EA17F3"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5D50" w14:textId="77777777" w:rsidR="00110758" w:rsidRDefault="00110758">
      <w:r>
        <w:separator/>
      </w:r>
    </w:p>
  </w:footnote>
  <w:footnote w:type="continuationSeparator" w:id="0">
    <w:p w14:paraId="4E14624B" w14:textId="77777777" w:rsidR="00110758" w:rsidRDefault="00110758">
      <w:r>
        <w:continuationSeparator/>
      </w:r>
    </w:p>
  </w:footnote>
  <w:footnote w:id="1">
    <w:p w14:paraId="40EA7C48" w14:textId="77777777" w:rsidR="00EA17F3" w:rsidRDefault="00EA17F3"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EA17F3" w:rsidRDefault="00EA17F3"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EA17F3" w:rsidRDefault="00EA1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1E8C727" w:rsidR="00EA17F3" w:rsidRDefault="00EA17F3"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0943">
      <w:rPr>
        <w:rStyle w:val="PageNumber"/>
        <w:noProof/>
      </w:rPr>
      <w:t>12</w:t>
    </w:r>
    <w:r>
      <w:rPr>
        <w:rStyle w:val="PageNumber"/>
      </w:rPr>
      <w:fldChar w:fldCharType="end"/>
    </w:r>
  </w:p>
  <w:p w14:paraId="53CE9D08" w14:textId="77777777" w:rsidR="00EA17F3" w:rsidRDefault="00EA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9"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3"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7"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0"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0"/>
  </w:num>
  <w:num w:numId="2">
    <w:abstractNumId w:val="30"/>
  </w:num>
  <w:num w:numId="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8"/>
  </w:num>
  <w:num w:numId="13">
    <w:abstractNumId w:val="10"/>
  </w:num>
  <w:num w:numId="14">
    <w:abstractNumId w:val="21"/>
  </w:num>
  <w:num w:numId="15">
    <w:abstractNumId w:val="12"/>
  </w:num>
  <w:num w:numId="16">
    <w:abstractNumId w:val="26"/>
  </w:num>
  <w:num w:numId="17">
    <w:abstractNumId w:val="24"/>
  </w:num>
  <w:num w:numId="18">
    <w:abstractNumId w:val="20"/>
  </w:num>
  <w:num w:numId="19">
    <w:abstractNumId w:val="2"/>
  </w:num>
  <w:num w:numId="20">
    <w:abstractNumId w:val="29"/>
  </w:num>
  <w:num w:numId="21">
    <w:abstractNumId w:val="11"/>
  </w:num>
  <w:num w:numId="22">
    <w:abstractNumId w:val="17"/>
  </w:num>
  <w:num w:numId="23">
    <w:abstractNumId w:val="16"/>
  </w:num>
  <w:num w:numId="24">
    <w:abstractNumId w:val="25"/>
  </w:num>
  <w:num w:numId="25">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2"/>
  </w:num>
  <w:num w:numId="41">
    <w:abstractNumId w:val="27"/>
  </w:num>
  <w:num w:numId="42">
    <w:abstractNumId w:val="5"/>
  </w:num>
  <w:num w:numId="43">
    <w:abstractNumId w:val="23"/>
  </w:num>
  <w:num w:numId="4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682D"/>
    <w:rsid w:val="00040063"/>
    <w:rsid w:val="00047E81"/>
    <w:rsid w:val="00052416"/>
    <w:rsid w:val="00052859"/>
    <w:rsid w:val="00052F1C"/>
    <w:rsid w:val="00054216"/>
    <w:rsid w:val="00055AA0"/>
    <w:rsid w:val="00055E09"/>
    <w:rsid w:val="000563EC"/>
    <w:rsid w:val="00056D13"/>
    <w:rsid w:val="00060618"/>
    <w:rsid w:val="000630CE"/>
    <w:rsid w:val="00070017"/>
    <w:rsid w:val="00070663"/>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1502"/>
    <w:rsid w:val="000A24D5"/>
    <w:rsid w:val="000A598D"/>
    <w:rsid w:val="000A782C"/>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0758"/>
    <w:rsid w:val="001113E0"/>
    <w:rsid w:val="001114DE"/>
    <w:rsid w:val="0011158B"/>
    <w:rsid w:val="00111D85"/>
    <w:rsid w:val="00111DBE"/>
    <w:rsid w:val="001124C0"/>
    <w:rsid w:val="00115A19"/>
    <w:rsid w:val="00115FC6"/>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169"/>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2840"/>
    <w:rsid w:val="001C3065"/>
    <w:rsid w:val="001C34DF"/>
    <w:rsid w:val="001C4E88"/>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34C"/>
    <w:rsid w:val="00206954"/>
    <w:rsid w:val="002116F6"/>
    <w:rsid w:val="00212D3B"/>
    <w:rsid w:val="0021693C"/>
    <w:rsid w:val="00217F07"/>
    <w:rsid w:val="00223A58"/>
    <w:rsid w:val="00223BAA"/>
    <w:rsid w:val="00223F63"/>
    <w:rsid w:val="0023109C"/>
    <w:rsid w:val="00231FC6"/>
    <w:rsid w:val="00232EBD"/>
    <w:rsid w:val="002338F1"/>
    <w:rsid w:val="00233B43"/>
    <w:rsid w:val="00233FE6"/>
    <w:rsid w:val="0024017B"/>
    <w:rsid w:val="0024029D"/>
    <w:rsid w:val="002427C8"/>
    <w:rsid w:val="00243DC2"/>
    <w:rsid w:val="00251DAE"/>
    <w:rsid w:val="00252248"/>
    <w:rsid w:val="00252E2E"/>
    <w:rsid w:val="002543E0"/>
    <w:rsid w:val="00254A5E"/>
    <w:rsid w:val="00256223"/>
    <w:rsid w:val="00256470"/>
    <w:rsid w:val="0026156E"/>
    <w:rsid w:val="00263F4F"/>
    <w:rsid w:val="00270E13"/>
    <w:rsid w:val="00272AB1"/>
    <w:rsid w:val="0027562F"/>
    <w:rsid w:val="00277B61"/>
    <w:rsid w:val="00281680"/>
    <w:rsid w:val="002845A1"/>
    <w:rsid w:val="002936E8"/>
    <w:rsid w:val="00294EF8"/>
    <w:rsid w:val="002955AE"/>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365"/>
    <w:rsid w:val="002D4904"/>
    <w:rsid w:val="002D5FF3"/>
    <w:rsid w:val="002D6099"/>
    <w:rsid w:val="002E0B13"/>
    <w:rsid w:val="002E59DD"/>
    <w:rsid w:val="002E7DC2"/>
    <w:rsid w:val="002F0458"/>
    <w:rsid w:val="002F0B98"/>
    <w:rsid w:val="002F1208"/>
    <w:rsid w:val="002F33ED"/>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476FB"/>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A660D"/>
    <w:rsid w:val="003B29F3"/>
    <w:rsid w:val="003C25F1"/>
    <w:rsid w:val="003C3C5B"/>
    <w:rsid w:val="003C61A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19C8"/>
    <w:rsid w:val="004123AF"/>
    <w:rsid w:val="004132E4"/>
    <w:rsid w:val="00415275"/>
    <w:rsid w:val="00415551"/>
    <w:rsid w:val="00416ED9"/>
    <w:rsid w:val="004177DB"/>
    <w:rsid w:val="00420213"/>
    <w:rsid w:val="0042215F"/>
    <w:rsid w:val="00423F68"/>
    <w:rsid w:val="0042430C"/>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F1C"/>
    <w:rsid w:val="0048373B"/>
    <w:rsid w:val="00485041"/>
    <w:rsid w:val="004856AD"/>
    <w:rsid w:val="00491677"/>
    <w:rsid w:val="00496F47"/>
    <w:rsid w:val="0049779A"/>
    <w:rsid w:val="004A2F1B"/>
    <w:rsid w:val="004A3D31"/>
    <w:rsid w:val="004A4DB8"/>
    <w:rsid w:val="004A4F5D"/>
    <w:rsid w:val="004A5785"/>
    <w:rsid w:val="004A587C"/>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0943"/>
    <w:rsid w:val="00551767"/>
    <w:rsid w:val="005560B4"/>
    <w:rsid w:val="00566D81"/>
    <w:rsid w:val="00566EEE"/>
    <w:rsid w:val="005708F5"/>
    <w:rsid w:val="00570EEC"/>
    <w:rsid w:val="0057146D"/>
    <w:rsid w:val="00574934"/>
    <w:rsid w:val="005754EC"/>
    <w:rsid w:val="00575C98"/>
    <w:rsid w:val="00575FEC"/>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2A3F"/>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1E8A"/>
    <w:rsid w:val="005D2FB2"/>
    <w:rsid w:val="005D5022"/>
    <w:rsid w:val="005D5466"/>
    <w:rsid w:val="005D76A0"/>
    <w:rsid w:val="005D788D"/>
    <w:rsid w:val="005D7EB1"/>
    <w:rsid w:val="005E3DBC"/>
    <w:rsid w:val="005E476E"/>
    <w:rsid w:val="005E5AFA"/>
    <w:rsid w:val="005E7412"/>
    <w:rsid w:val="005E7B54"/>
    <w:rsid w:val="005F0092"/>
    <w:rsid w:val="005F094F"/>
    <w:rsid w:val="005F15BA"/>
    <w:rsid w:val="005F4FB4"/>
    <w:rsid w:val="005F767C"/>
    <w:rsid w:val="005F78CF"/>
    <w:rsid w:val="005F7C62"/>
    <w:rsid w:val="0060231C"/>
    <w:rsid w:val="0060362C"/>
    <w:rsid w:val="006038C1"/>
    <w:rsid w:val="00603B0A"/>
    <w:rsid w:val="006051B2"/>
    <w:rsid w:val="00605F91"/>
    <w:rsid w:val="00611D9A"/>
    <w:rsid w:val="0061394E"/>
    <w:rsid w:val="00615258"/>
    <w:rsid w:val="006157AC"/>
    <w:rsid w:val="00615DC4"/>
    <w:rsid w:val="00616475"/>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185C"/>
    <w:rsid w:val="00683E80"/>
    <w:rsid w:val="006854FC"/>
    <w:rsid w:val="00695261"/>
    <w:rsid w:val="006A0054"/>
    <w:rsid w:val="006A089D"/>
    <w:rsid w:val="006A23B8"/>
    <w:rsid w:val="006A2BC2"/>
    <w:rsid w:val="006A359B"/>
    <w:rsid w:val="006A634D"/>
    <w:rsid w:val="006A6844"/>
    <w:rsid w:val="006A698D"/>
    <w:rsid w:val="006A73D5"/>
    <w:rsid w:val="006A7576"/>
    <w:rsid w:val="006B336B"/>
    <w:rsid w:val="006B504A"/>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B95"/>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3AE"/>
    <w:rsid w:val="0070789A"/>
    <w:rsid w:val="007126E4"/>
    <w:rsid w:val="00717435"/>
    <w:rsid w:val="00722230"/>
    <w:rsid w:val="00723B33"/>
    <w:rsid w:val="00725190"/>
    <w:rsid w:val="00726910"/>
    <w:rsid w:val="007276F9"/>
    <w:rsid w:val="00733E53"/>
    <w:rsid w:val="00734487"/>
    <w:rsid w:val="007373A3"/>
    <w:rsid w:val="007401B1"/>
    <w:rsid w:val="00740788"/>
    <w:rsid w:val="007422D2"/>
    <w:rsid w:val="00742B7F"/>
    <w:rsid w:val="00743806"/>
    <w:rsid w:val="00744729"/>
    <w:rsid w:val="00745502"/>
    <w:rsid w:val="00745891"/>
    <w:rsid w:val="00745CCD"/>
    <w:rsid w:val="00745F7D"/>
    <w:rsid w:val="00746928"/>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50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380C"/>
    <w:rsid w:val="007F5AD9"/>
    <w:rsid w:val="007F6091"/>
    <w:rsid w:val="007F70A4"/>
    <w:rsid w:val="007F7262"/>
    <w:rsid w:val="007F797A"/>
    <w:rsid w:val="00800880"/>
    <w:rsid w:val="00801A2C"/>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686C"/>
    <w:rsid w:val="0083726A"/>
    <w:rsid w:val="00837C06"/>
    <w:rsid w:val="0084035B"/>
    <w:rsid w:val="00841BF8"/>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95E5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25A5"/>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14C"/>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39E6"/>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1EB"/>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5D67"/>
    <w:rsid w:val="00B366B7"/>
    <w:rsid w:val="00B369FE"/>
    <w:rsid w:val="00B42281"/>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5B66"/>
    <w:rsid w:val="00B76040"/>
    <w:rsid w:val="00B77495"/>
    <w:rsid w:val="00B8273A"/>
    <w:rsid w:val="00B845EE"/>
    <w:rsid w:val="00B85692"/>
    <w:rsid w:val="00B87C44"/>
    <w:rsid w:val="00B90F52"/>
    <w:rsid w:val="00B93712"/>
    <w:rsid w:val="00B93F35"/>
    <w:rsid w:val="00B948B8"/>
    <w:rsid w:val="00B9525F"/>
    <w:rsid w:val="00B9678C"/>
    <w:rsid w:val="00B96DC5"/>
    <w:rsid w:val="00B97B93"/>
    <w:rsid w:val="00BA0AA4"/>
    <w:rsid w:val="00BA0BC0"/>
    <w:rsid w:val="00BA0C7C"/>
    <w:rsid w:val="00BA14C7"/>
    <w:rsid w:val="00BA15E8"/>
    <w:rsid w:val="00BA1803"/>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07C5"/>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64A"/>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44B"/>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69E"/>
    <w:rsid w:val="00CD7B4C"/>
    <w:rsid w:val="00CE1AB0"/>
    <w:rsid w:val="00CE2AD9"/>
    <w:rsid w:val="00CE36B5"/>
    <w:rsid w:val="00CE53C4"/>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6DE"/>
    <w:rsid w:val="00D16D58"/>
    <w:rsid w:val="00D1737E"/>
    <w:rsid w:val="00D24100"/>
    <w:rsid w:val="00D246D6"/>
    <w:rsid w:val="00D24724"/>
    <w:rsid w:val="00D2539C"/>
    <w:rsid w:val="00D26E09"/>
    <w:rsid w:val="00D30DE8"/>
    <w:rsid w:val="00D32666"/>
    <w:rsid w:val="00D32C97"/>
    <w:rsid w:val="00D3429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7CDD"/>
    <w:rsid w:val="00D8060A"/>
    <w:rsid w:val="00D81420"/>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3494"/>
    <w:rsid w:val="00DD49C2"/>
    <w:rsid w:val="00DD4B34"/>
    <w:rsid w:val="00DD6459"/>
    <w:rsid w:val="00DD6E5A"/>
    <w:rsid w:val="00DE06F9"/>
    <w:rsid w:val="00DE0EE9"/>
    <w:rsid w:val="00DE1367"/>
    <w:rsid w:val="00DE314A"/>
    <w:rsid w:val="00DE38F5"/>
    <w:rsid w:val="00DE5057"/>
    <w:rsid w:val="00DE5C7A"/>
    <w:rsid w:val="00DF4601"/>
    <w:rsid w:val="00DF580A"/>
    <w:rsid w:val="00DF67A0"/>
    <w:rsid w:val="00E00F7F"/>
    <w:rsid w:val="00E01A36"/>
    <w:rsid w:val="00E025CB"/>
    <w:rsid w:val="00E05197"/>
    <w:rsid w:val="00E052F5"/>
    <w:rsid w:val="00E060EA"/>
    <w:rsid w:val="00E06A3D"/>
    <w:rsid w:val="00E13D96"/>
    <w:rsid w:val="00E14EE1"/>
    <w:rsid w:val="00E153B3"/>
    <w:rsid w:val="00E15826"/>
    <w:rsid w:val="00E16DAA"/>
    <w:rsid w:val="00E17AD6"/>
    <w:rsid w:val="00E2182F"/>
    <w:rsid w:val="00E224D3"/>
    <w:rsid w:val="00E22E03"/>
    <w:rsid w:val="00E25A72"/>
    <w:rsid w:val="00E25EF0"/>
    <w:rsid w:val="00E27956"/>
    <w:rsid w:val="00E31BFB"/>
    <w:rsid w:val="00E33C1C"/>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17F3"/>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B0B"/>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C4"/>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26C5-DC89-4004-A7FF-D2372F7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69445</Words>
  <Characters>39585</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108813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6</cp:revision>
  <cp:lastPrinted>2024-06-25T11:52:00Z</cp:lastPrinted>
  <dcterms:created xsi:type="dcterms:W3CDTF">2025-06-27T06:46:00Z</dcterms:created>
  <dcterms:modified xsi:type="dcterms:W3CDTF">2025-07-03T08:18:00Z</dcterms:modified>
</cp:coreProperties>
</file>