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475EE9C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651C0">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193BE4D1" w:rsidR="004119FB" w:rsidRPr="00704FFB" w:rsidRDefault="00F47D75" w:rsidP="004119FB">
            <w:pPr>
              <w:spacing w:line="259" w:lineRule="auto"/>
              <w:jc w:val="center"/>
              <w:rPr>
                <w:b/>
                <w:caps/>
                <w:sz w:val="22"/>
                <w:szCs w:val="22"/>
              </w:rPr>
            </w:pPr>
            <w:r>
              <w:rPr>
                <w:b/>
                <w:sz w:val="22"/>
                <w:szCs w:val="22"/>
              </w:rPr>
              <w:t>Reagentai histologijai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2984EFD0" w14:textId="1627B133" w:rsidR="00F47D75" w:rsidRDefault="00F47D75" w:rsidP="004941FD">
            <w:pPr>
              <w:autoSpaceDE w:val="0"/>
              <w:autoSpaceDN w:val="0"/>
              <w:adjustRightInd w:val="0"/>
              <w:rPr>
                <w:sz w:val="22"/>
                <w:szCs w:val="22"/>
              </w:rPr>
            </w:pPr>
            <w:r>
              <w:rPr>
                <w:rFonts w:eastAsia="Calibri"/>
                <w:sz w:val="22"/>
                <w:szCs w:val="22"/>
              </w:rPr>
              <w:t>Patologijos centro vadybininkė Dainora Bielskytė,</w:t>
            </w:r>
            <w:r w:rsidRPr="00E667C6">
              <w:rPr>
                <w:rFonts w:eastAsia="Calibri"/>
                <w:sz w:val="22"/>
                <w:szCs w:val="22"/>
              </w:rPr>
              <w:t xml:space="preserve"> tel. +370 </w:t>
            </w:r>
            <w:r>
              <w:rPr>
                <w:rFonts w:eastAsia="Calibri"/>
                <w:sz w:val="22"/>
                <w:szCs w:val="22"/>
              </w:rPr>
              <w:t>46396527</w:t>
            </w:r>
            <w:r w:rsidRPr="00E667C6">
              <w:rPr>
                <w:rFonts w:eastAsia="Calibri"/>
                <w:sz w:val="22"/>
                <w:szCs w:val="22"/>
              </w:rPr>
              <w:t xml:space="preserve">, el. paštas:  </w:t>
            </w:r>
            <w:hyperlink r:id="rId10" w:history="1">
              <w:r w:rsidRPr="00674A40">
                <w:rPr>
                  <w:rStyle w:val="Hipersaitas"/>
                  <w:rFonts w:eastAsia="Calibri"/>
                </w:rPr>
                <w:t>dainora.bielskyte</w:t>
              </w:r>
              <w:r w:rsidRPr="00674A40">
                <w:rPr>
                  <w:rStyle w:val="Hipersaitas"/>
                  <w:rFonts w:eastAsia="Calibri"/>
                  <w:sz w:val="22"/>
                  <w:szCs w:val="22"/>
                </w:rPr>
                <w:t>@kulig.lt</w:t>
              </w:r>
            </w:hyperlink>
          </w:p>
          <w:p w14:paraId="0980C415" w14:textId="29C5EF95"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1"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672A41E8" w:rsidR="004941FD" w:rsidRPr="004C5E61" w:rsidRDefault="001731EB" w:rsidP="004941FD">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004941FD"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004941FD" w:rsidRPr="00193B56">
              <w:rPr>
                <w:i/>
                <w:iCs/>
                <w:sz w:val="22"/>
                <w:szCs w:val="22"/>
                <w:shd w:val="clear" w:color="auto" w:fill="FFFFFF"/>
              </w:rPr>
              <w:t>,</w:t>
            </w:r>
            <w:r w:rsidR="004941FD" w:rsidRPr="004C5E61">
              <w:rPr>
                <w:sz w:val="22"/>
                <w:szCs w:val="22"/>
                <w:shd w:val="clear" w:color="auto" w:fill="FFFFFF"/>
              </w:rPr>
              <w:t xml:space="preserve"> tel. </w:t>
            </w:r>
            <w:r w:rsidR="004941FD">
              <w:rPr>
                <w:rFonts w:eastAsia="TimesNewRomanPSMT"/>
                <w:sz w:val="22"/>
                <w:szCs w:val="22"/>
              </w:rPr>
              <w:t>+370</w:t>
            </w:r>
            <w:r w:rsidR="004941FD">
              <w:rPr>
                <w:sz w:val="22"/>
                <w:szCs w:val="22"/>
              </w:rPr>
              <w:t> </w:t>
            </w:r>
            <w:r w:rsidR="004941FD" w:rsidRPr="004C5E61">
              <w:rPr>
                <w:sz w:val="22"/>
                <w:szCs w:val="22"/>
                <w:shd w:val="clear" w:color="auto" w:fill="FFFFFF"/>
              </w:rPr>
              <w:t xml:space="preserve">46 491004, el. paštas </w:t>
            </w:r>
            <w:hyperlink r:id="rId12"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t xml:space="preserve">3.1. Sutarties dalykas </w:t>
            </w:r>
          </w:p>
        </w:tc>
        <w:tc>
          <w:tcPr>
            <w:tcW w:w="6282" w:type="dxa"/>
            <w:gridSpan w:val="2"/>
          </w:tcPr>
          <w:p w14:paraId="232E8646" w14:textId="44E0BEE1"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FA69B9">
              <w:rPr>
                <w:kern w:val="2"/>
                <w:sz w:val="22"/>
                <w:szCs w:val="22"/>
              </w:rPr>
              <w:t>reagentus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1B48B36F" w:rsidR="006966BB" w:rsidRPr="00B469E1" w:rsidRDefault="009D3978" w:rsidP="00FA69B9">
            <w:pPr>
              <w:rPr>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FA69B9">
              <w:rPr>
                <w:b/>
                <w:bCs/>
                <w:kern w:val="2"/>
                <w:sz w:val="22"/>
                <w:szCs w:val="22"/>
              </w:rPr>
              <w:t>4 savaites</w:t>
            </w:r>
            <w:r w:rsidRPr="000D629B">
              <w:rPr>
                <w:kern w:val="2"/>
                <w:sz w:val="22"/>
                <w:szCs w:val="22"/>
              </w:rPr>
              <w:t xml:space="preserve"> nuo užsakymo pateikimo dienos ši</w:t>
            </w:r>
            <w:r w:rsidR="00FA69B9">
              <w:rPr>
                <w:kern w:val="2"/>
                <w:sz w:val="22"/>
                <w:szCs w:val="22"/>
              </w:rPr>
              <w:t>uo</w:t>
            </w:r>
            <w:r w:rsidRPr="000D629B">
              <w:rPr>
                <w:kern w:val="2"/>
                <w:sz w:val="22"/>
                <w:szCs w:val="22"/>
              </w:rPr>
              <w:t xml:space="preserve"> adres</w:t>
            </w:r>
            <w:r w:rsidR="00FA69B9">
              <w:rPr>
                <w:kern w:val="2"/>
                <w:sz w:val="22"/>
                <w:szCs w:val="22"/>
              </w:rPr>
              <w:t>u</w:t>
            </w:r>
            <w:r w:rsidRPr="000D629B">
              <w:rPr>
                <w:kern w:val="2"/>
                <w:sz w:val="22"/>
                <w:szCs w:val="22"/>
              </w:rPr>
              <w:t>:</w:t>
            </w:r>
            <w:r w:rsidR="00FA69B9">
              <w:rPr>
                <w:kern w:val="2"/>
                <w:sz w:val="22"/>
                <w:szCs w:val="22"/>
              </w:rPr>
              <w:t xml:space="preserve"> </w:t>
            </w:r>
            <w:r w:rsidRPr="000D629B">
              <w:rPr>
                <w:kern w:val="2"/>
                <w:sz w:val="22"/>
                <w:szCs w:val="22"/>
              </w:rPr>
              <w:t xml:space="preserve"> </w:t>
            </w: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FA69B9" w:rsidRPr="000D629B" w14:paraId="7DF244B9" w14:textId="77777777" w:rsidTr="003241C0">
        <w:trPr>
          <w:trHeight w:val="300"/>
        </w:trPr>
        <w:tc>
          <w:tcPr>
            <w:tcW w:w="3479" w:type="dxa"/>
            <w:gridSpan w:val="2"/>
          </w:tcPr>
          <w:p w14:paraId="43FAD19B" w14:textId="77777777" w:rsidR="00FA69B9" w:rsidRPr="000D629B" w:rsidRDefault="00FA69B9" w:rsidP="00FA69B9">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E478A89" w14:textId="77777777" w:rsidR="00FA69B9" w:rsidRPr="000D629B" w:rsidRDefault="00FA69B9" w:rsidP="00FA69B9">
            <w:pPr>
              <w:rPr>
                <w:kern w:val="2"/>
                <w:sz w:val="22"/>
                <w:szCs w:val="22"/>
              </w:rPr>
            </w:pPr>
            <w:r w:rsidRPr="000D629B">
              <w:rPr>
                <w:kern w:val="2"/>
                <w:sz w:val="22"/>
                <w:szCs w:val="22"/>
              </w:rPr>
              <w:t>Netaikoma</w:t>
            </w:r>
          </w:p>
          <w:p w14:paraId="7F3DB915" w14:textId="614424E0" w:rsidR="00FA69B9" w:rsidRPr="000D629B" w:rsidRDefault="00FA69B9" w:rsidP="00FA69B9">
            <w:pPr>
              <w:jc w:val="both"/>
              <w:rPr>
                <w:kern w:val="2"/>
                <w:sz w:val="22"/>
                <w:szCs w:val="22"/>
              </w:rPr>
            </w:pP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77777777"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98240E"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020F1908"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8E7F9C">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6CD6E2DF"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B42FA8">
              <w:rPr>
                <w:kern w:val="2"/>
                <w:sz w:val="22"/>
                <w:szCs w:val="22"/>
              </w:rPr>
              <w:t xml:space="preserve"> (jei buvo reikalaujama)</w:t>
            </w:r>
            <w:r w:rsidRPr="00B86F8E">
              <w:rPr>
                <w:kern w:val="2"/>
                <w:sz w:val="22"/>
                <w:szCs w:val="22"/>
              </w:rPr>
              <w:t>;</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50262F5F" w:rsidR="00E76B91" w:rsidRPr="007670CD" w:rsidRDefault="00E8548C" w:rsidP="00E76B91">
            <w:pPr>
              <w:jc w:val="both"/>
              <w:rPr>
                <w:kern w:val="2"/>
                <w:sz w:val="22"/>
                <w:szCs w:val="22"/>
              </w:rPr>
            </w:pPr>
            <w:r w:rsidRPr="000D629B">
              <w:rPr>
                <w:kern w:val="2"/>
                <w:sz w:val="22"/>
                <w:szCs w:val="22"/>
              </w:rPr>
              <w:lastRenderedPageBreak/>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F5347">
              <w:rPr>
                <w:kern w:val="2"/>
                <w:sz w:val="22"/>
                <w:szCs w:val="22"/>
              </w:rPr>
              <w:t>12</w:t>
            </w:r>
            <w:r>
              <w:rPr>
                <w:kern w:val="2"/>
                <w:sz w:val="22"/>
                <w:szCs w:val="22"/>
              </w:rPr>
              <w:t xml:space="preserve"> (</w:t>
            </w:r>
            <w:r w:rsidR="00BF5347">
              <w:rPr>
                <w:kern w:val="2"/>
                <w:sz w:val="22"/>
                <w:szCs w:val="22"/>
              </w:rPr>
              <w:t>dvylika</w:t>
            </w:r>
            <w:r>
              <w:rPr>
                <w:kern w:val="2"/>
                <w:sz w:val="22"/>
                <w:szCs w:val="22"/>
              </w:rPr>
              <w:t>) mėnesi</w:t>
            </w:r>
            <w:r w:rsidR="00BF5347">
              <w:rPr>
                <w:kern w:val="2"/>
                <w:sz w:val="22"/>
                <w:szCs w:val="22"/>
              </w:rPr>
              <w:t>ų</w:t>
            </w:r>
            <w:r>
              <w:rPr>
                <w:kern w:val="2"/>
                <w:sz w:val="22"/>
                <w:szCs w:val="22"/>
              </w:rPr>
              <w:t>.</w:t>
            </w:r>
          </w:p>
        </w:tc>
      </w:tr>
      <w:tr w:rsidR="008E7F9C" w:rsidRPr="000D629B" w14:paraId="66055558" w14:textId="77777777" w:rsidTr="003241C0">
        <w:trPr>
          <w:trHeight w:val="300"/>
        </w:trPr>
        <w:tc>
          <w:tcPr>
            <w:tcW w:w="3479" w:type="dxa"/>
            <w:gridSpan w:val="2"/>
          </w:tcPr>
          <w:p w14:paraId="47C69BD3" w14:textId="337B6954" w:rsidR="008E7F9C" w:rsidRPr="000D629B" w:rsidRDefault="008E7F9C" w:rsidP="008E7F9C">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5E1BD55F" w14:textId="77777777" w:rsidR="008E7F9C" w:rsidRPr="000D629B" w:rsidRDefault="008E7F9C" w:rsidP="008E7F9C">
            <w:pPr>
              <w:rPr>
                <w:color w:val="4472C4"/>
                <w:kern w:val="2"/>
                <w:sz w:val="22"/>
                <w:szCs w:val="22"/>
              </w:rPr>
            </w:pPr>
            <w:r w:rsidRPr="000D629B">
              <w:rPr>
                <w:kern w:val="2"/>
                <w:sz w:val="22"/>
                <w:szCs w:val="22"/>
              </w:rPr>
              <w:t xml:space="preserve">Netaikoma </w:t>
            </w:r>
          </w:p>
          <w:p w14:paraId="78AB7DC8" w14:textId="278CC2D9" w:rsidR="008E7F9C" w:rsidRPr="00B21F97" w:rsidRDefault="008E7F9C" w:rsidP="008E7F9C">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9D3EE2" w:rsidRDefault="00B70411" w:rsidP="00B70411">
            <w:pPr>
              <w:jc w:val="both"/>
              <w:rPr>
                <w:kern w:val="2"/>
                <w:sz w:val="22"/>
                <w:szCs w:val="22"/>
              </w:rPr>
            </w:pPr>
            <w:r w:rsidRPr="009D3EE2">
              <w:rPr>
                <w:kern w:val="2"/>
                <w:sz w:val="22"/>
                <w:szCs w:val="22"/>
              </w:rPr>
              <w:t>1</w:t>
            </w:r>
            <w:r w:rsidR="003850F6" w:rsidRPr="009D3EE2">
              <w:rPr>
                <w:kern w:val="2"/>
                <w:sz w:val="22"/>
                <w:szCs w:val="22"/>
              </w:rPr>
              <w:t>2</w:t>
            </w:r>
            <w:r w:rsidRPr="009D3EE2">
              <w:rPr>
                <w:kern w:val="2"/>
                <w:sz w:val="22"/>
                <w:szCs w:val="22"/>
              </w:rPr>
              <w:t>.2.1. jeigu Tiekėjas nevykdo prisiimtų įsipareigojimų už Sutartyje nustatytą Sutarties kainą / įkainius;</w:t>
            </w:r>
          </w:p>
          <w:p w14:paraId="19C1097D" w14:textId="56A8F3AA" w:rsidR="00B70411" w:rsidRPr="009D3EE2" w:rsidRDefault="00B70411" w:rsidP="00B70411">
            <w:pPr>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.2.2. jeigu Tiekėjas vėluoja pristatyti Prekes Sutartyje nustatytu Prekių pristatymo terminu ir jų nepristato per Pirkėjo raštu nustatytą papildomą protingą terminą;</w:t>
            </w:r>
          </w:p>
          <w:p w14:paraId="1D95B310" w14:textId="2A98A83C"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.2.3. Tiekėjas pažeidžia Prekių pristatymo terminus ir dėl Prekių pristatymo vėlavimo Prekės tampa nebereikalingos;</w:t>
            </w:r>
          </w:p>
          <w:p w14:paraId="13033E90" w14:textId="3D7AD9B8"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 xml:space="preserve">.2.4. Tiekėjas pristato Prekes, kurios neatitinka Sutartyje ir / ar Įstatymuose nustatytų reikalavimų Prekėms ir </w:t>
            </w:r>
            <w:r w:rsidRPr="009D3EE2">
              <w:rPr>
                <w:rFonts w:eastAsia="Arial"/>
                <w:sz w:val="22"/>
                <w:szCs w:val="22"/>
              </w:rPr>
              <w:t>atsisako pašalinti arba nepašalina Prekių trūkumų per Pirkėjo nustatytus protingus terminus</w:t>
            </w:r>
            <w:r w:rsidRPr="009D3EE2">
              <w:rPr>
                <w:rFonts w:eastAsia="Arial"/>
                <w:kern w:val="2"/>
                <w:sz w:val="22"/>
                <w:szCs w:val="22"/>
                <w:lang w:val="lt"/>
              </w:rPr>
              <w:t>;</w:t>
            </w:r>
          </w:p>
          <w:p w14:paraId="7E83D44E" w14:textId="2CFF2C1B"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.2.5. Tiekėjas pažeidžia šios Sutarties nuostatas, reglamentuojančias konkurenciją, intelektinės nuosavybės ar konfidencialios informacijos valdymą;</w:t>
            </w:r>
          </w:p>
          <w:p w14:paraId="5C3ACF1D" w14:textId="544BCD7E"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.2.6.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96781" w:rsidRPr="000D629B" w14:paraId="3A71B694" w14:textId="77777777" w:rsidTr="003241C0">
        <w:trPr>
          <w:trHeight w:val="300"/>
        </w:trPr>
        <w:tc>
          <w:tcPr>
            <w:tcW w:w="3374" w:type="dxa"/>
          </w:tcPr>
          <w:p w14:paraId="5F569F22" w14:textId="77777777" w:rsidR="00A96781" w:rsidRDefault="00A96781" w:rsidP="00A9678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A96781" w:rsidRDefault="00A96781" w:rsidP="00A96781">
            <w:pPr>
              <w:rPr>
                <w:b/>
                <w:bCs/>
                <w:kern w:val="2"/>
                <w:sz w:val="22"/>
                <w:szCs w:val="22"/>
              </w:rPr>
            </w:pPr>
          </w:p>
          <w:p w14:paraId="0C13A2BC" w14:textId="77777777" w:rsidR="00A96781" w:rsidRDefault="00A96781" w:rsidP="00A96781">
            <w:pPr>
              <w:rPr>
                <w:b/>
                <w:bCs/>
                <w:kern w:val="2"/>
                <w:sz w:val="22"/>
                <w:szCs w:val="22"/>
              </w:rPr>
            </w:pPr>
          </w:p>
          <w:p w14:paraId="62CB5EB5" w14:textId="77777777" w:rsidR="00A96781" w:rsidRDefault="00A96781" w:rsidP="00A96781">
            <w:pPr>
              <w:rPr>
                <w:b/>
                <w:bCs/>
                <w:kern w:val="2"/>
                <w:sz w:val="22"/>
                <w:szCs w:val="22"/>
              </w:rPr>
            </w:pPr>
          </w:p>
          <w:p w14:paraId="26F3C526" w14:textId="6C25DC0B" w:rsidR="00A96781" w:rsidRPr="000D629B" w:rsidRDefault="00A96781" w:rsidP="00A96781">
            <w:pPr>
              <w:rPr>
                <w:b/>
                <w:bCs/>
                <w:kern w:val="2"/>
                <w:sz w:val="22"/>
                <w:szCs w:val="22"/>
              </w:rPr>
            </w:pPr>
          </w:p>
        </w:tc>
        <w:tc>
          <w:tcPr>
            <w:tcW w:w="6387" w:type="dxa"/>
            <w:gridSpan w:val="3"/>
          </w:tcPr>
          <w:p w14:paraId="05ED0EEB" w14:textId="77777777" w:rsidR="00A96781" w:rsidRDefault="00A96781" w:rsidP="00A96781">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5B9A7AB" w14:textId="18106133" w:rsidR="00A96781" w:rsidRDefault="00A96781" w:rsidP="00A96781">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64DF72E" w:rsidR="00A96781" w:rsidRPr="000D629B" w:rsidRDefault="00A96781" w:rsidP="001731EB">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w:t>
            </w:r>
            <w:r w:rsidRPr="000D629B">
              <w:rPr>
                <w:bCs/>
                <w:sz w:val="22"/>
                <w:szCs w:val="22"/>
              </w:rPr>
              <w:lastRenderedPageBreak/>
              <w:t>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A96781" w:rsidRPr="000D629B" w14:paraId="4DB92D00" w14:textId="77777777" w:rsidTr="003241C0">
        <w:trPr>
          <w:trHeight w:val="300"/>
        </w:trPr>
        <w:tc>
          <w:tcPr>
            <w:tcW w:w="3374" w:type="dxa"/>
          </w:tcPr>
          <w:p w14:paraId="049EEB89" w14:textId="22B24D72" w:rsidR="00A96781" w:rsidRPr="000D629B" w:rsidRDefault="00A96781" w:rsidP="00A9678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A96781" w:rsidRPr="000D629B" w:rsidRDefault="00A96781" w:rsidP="00A9678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A96781" w:rsidRPr="000D629B" w:rsidRDefault="00A96781" w:rsidP="00A96781">
            <w:pPr>
              <w:rPr>
                <w:color w:val="000000"/>
                <w:kern w:val="2"/>
                <w:sz w:val="22"/>
                <w:szCs w:val="22"/>
                <w:shd w:val="clear" w:color="auto" w:fill="FFFFFF"/>
              </w:rPr>
            </w:pPr>
          </w:p>
          <w:p w14:paraId="1BE2252F" w14:textId="300DFA36" w:rsidR="00A96781" w:rsidRPr="000D629B" w:rsidRDefault="00A96781" w:rsidP="00A96781">
            <w:pPr>
              <w:rPr>
                <w:color w:val="0070C0"/>
                <w:kern w:val="2"/>
                <w:sz w:val="22"/>
                <w:szCs w:val="22"/>
              </w:rPr>
            </w:pPr>
          </w:p>
        </w:tc>
      </w:tr>
      <w:tr w:rsidR="00A96781" w:rsidRPr="000D629B" w14:paraId="46122E0B" w14:textId="77777777" w:rsidTr="003241C0">
        <w:trPr>
          <w:trHeight w:val="300"/>
        </w:trPr>
        <w:tc>
          <w:tcPr>
            <w:tcW w:w="9761" w:type="dxa"/>
            <w:gridSpan w:val="4"/>
          </w:tcPr>
          <w:p w14:paraId="51AF1DAC" w14:textId="0C45473F" w:rsidR="00A96781" w:rsidRPr="004A2891" w:rsidRDefault="00A96781" w:rsidP="00A96781">
            <w:pPr>
              <w:jc w:val="center"/>
              <w:rPr>
                <w:b/>
                <w:bCs/>
                <w:kern w:val="2"/>
                <w:sz w:val="22"/>
                <w:szCs w:val="22"/>
              </w:rPr>
            </w:pPr>
            <w:r>
              <w:rPr>
                <w:b/>
                <w:bCs/>
                <w:kern w:val="2"/>
                <w:szCs w:val="24"/>
              </w:rPr>
              <w:t>14. SUTARTIES PRIEDAI</w:t>
            </w:r>
          </w:p>
        </w:tc>
      </w:tr>
      <w:tr w:rsidR="00A96781" w:rsidRPr="000D629B" w14:paraId="7C324524" w14:textId="77777777" w:rsidTr="003241C0">
        <w:trPr>
          <w:trHeight w:val="300"/>
        </w:trPr>
        <w:tc>
          <w:tcPr>
            <w:tcW w:w="3374" w:type="dxa"/>
          </w:tcPr>
          <w:p w14:paraId="57BB4638" w14:textId="5C4DC912"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A96781" w:rsidRPr="000D629B" w:rsidRDefault="00A96781" w:rsidP="00A96781">
            <w:pPr>
              <w:jc w:val="center"/>
              <w:rPr>
                <w:b/>
                <w:bCs/>
                <w:kern w:val="2"/>
                <w:sz w:val="22"/>
                <w:szCs w:val="22"/>
              </w:rPr>
            </w:pPr>
            <w:r w:rsidRPr="000D629B">
              <w:rPr>
                <w:b/>
                <w:bCs/>
                <w:kern w:val="2"/>
                <w:sz w:val="22"/>
                <w:szCs w:val="22"/>
              </w:rPr>
              <w:t>Techninė specifikacija</w:t>
            </w:r>
          </w:p>
        </w:tc>
      </w:tr>
      <w:tr w:rsidR="00A96781" w:rsidRPr="000D629B" w14:paraId="3688764D" w14:textId="77777777" w:rsidTr="003241C0">
        <w:trPr>
          <w:trHeight w:val="300"/>
        </w:trPr>
        <w:tc>
          <w:tcPr>
            <w:tcW w:w="3374" w:type="dxa"/>
          </w:tcPr>
          <w:p w14:paraId="2F937B27" w14:textId="2F27A037"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A96781" w:rsidRPr="000D629B" w:rsidRDefault="00A96781" w:rsidP="00A96781">
            <w:pPr>
              <w:jc w:val="center"/>
              <w:rPr>
                <w:b/>
                <w:bCs/>
                <w:kern w:val="2"/>
                <w:sz w:val="22"/>
                <w:szCs w:val="22"/>
              </w:rPr>
            </w:pPr>
            <w:r w:rsidRPr="000D629B">
              <w:rPr>
                <w:b/>
                <w:bCs/>
                <w:kern w:val="2"/>
                <w:sz w:val="22"/>
                <w:szCs w:val="22"/>
              </w:rPr>
              <w:t>Pasiūlymas</w:t>
            </w:r>
          </w:p>
        </w:tc>
      </w:tr>
      <w:tr w:rsidR="00A96781" w:rsidRPr="000D629B" w14:paraId="42A45294" w14:textId="77777777" w:rsidTr="003241C0">
        <w:trPr>
          <w:trHeight w:val="300"/>
        </w:trPr>
        <w:tc>
          <w:tcPr>
            <w:tcW w:w="3374" w:type="dxa"/>
          </w:tcPr>
          <w:p w14:paraId="2C2F2830" w14:textId="1E3A2E4E"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A96781" w:rsidRPr="00B03DB5" w:rsidRDefault="00A96781" w:rsidP="00A96781">
            <w:pPr>
              <w:rPr>
                <w:kern w:val="2"/>
                <w:sz w:val="22"/>
                <w:szCs w:val="22"/>
              </w:rPr>
            </w:pPr>
            <w:r w:rsidRPr="00B03DB5">
              <w:rPr>
                <w:color w:val="007BB8"/>
                <w:kern w:val="2"/>
                <w:sz w:val="22"/>
                <w:szCs w:val="22"/>
              </w:rPr>
              <w:t>Sutarties vykdymui pasitelkiami subtiekėjai ir (ar) specialistai (jei taikoma)</w:t>
            </w:r>
          </w:p>
        </w:tc>
      </w:tr>
      <w:tr w:rsidR="00A96781" w:rsidRPr="000D629B" w14:paraId="3C64DF6F" w14:textId="77777777" w:rsidTr="003241C0">
        <w:tc>
          <w:tcPr>
            <w:tcW w:w="9761" w:type="dxa"/>
            <w:gridSpan w:val="4"/>
          </w:tcPr>
          <w:p w14:paraId="6891CCA6" w14:textId="290E043C" w:rsidR="00A96781" w:rsidRPr="000019F5" w:rsidRDefault="00A96781" w:rsidP="00A96781">
            <w:pPr>
              <w:jc w:val="center"/>
              <w:rPr>
                <w:b/>
                <w:bCs/>
                <w:kern w:val="2"/>
                <w:szCs w:val="24"/>
              </w:rPr>
            </w:pPr>
            <w:r w:rsidRPr="000019F5">
              <w:rPr>
                <w:b/>
                <w:bCs/>
                <w:kern w:val="2"/>
                <w:szCs w:val="24"/>
              </w:rPr>
              <w:t>15. ŠALIŲ ATSTOVŲ PARAŠAI</w:t>
            </w:r>
          </w:p>
        </w:tc>
      </w:tr>
      <w:tr w:rsidR="00A96781" w:rsidRPr="000D629B" w14:paraId="20E82B78" w14:textId="77777777" w:rsidTr="003241C0">
        <w:tc>
          <w:tcPr>
            <w:tcW w:w="3374" w:type="dxa"/>
          </w:tcPr>
          <w:p w14:paraId="04DC8B15" w14:textId="77777777" w:rsidR="00A96781" w:rsidRPr="000D629B" w:rsidRDefault="00A96781" w:rsidP="00A96781">
            <w:pPr>
              <w:jc w:val="center"/>
              <w:rPr>
                <w:b/>
                <w:bCs/>
                <w:kern w:val="2"/>
                <w:sz w:val="22"/>
                <w:szCs w:val="22"/>
              </w:rPr>
            </w:pPr>
            <w:r w:rsidRPr="000D629B">
              <w:rPr>
                <w:b/>
                <w:bCs/>
                <w:kern w:val="2"/>
                <w:sz w:val="22"/>
                <w:szCs w:val="22"/>
              </w:rPr>
              <w:t>PIRKĖJAS</w:t>
            </w:r>
          </w:p>
        </w:tc>
        <w:tc>
          <w:tcPr>
            <w:tcW w:w="6387" w:type="dxa"/>
            <w:gridSpan w:val="3"/>
          </w:tcPr>
          <w:p w14:paraId="1BD04B5F" w14:textId="77777777" w:rsidR="00A96781" w:rsidRPr="000D629B" w:rsidRDefault="00A96781" w:rsidP="00A96781">
            <w:pPr>
              <w:jc w:val="center"/>
              <w:rPr>
                <w:b/>
                <w:bCs/>
                <w:kern w:val="2"/>
                <w:sz w:val="22"/>
                <w:szCs w:val="22"/>
              </w:rPr>
            </w:pPr>
            <w:r w:rsidRPr="000D629B">
              <w:rPr>
                <w:b/>
                <w:bCs/>
                <w:kern w:val="2"/>
                <w:sz w:val="22"/>
                <w:szCs w:val="22"/>
              </w:rPr>
              <w:t>TIEKĖJAS</w:t>
            </w:r>
          </w:p>
        </w:tc>
      </w:tr>
      <w:tr w:rsidR="00A96781" w:rsidRPr="000D629B" w14:paraId="5AF01503" w14:textId="77777777" w:rsidTr="003241C0">
        <w:tc>
          <w:tcPr>
            <w:tcW w:w="3374" w:type="dxa"/>
          </w:tcPr>
          <w:p w14:paraId="05D857AA" w14:textId="24890D82" w:rsidR="00A96781" w:rsidRPr="000D629B" w:rsidRDefault="00A96781" w:rsidP="00A9678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A96781" w:rsidRPr="000D629B" w:rsidRDefault="00A96781" w:rsidP="00A96781">
            <w:pPr>
              <w:jc w:val="center"/>
              <w:rPr>
                <w:b/>
                <w:bCs/>
                <w:kern w:val="2"/>
                <w:sz w:val="22"/>
                <w:szCs w:val="22"/>
              </w:rPr>
            </w:pPr>
          </w:p>
        </w:tc>
      </w:tr>
      <w:tr w:rsidR="00A96781" w:rsidRPr="000D629B" w14:paraId="3D8CAA14" w14:textId="77777777" w:rsidTr="003241C0">
        <w:tc>
          <w:tcPr>
            <w:tcW w:w="3374" w:type="dxa"/>
          </w:tcPr>
          <w:p w14:paraId="398CF590" w14:textId="77777777" w:rsidR="00A96781" w:rsidRPr="000D629B" w:rsidRDefault="00A96781" w:rsidP="00A96781">
            <w:pPr>
              <w:jc w:val="center"/>
              <w:rPr>
                <w:b/>
                <w:bCs/>
                <w:kern w:val="2"/>
                <w:sz w:val="22"/>
                <w:szCs w:val="22"/>
              </w:rPr>
            </w:pPr>
          </w:p>
          <w:p w14:paraId="6F1B5BC5" w14:textId="7E548972" w:rsidR="00A96781" w:rsidRPr="000D629B" w:rsidRDefault="00A96781" w:rsidP="00A96781">
            <w:pPr>
              <w:jc w:val="center"/>
              <w:rPr>
                <w:b/>
                <w:bCs/>
                <w:kern w:val="2"/>
                <w:sz w:val="22"/>
                <w:szCs w:val="22"/>
              </w:rPr>
            </w:pPr>
            <w:r w:rsidRPr="000D629B">
              <w:rPr>
                <w:kern w:val="2"/>
                <w:sz w:val="22"/>
                <w:szCs w:val="22"/>
              </w:rPr>
              <w:t>(parašas)</w:t>
            </w:r>
          </w:p>
        </w:tc>
        <w:tc>
          <w:tcPr>
            <w:tcW w:w="6387" w:type="dxa"/>
            <w:gridSpan w:val="3"/>
          </w:tcPr>
          <w:p w14:paraId="1BCCBB7E" w14:textId="77777777" w:rsidR="00A96781" w:rsidRPr="000D629B" w:rsidRDefault="00A96781" w:rsidP="00A96781">
            <w:pPr>
              <w:jc w:val="center"/>
              <w:rPr>
                <w:b/>
                <w:bCs/>
                <w:color w:val="4472C4"/>
                <w:kern w:val="2"/>
                <w:sz w:val="22"/>
                <w:szCs w:val="22"/>
              </w:rPr>
            </w:pPr>
          </w:p>
          <w:p w14:paraId="1DAAD3D1" w14:textId="77777777" w:rsidR="00A96781" w:rsidRPr="000019F5" w:rsidRDefault="00A96781" w:rsidP="00A96781">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359AA"/>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09CB"/>
    <w:rsid w:val="001F4534"/>
    <w:rsid w:val="001F4E7B"/>
    <w:rsid w:val="00200FEA"/>
    <w:rsid w:val="00204A3B"/>
    <w:rsid w:val="00237F45"/>
    <w:rsid w:val="00244B57"/>
    <w:rsid w:val="002458D3"/>
    <w:rsid w:val="002535F9"/>
    <w:rsid w:val="00253874"/>
    <w:rsid w:val="00262C35"/>
    <w:rsid w:val="002824E7"/>
    <w:rsid w:val="002840DE"/>
    <w:rsid w:val="002A2562"/>
    <w:rsid w:val="002B2192"/>
    <w:rsid w:val="002D3D3E"/>
    <w:rsid w:val="002F497C"/>
    <w:rsid w:val="0031635A"/>
    <w:rsid w:val="00323969"/>
    <w:rsid w:val="003241C0"/>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67B0A"/>
    <w:rsid w:val="00671EED"/>
    <w:rsid w:val="006966BB"/>
    <w:rsid w:val="006C0686"/>
    <w:rsid w:val="006C2755"/>
    <w:rsid w:val="006D48CF"/>
    <w:rsid w:val="006F3C2E"/>
    <w:rsid w:val="006F50EC"/>
    <w:rsid w:val="00704FFB"/>
    <w:rsid w:val="00710854"/>
    <w:rsid w:val="007151F0"/>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8E7F9C"/>
    <w:rsid w:val="00900DDE"/>
    <w:rsid w:val="00902187"/>
    <w:rsid w:val="00955CDA"/>
    <w:rsid w:val="00956BA4"/>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21F97"/>
    <w:rsid w:val="00B3182D"/>
    <w:rsid w:val="00B42FA8"/>
    <w:rsid w:val="00B469E1"/>
    <w:rsid w:val="00B53D18"/>
    <w:rsid w:val="00B621C9"/>
    <w:rsid w:val="00B63561"/>
    <w:rsid w:val="00B70411"/>
    <w:rsid w:val="00B86F8E"/>
    <w:rsid w:val="00B87A91"/>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26ECB"/>
    <w:rsid w:val="00F47D75"/>
    <w:rsid w:val="00F54AA0"/>
    <w:rsid w:val="00F6013B"/>
    <w:rsid w:val="00F950F5"/>
    <w:rsid w:val="00F95392"/>
    <w:rsid w:val="00F96CD2"/>
    <w:rsid w:val="00FA0759"/>
    <w:rsid w:val="00FA69B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na.zajancausky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nora.bielskyt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12610</Words>
  <Characters>7188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2</cp:revision>
  <dcterms:created xsi:type="dcterms:W3CDTF">2025-07-01T11:48:00Z</dcterms:created>
  <dcterms:modified xsi:type="dcterms:W3CDTF">2025-07-01T11:48:00Z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