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93F" w:rsidRPr="0055693F" w:rsidRDefault="0055693F" w:rsidP="0055693F">
      <w:pPr>
        <w:spacing w:after="120" w:line="240" w:lineRule="auto"/>
        <w:ind w:left="5529" w:firstLine="0"/>
        <w:contextualSpacing/>
        <w:jc w:val="left"/>
        <w:rPr>
          <w:rFonts w:asciiTheme="majorHAnsi" w:hAnsiTheme="majorHAnsi" w:cstheme="majorHAnsi"/>
          <w:bCs/>
        </w:rPr>
      </w:pPr>
      <w:r w:rsidRPr="0055693F">
        <w:rPr>
          <w:rFonts w:asciiTheme="majorHAnsi" w:hAnsiTheme="majorHAnsi" w:cstheme="majorHAnsi"/>
          <w:bCs/>
        </w:rPr>
        <w:t>Mažos vertės viešojo pirkimo „</w:t>
      </w:r>
      <w:r w:rsidRPr="0055693F">
        <w:rPr>
          <w:rFonts w:asciiTheme="majorHAnsi" w:hAnsiTheme="majorHAnsi" w:cstheme="majorHAnsi"/>
        </w:rPr>
        <w:t>Mobiliosios įrangos duomenų išgavimo ir analizės programinės įrangos su papildomais duomenų vizualizavimo ir ataskaitų generavimo moduliais licencija (</w:t>
      </w:r>
      <w:r w:rsidRPr="00372987">
        <w:rPr>
          <w:rFonts w:asciiTheme="majorHAnsi" w:hAnsiTheme="majorHAnsi" w:cstheme="majorHAnsi"/>
        </w:rPr>
        <w:t>4-</w:t>
      </w:r>
      <w:r w:rsidR="00372987" w:rsidRPr="00372987">
        <w:rPr>
          <w:rFonts w:asciiTheme="majorHAnsi" w:hAnsiTheme="majorHAnsi" w:cstheme="majorHAnsi"/>
        </w:rPr>
        <w:t>6929</w:t>
      </w:r>
      <w:r w:rsidRPr="0055693F">
        <w:rPr>
          <w:rFonts w:asciiTheme="majorHAnsi" w:hAnsiTheme="majorHAnsi" w:cstheme="majorHAnsi"/>
        </w:rPr>
        <w:t>)</w:t>
      </w:r>
      <w:r w:rsidRPr="0055693F">
        <w:rPr>
          <w:rFonts w:asciiTheme="majorHAnsi" w:hAnsiTheme="majorHAnsi" w:cstheme="majorHAnsi"/>
          <w:bCs/>
        </w:rPr>
        <w:t xml:space="preserve">“ skelbiamos apklausos specialiųjų sąlygų </w:t>
      </w:r>
    </w:p>
    <w:p w:rsidR="0055693F" w:rsidRPr="0055693F" w:rsidRDefault="0055693F" w:rsidP="0055693F">
      <w:pPr>
        <w:spacing w:after="120" w:line="240" w:lineRule="auto"/>
        <w:ind w:left="5529" w:firstLine="0"/>
        <w:contextualSpacing/>
        <w:jc w:val="left"/>
        <w:rPr>
          <w:rFonts w:asciiTheme="majorHAnsi" w:hAnsiTheme="majorHAnsi" w:cstheme="majorHAnsi"/>
          <w:bCs/>
        </w:rPr>
      </w:pPr>
      <w:r w:rsidRPr="0055693F">
        <w:rPr>
          <w:rFonts w:asciiTheme="majorHAnsi" w:hAnsiTheme="majorHAnsi" w:cstheme="majorHAnsi"/>
          <w:bCs/>
        </w:rPr>
        <w:t>1 priedas</w:t>
      </w:r>
    </w:p>
    <w:p w:rsidR="0055693F" w:rsidRPr="0055693F" w:rsidRDefault="0055693F" w:rsidP="0055693F">
      <w:pPr>
        <w:pStyle w:val="Header"/>
        <w:ind w:firstLine="0"/>
        <w:rPr>
          <w:rFonts w:asciiTheme="majorHAnsi" w:hAnsiTheme="majorHAnsi" w:cstheme="majorHAnsi"/>
          <w:sz w:val="22"/>
          <w:szCs w:val="22"/>
        </w:rPr>
      </w:pPr>
    </w:p>
    <w:p w:rsidR="0055693F" w:rsidRPr="0055693F" w:rsidRDefault="0055693F" w:rsidP="0055693F">
      <w:pPr>
        <w:jc w:val="center"/>
        <w:rPr>
          <w:rFonts w:asciiTheme="majorHAnsi" w:hAnsiTheme="majorHAnsi" w:cstheme="majorHAnsi"/>
          <w:b/>
          <w:caps/>
          <w:sz w:val="22"/>
          <w:szCs w:val="22"/>
        </w:rPr>
      </w:pPr>
      <w:r w:rsidRPr="0055693F">
        <w:rPr>
          <w:rFonts w:asciiTheme="majorHAnsi" w:hAnsiTheme="majorHAnsi" w:cstheme="majorHAnsi"/>
          <w:b/>
          <w:caps/>
          <w:sz w:val="22"/>
          <w:szCs w:val="22"/>
        </w:rPr>
        <w:t>TECHNINĖ SPECIFIKACIJA</w:t>
      </w:r>
    </w:p>
    <w:p w:rsidR="0055693F" w:rsidRPr="0055693F" w:rsidRDefault="0055693F" w:rsidP="0055693F">
      <w:pPr>
        <w:jc w:val="center"/>
        <w:rPr>
          <w:rFonts w:asciiTheme="majorHAnsi" w:hAnsiTheme="majorHAnsi" w:cstheme="majorHAnsi"/>
          <w:b/>
          <w:caps/>
          <w:sz w:val="22"/>
          <w:szCs w:val="22"/>
        </w:rPr>
      </w:pPr>
    </w:p>
    <w:p w:rsidR="0055693F" w:rsidRPr="0055693F" w:rsidRDefault="0055693F" w:rsidP="0055693F">
      <w:pPr>
        <w:pStyle w:val="1NUMarial"/>
        <w:numPr>
          <w:ilvl w:val="1"/>
          <w:numId w:val="2"/>
        </w:numPr>
        <w:tabs>
          <w:tab w:val="left" w:pos="426"/>
        </w:tabs>
        <w:spacing w:line="240" w:lineRule="auto"/>
        <w:ind w:left="425" w:hanging="425"/>
        <w:contextualSpacing w:val="0"/>
        <w:rPr>
          <w:rFonts w:asciiTheme="majorHAnsi" w:hAnsiTheme="majorHAnsi" w:cstheme="majorHAnsi"/>
          <w:lang w:val="lt-LT"/>
        </w:rPr>
      </w:pPr>
      <w:r w:rsidRPr="0055693F">
        <w:rPr>
          <w:rFonts w:asciiTheme="majorHAnsi" w:hAnsiTheme="majorHAnsi" w:cstheme="majorHAnsi"/>
          <w:b/>
          <w:lang w:val="lt-LT"/>
        </w:rPr>
        <w:t>Pirkėjas</w:t>
      </w:r>
      <w:r w:rsidRPr="0055693F">
        <w:rPr>
          <w:rFonts w:asciiTheme="majorHAnsi" w:hAnsiTheme="majorHAnsi" w:cstheme="majorHAnsi"/>
          <w:lang w:val="lt-LT"/>
        </w:rPr>
        <w:t xml:space="preserve"> – Finansinių nusikaltimų tyrimo tarnyba prie Lietuvos Respublikos vidaus reikalų ministerijos (toliau – FNTT, Perkančioji organizacija).</w:t>
      </w:r>
    </w:p>
    <w:p w:rsidR="0055693F" w:rsidRPr="0055693F" w:rsidRDefault="0055693F" w:rsidP="0055693F">
      <w:pPr>
        <w:pStyle w:val="1NUMarial"/>
        <w:numPr>
          <w:ilvl w:val="1"/>
          <w:numId w:val="2"/>
        </w:numPr>
        <w:tabs>
          <w:tab w:val="left" w:pos="426"/>
        </w:tabs>
        <w:spacing w:line="240" w:lineRule="auto"/>
        <w:ind w:left="425" w:hanging="425"/>
        <w:contextualSpacing w:val="0"/>
        <w:rPr>
          <w:rFonts w:asciiTheme="majorHAnsi" w:hAnsiTheme="majorHAnsi" w:cstheme="majorHAnsi"/>
          <w:lang w:val="lt-LT"/>
        </w:rPr>
      </w:pPr>
      <w:r w:rsidRPr="0055693F">
        <w:rPr>
          <w:rFonts w:asciiTheme="majorHAnsi" w:hAnsiTheme="majorHAnsi" w:cstheme="majorHAnsi"/>
          <w:b/>
          <w:lang w:val="lt-LT"/>
        </w:rPr>
        <w:t>Pirkimo objektas</w:t>
      </w:r>
      <w:r w:rsidRPr="0055693F">
        <w:rPr>
          <w:rFonts w:asciiTheme="majorHAnsi" w:hAnsiTheme="majorHAnsi" w:cstheme="majorHAnsi"/>
          <w:lang w:val="lt-LT"/>
        </w:rPr>
        <w:t xml:space="preserve"> – 1 (viena) mobiliosios įrangos duomenų išgavimo ir analizės programinės įrangos su papildomais duomenų vizualizavimo ir ataskaitų generavimo moduliais licencija, įskaitant programinės įrangos klaidų taisymą ir (ar) atnaujinimą (toliau – prekė) licencijos galiojimo laikotarpiu.</w:t>
      </w:r>
    </w:p>
    <w:p w:rsidR="0055693F" w:rsidRPr="0055693F" w:rsidRDefault="0055693F" w:rsidP="0055693F">
      <w:pPr>
        <w:pStyle w:val="1NUMarial"/>
        <w:numPr>
          <w:ilvl w:val="1"/>
          <w:numId w:val="2"/>
        </w:numPr>
        <w:tabs>
          <w:tab w:val="left" w:pos="426"/>
        </w:tabs>
        <w:spacing w:line="240" w:lineRule="auto"/>
        <w:ind w:left="425" w:hanging="425"/>
        <w:contextualSpacing w:val="0"/>
        <w:rPr>
          <w:rFonts w:asciiTheme="majorHAnsi" w:hAnsiTheme="majorHAnsi" w:cstheme="majorHAnsi"/>
          <w:lang w:val="lt-LT"/>
        </w:rPr>
      </w:pPr>
      <w:r w:rsidRPr="0055693F">
        <w:rPr>
          <w:rFonts w:asciiTheme="majorHAnsi" w:hAnsiTheme="majorHAnsi" w:cstheme="majorHAnsi"/>
          <w:b/>
          <w:lang w:val="lt-LT"/>
        </w:rPr>
        <w:t>Programinės įrangos paskirtis</w:t>
      </w:r>
      <w:r w:rsidRPr="0055693F">
        <w:rPr>
          <w:rFonts w:asciiTheme="majorHAnsi" w:hAnsiTheme="majorHAnsi" w:cstheme="majorHAnsi"/>
          <w:lang w:val="lt-LT"/>
        </w:rPr>
        <w:t xml:space="preserve"> – atrakinti mobiliuosius įrenginius su „</w:t>
      </w:r>
      <w:r w:rsidRPr="0055693F">
        <w:rPr>
          <w:rFonts w:asciiTheme="majorHAnsi" w:hAnsiTheme="majorHAnsi" w:cstheme="majorHAnsi"/>
          <w:i/>
          <w:lang w:val="lt-LT"/>
        </w:rPr>
        <w:t>Android</w:t>
      </w:r>
      <w:r w:rsidRPr="0055693F">
        <w:rPr>
          <w:rFonts w:asciiTheme="majorHAnsi" w:hAnsiTheme="majorHAnsi" w:cstheme="majorHAnsi"/>
          <w:lang w:val="lt-LT"/>
        </w:rPr>
        <w:t>“, „</w:t>
      </w:r>
      <w:r w:rsidRPr="0055693F">
        <w:rPr>
          <w:rFonts w:asciiTheme="majorHAnsi" w:hAnsiTheme="majorHAnsi" w:cstheme="majorHAnsi"/>
          <w:i/>
          <w:lang w:val="lt-LT"/>
        </w:rPr>
        <w:t>iOS</w:t>
      </w:r>
      <w:r w:rsidRPr="0055693F">
        <w:rPr>
          <w:rFonts w:asciiTheme="majorHAnsi" w:hAnsiTheme="majorHAnsi" w:cstheme="majorHAnsi"/>
          <w:lang w:val="lt-LT"/>
        </w:rPr>
        <w:t>“ ir „</w:t>
      </w:r>
      <w:proofErr w:type="spellStart"/>
      <w:r w:rsidRPr="0055693F">
        <w:rPr>
          <w:rFonts w:asciiTheme="majorHAnsi" w:hAnsiTheme="majorHAnsi" w:cstheme="majorHAnsi"/>
          <w:i/>
          <w:lang w:val="lt-LT"/>
        </w:rPr>
        <w:t>BlackBerry</w:t>
      </w:r>
      <w:proofErr w:type="spellEnd"/>
      <w:r w:rsidRPr="0055693F">
        <w:rPr>
          <w:rFonts w:asciiTheme="majorHAnsi" w:hAnsiTheme="majorHAnsi" w:cstheme="majorHAnsi"/>
          <w:i/>
          <w:lang w:val="lt-LT"/>
        </w:rPr>
        <w:t xml:space="preserve"> OS“</w:t>
      </w:r>
      <w:r w:rsidRPr="0055693F">
        <w:rPr>
          <w:rFonts w:asciiTheme="majorHAnsi" w:hAnsiTheme="majorHAnsi" w:cstheme="majorHAnsi"/>
          <w:lang w:val="lt-LT"/>
        </w:rPr>
        <w:t xml:space="preserve"> operacinėmis sistemomis bei vykdyti išsamų juose esančių duomenų nuskaitymą ir apdorojimą, įskaitant fizinį bei pilną failų sistemos išgavimą ir informacijos gavimą iš „</w:t>
      </w:r>
      <w:r w:rsidRPr="0055693F">
        <w:rPr>
          <w:rFonts w:asciiTheme="majorHAnsi" w:hAnsiTheme="majorHAnsi" w:cstheme="majorHAnsi"/>
          <w:i/>
          <w:lang w:val="lt-LT"/>
        </w:rPr>
        <w:t xml:space="preserve">iOS </w:t>
      </w:r>
      <w:proofErr w:type="spellStart"/>
      <w:r w:rsidRPr="0055693F">
        <w:rPr>
          <w:rFonts w:asciiTheme="majorHAnsi" w:hAnsiTheme="majorHAnsi" w:cstheme="majorHAnsi"/>
          <w:i/>
          <w:lang w:val="lt-LT"/>
        </w:rPr>
        <w:t>Keychain</w:t>
      </w:r>
      <w:proofErr w:type="spellEnd"/>
      <w:r w:rsidRPr="0055693F">
        <w:rPr>
          <w:rFonts w:asciiTheme="majorHAnsi" w:hAnsiTheme="majorHAnsi" w:cstheme="majorHAnsi"/>
          <w:lang w:val="lt-LT"/>
        </w:rPr>
        <w:t>“ bei „</w:t>
      </w:r>
      <w:r w:rsidRPr="0055693F">
        <w:rPr>
          <w:rFonts w:asciiTheme="majorHAnsi" w:hAnsiTheme="majorHAnsi" w:cstheme="majorHAnsi"/>
          <w:i/>
          <w:lang w:val="lt-LT"/>
        </w:rPr>
        <w:t xml:space="preserve">Android </w:t>
      </w:r>
      <w:proofErr w:type="spellStart"/>
      <w:r w:rsidRPr="0055693F">
        <w:rPr>
          <w:rFonts w:asciiTheme="majorHAnsi" w:hAnsiTheme="majorHAnsi" w:cstheme="majorHAnsi"/>
          <w:i/>
          <w:lang w:val="lt-LT"/>
        </w:rPr>
        <w:t>Keystore</w:t>
      </w:r>
      <w:proofErr w:type="spellEnd"/>
      <w:r w:rsidRPr="0055693F">
        <w:rPr>
          <w:rFonts w:asciiTheme="majorHAnsi" w:hAnsiTheme="majorHAnsi" w:cstheme="majorHAnsi"/>
          <w:lang w:val="lt-LT"/>
        </w:rPr>
        <w:t>“ saugyklų.</w:t>
      </w:r>
    </w:p>
    <w:p w:rsidR="0055693F" w:rsidRPr="0055693F" w:rsidRDefault="0055693F" w:rsidP="0055693F">
      <w:pPr>
        <w:pStyle w:val="1NUMarial"/>
        <w:numPr>
          <w:ilvl w:val="1"/>
          <w:numId w:val="2"/>
        </w:numPr>
        <w:tabs>
          <w:tab w:val="left" w:pos="426"/>
        </w:tabs>
        <w:spacing w:line="240" w:lineRule="auto"/>
        <w:ind w:left="425" w:hanging="425"/>
        <w:contextualSpacing w:val="0"/>
        <w:rPr>
          <w:rFonts w:asciiTheme="majorHAnsi" w:hAnsiTheme="majorHAnsi" w:cstheme="majorHAnsi"/>
          <w:lang w:val="lt-LT"/>
        </w:rPr>
      </w:pPr>
      <w:r w:rsidRPr="0055693F">
        <w:rPr>
          <w:rFonts w:asciiTheme="majorHAnsi" w:hAnsiTheme="majorHAnsi" w:cstheme="majorHAnsi"/>
          <w:b/>
          <w:iCs/>
          <w:lang w:val="lt-LT"/>
        </w:rPr>
        <w:t>Šis pirkimas yra žaliasis</w:t>
      </w:r>
      <w:r w:rsidRPr="0055693F">
        <w:rPr>
          <w:rFonts w:asciiTheme="majorHAnsi" w:hAnsiTheme="majorHAnsi" w:cstheme="majorHAnsi"/>
          <w:iCs/>
          <w:lang w:val="lt-LT"/>
        </w:rPr>
        <w:t xml:space="preserve">, nes pirkimo objektas atitinka </w:t>
      </w:r>
      <w:r w:rsidRPr="0055693F">
        <w:rPr>
          <w:rFonts w:asciiTheme="majorHAnsi" w:hAnsiTheme="majorHAnsi" w:cstheme="majorHAnsi"/>
          <w:color w:val="000000"/>
          <w:shd w:val="clear" w:color="auto" w:fill="FFFFFF"/>
          <w:lang w:val="lt-LT"/>
        </w:rPr>
        <w:t xml:space="preserve">Aplinkos apsaugos kriterijų taikymo, vykdant žaliuosius pirkimus, tvarkos aprašo, patvirtinto </w:t>
      </w:r>
      <w:r w:rsidRPr="0055693F">
        <w:rPr>
          <w:rFonts w:asciiTheme="majorHAnsi" w:eastAsia="Times New Roman" w:hAnsiTheme="majorHAnsi" w:cstheme="majorHAnsi"/>
          <w:color w:val="000000"/>
          <w:lang w:val="lt-LT"/>
        </w:rPr>
        <w:t>Lietuvos Respublikos aplinkos ministro</w:t>
      </w:r>
      <w:r w:rsidRPr="0055693F">
        <w:rPr>
          <w:rFonts w:asciiTheme="majorHAnsi" w:hAnsiTheme="majorHAnsi" w:cstheme="majorHAnsi"/>
          <w:color w:val="000000"/>
          <w:lang w:val="lt-LT"/>
        </w:rPr>
        <w:t xml:space="preserve"> </w:t>
      </w:r>
      <w:r w:rsidRPr="0055693F">
        <w:rPr>
          <w:rFonts w:asciiTheme="majorHAnsi" w:eastAsia="Times New Roman" w:hAnsiTheme="majorHAnsi" w:cstheme="majorHAnsi"/>
          <w:color w:val="000000"/>
          <w:lang w:val="lt-LT"/>
        </w:rPr>
        <w:t>2011 m. birželio 28 d. įsakymu Nr. D1-508</w:t>
      </w:r>
      <w:r w:rsidRPr="0055693F">
        <w:rPr>
          <w:rFonts w:asciiTheme="majorHAnsi" w:hAnsiTheme="majorHAnsi" w:cstheme="majorHAnsi"/>
          <w:color w:val="000000"/>
          <w:lang w:val="lt-LT"/>
        </w:rPr>
        <w:t xml:space="preserve"> </w:t>
      </w:r>
      <w:r w:rsidRPr="0055693F">
        <w:rPr>
          <w:rFonts w:asciiTheme="majorHAnsi" w:eastAsia="Times New Roman" w:hAnsiTheme="majorHAnsi" w:cstheme="majorHAnsi"/>
          <w:color w:val="000000"/>
          <w:lang w:val="lt-LT"/>
        </w:rPr>
        <w:t>(Lietuvos Respublikos aplinkos ministro</w:t>
      </w:r>
      <w:r w:rsidRPr="0055693F">
        <w:rPr>
          <w:rFonts w:asciiTheme="majorHAnsi" w:hAnsiTheme="majorHAnsi" w:cstheme="majorHAnsi"/>
          <w:color w:val="000000"/>
          <w:lang w:val="lt-LT"/>
        </w:rPr>
        <w:t xml:space="preserve"> </w:t>
      </w:r>
      <w:r w:rsidRPr="0055693F">
        <w:rPr>
          <w:rFonts w:asciiTheme="majorHAnsi" w:eastAsia="Times New Roman" w:hAnsiTheme="majorHAnsi" w:cstheme="majorHAnsi"/>
          <w:color w:val="000000"/>
          <w:lang w:val="lt-LT"/>
        </w:rPr>
        <w:t>2022 m. gruodžio 13 d. įsakymo Nr. D1-401redakcija)</w:t>
      </w:r>
      <w:r w:rsidRPr="0055693F">
        <w:rPr>
          <w:rFonts w:asciiTheme="majorHAnsi" w:hAnsiTheme="majorHAnsi" w:cstheme="majorHAnsi"/>
          <w:color w:val="000000"/>
          <w:lang w:val="lt-LT"/>
        </w:rPr>
        <w:t xml:space="preserve"> 4.4.3 papunkčio nuostatas.</w:t>
      </w:r>
    </w:p>
    <w:p w:rsidR="00420C2A" w:rsidRPr="00F55F12" w:rsidRDefault="00420C2A" w:rsidP="00420C2A">
      <w:pPr>
        <w:pStyle w:val="1NUMarial"/>
        <w:numPr>
          <w:ilvl w:val="1"/>
          <w:numId w:val="2"/>
        </w:numPr>
        <w:tabs>
          <w:tab w:val="left" w:pos="426"/>
        </w:tabs>
        <w:spacing w:line="240" w:lineRule="auto"/>
        <w:ind w:left="425" w:hanging="425"/>
        <w:contextualSpacing w:val="0"/>
        <w:rPr>
          <w:rFonts w:ascii="Calibri Light" w:hAnsi="Calibri Light" w:cs="Calibri Light"/>
          <w:lang w:val="lt-LT"/>
        </w:rPr>
      </w:pPr>
      <w:r w:rsidRPr="00F55F12">
        <w:rPr>
          <w:rFonts w:ascii="Calibri Light" w:hAnsi="Calibri Light" w:cs="Calibri Light"/>
          <w:b/>
          <w:u w:val="single"/>
          <w:lang w:val="lt-LT"/>
        </w:rPr>
        <w:t xml:space="preserve">Pirkimo objektui yra taikomi Lietuvos Respublikos viešųjų pirkimų įstatymo 37 str. 9 dalies reikalavimai susiję su nacionaliniu saugumu*. </w:t>
      </w:r>
      <w:r w:rsidRPr="00F55F12">
        <w:rPr>
          <w:rFonts w:ascii="Calibri Light" w:hAnsi="Calibri Light" w:cs="Calibri Light"/>
          <w:lang w:val="lt-LT"/>
        </w:rPr>
        <w:t xml:space="preserve">Tiekėjas privalo įrodyti, kad jo siūlomos prekės nekelia grėsmės nacionaliniam saugumui, nėra toliau nurodytų aplinkybių: prekių gamintojas ar jį kontroliuojantis asmuo yra registruoti (jeigu gamintojas ar jį kontroliuojantis asmuo yra fizinis asmuo – nuolat gyvenantis ar turintis pilietybę) VPĮ 92 straipsnio 14 dalyje numatytame sąraše nurodytose valstybėse ar teritorijose. </w:t>
      </w:r>
    </w:p>
    <w:p w:rsidR="00FE03AB" w:rsidRPr="00F55F12" w:rsidRDefault="00FE03AB" w:rsidP="00FE03AB">
      <w:pPr>
        <w:pStyle w:val="1NUMarial"/>
        <w:numPr>
          <w:ilvl w:val="0"/>
          <w:numId w:val="0"/>
        </w:numPr>
        <w:tabs>
          <w:tab w:val="left" w:pos="426"/>
        </w:tabs>
        <w:spacing w:line="240" w:lineRule="auto"/>
        <w:ind w:left="426"/>
        <w:contextualSpacing w:val="0"/>
        <w:rPr>
          <w:rFonts w:ascii="Calibri Light" w:hAnsi="Calibri Light" w:cs="Calibri Light"/>
          <w:i/>
          <w:iCs/>
          <w:lang w:val="lt-LT"/>
        </w:rPr>
      </w:pPr>
      <w:r w:rsidRPr="00F55F12">
        <w:rPr>
          <w:rFonts w:ascii="Calibri Light" w:hAnsi="Calibri Light" w:cs="Calibri Light"/>
          <w:i/>
          <w:iCs/>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rsidR="0055693F" w:rsidRPr="0055693F" w:rsidRDefault="0055693F" w:rsidP="0055693F">
      <w:pPr>
        <w:pStyle w:val="1NUMarial"/>
        <w:numPr>
          <w:ilvl w:val="1"/>
          <w:numId w:val="2"/>
        </w:numPr>
        <w:tabs>
          <w:tab w:val="left" w:pos="426"/>
        </w:tabs>
        <w:spacing w:line="240" w:lineRule="auto"/>
        <w:ind w:left="425" w:hanging="425"/>
        <w:contextualSpacing w:val="0"/>
        <w:rPr>
          <w:rFonts w:asciiTheme="majorHAnsi" w:hAnsiTheme="majorHAnsi" w:cstheme="majorHAnsi"/>
          <w:lang w:val="lt-LT"/>
        </w:rPr>
      </w:pPr>
      <w:r w:rsidRPr="0055693F">
        <w:rPr>
          <w:rFonts w:asciiTheme="majorHAnsi" w:hAnsiTheme="majorHAnsi" w:cstheme="majorHAnsi"/>
          <w:lang w:val="lt-LT"/>
        </w:rPr>
        <w:t>Pirkimo objektui keliami minimalūs techniniai reikalavimai yra nurodyti šios Techninės specifikacijos 1 lentelėje.</w:t>
      </w:r>
    </w:p>
    <w:p w:rsidR="0055693F" w:rsidRPr="0055693F" w:rsidRDefault="0055693F" w:rsidP="0055693F">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eastAsia="Times New Roman" w:hAnsiTheme="majorHAnsi" w:cstheme="majorHAnsi"/>
          <w:b/>
          <w:i/>
          <w:lang w:val="lt-LT" w:eastAsia="en-GB"/>
        </w:rPr>
        <w:t xml:space="preserve">1 lentelė. </w:t>
      </w:r>
      <w:r w:rsidRPr="0055693F">
        <w:rPr>
          <w:rFonts w:asciiTheme="majorHAnsi" w:hAnsiTheme="majorHAnsi" w:cstheme="majorHAnsi"/>
          <w:b/>
          <w:i/>
          <w:lang w:val="lt-LT" w:eastAsia="en-GB"/>
        </w:rPr>
        <w:t>Pirkimo objekto techninė charakteristika</w:t>
      </w:r>
    </w:p>
    <w:tbl>
      <w:tblPr>
        <w:tblStyle w:val="TableGrid"/>
        <w:tblW w:w="0" w:type="auto"/>
        <w:tblInd w:w="-5" w:type="dxa"/>
        <w:tblLook w:val="04A0" w:firstRow="1" w:lastRow="0" w:firstColumn="1" w:lastColumn="0" w:noHBand="0" w:noVBand="1"/>
      </w:tblPr>
      <w:tblGrid>
        <w:gridCol w:w="709"/>
        <w:gridCol w:w="3402"/>
        <w:gridCol w:w="5812"/>
      </w:tblGrid>
      <w:tr w:rsidR="0055693F" w:rsidRPr="0055693F" w:rsidTr="00385C99">
        <w:tc>
          <w:tcPr>
            <w:tcW w:w="709"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r w:rsidRPr="0055693F">
              <w:rPr>
                <w:rFonts w:asciiTheme="majorHAnsi" w:hAnsiTheme="majorHAnsi" w:cstheme="majorHAnsi"/>
                <w:b/>
                <w:lang w:val="lt-LT"/>
              </w:rPr>
              <w:t>Eil. Nr.</w:t>
            </w:r>
          </w:p>
        </w:tc>
        <w:tc>
          <w:tcPr>
            <w:tcW w:w="340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r w:rsidRPr="0055693F">
              <w:rPr>
                <w:rFonts w:asciiTheme="majorHAnsi" w:hAnsiTheme="majorHAnsi" w:cstheme="majorHAnsi"/>
                <w:b/>
                <w:lang w:val="lt-LT"/>
              </w:rPr>
              <w:t>Parametro apibūdinimas</w:t>
            </w: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r w:rsidRPr="0055693F">
              <w:rPr>
                <w:rFonts w:asciiTheme="majorHAnsi" w:hAnsiTheme="majorHAnsi" w:cstheme="majorHAnsi"/>
                <w:b/>
                <w:lang w:val="lt-LT"/>
              </w:rPr>
              <w:t>Privalomos techninės charakteristikos</w:t>
            </w:r>
          </w:p>
        </w:tc>
      </w:tr>
      <w:tr w:rsidR="0055693F" w:rsidRPr="0055693F" w:rsidTr="00385C99">
        <w:tc>
          <w:tcPr>
            <w:tcW w:w="709"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r w:rsidRPr="0055693F">
              <w:rPr>
                <w:rFonts w:asciiTheme="majorHAnsi" w:hAnsiTheme="majorHAnsi" w:cstheme="majorHAnsi"/>
                <w:lang w:val="lt-LT"/>
              </w:rPr>
              <w:t>1.</w:t>
            </w:r>
          </w:p>
        </w:tc>
        <w:tc>
          <w:tcPr>
            <w:tcW w:w="340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r w:rsidRPr="0055693F">
              <w:rPr>
                <w:rFonts w:asciiTheme="majorHAnsi" w:hAnsiTheme="majorHAnsi" w:cstheme="majorHAnsi"/>
                <w:lang w:val="lt-LT" w:eastAsia="en-GB"/>
              </w:rPr>
              <w:t>Programinės įrangos gamintojas, jos tikslus pavadinimas ir (ar) modelis</w:t>
            </w: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i/>
                <w:color w:val="5B9BD5" w:themeColor="accent5"/>
                <w:u w:val="single"/>
                <w:lang w:val="lt-LT" w:eastAsia="en-GB"/>
              </w:rPr>
              <w:t>Programinės įrangos gamintoją, tikslų programinės įrangos pavadinimą ir (ar) modelį pasiūlyme n</w:t>
            </w:r>
            <w:r w:rsidRPr="0055693F">
              <w:rPr>
                <w:rFonts w:asciiTheme="majorHAnsi" w:eastAsia="Times New Roman" w:hAnsiTheme="majorHAnsi" w:cstheme="majorHAnsi"/>
                <w:i/>
                <w:color w:val="5B9BD5" w:themeColor="accent5"/>
                <w:u w:val="single"/>
                <w:lang w:val="lt-LT" w:eastAsia="en-GB"/>
              </w:rPr>
              <w:t>urodo Tiekėjas.</w:t>
            </w:r>
          </w:p>
        </w:tc>
      </w:tr>
      <w:tr w:rsidR="0055693F" w:rsidRPr="0055693F" w:rsidTr="00385C99">
        <w:tc>
          <w:tcPr>
            <w:tcW w:w="709"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r w:rsidRPr="0055693F">
              <w:rPr>
                <w:rFonts w:asciiTheme="majorHAnsi" w:hAnsiTheme="majorHAnsi" w:cstheme="majorHAnsi"/>
                <w:lang w:val="lt-LT"/>
              </w:rPr>
              <w:t>2.</w:t>
            </w:r>
          </w:p>
        </w:tc>
        <w:tc>
          <w:tcPr>
            <w:tcW w:w="340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r w:rsidRPr="0055693F">
              <w:rPr>
                <w:rFonts w:asciiTheme="majorHAnsi" w:hAnsiTheme="majorHAnsi" w:cstheme="majorHAnsi"/>
                <w:lang w:val="lt-LT"/>
              </w:rPr>
              <w:t>Kiekis</w:t>
            </w: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1 (viena) licencija.</w:t>
            </w:r>
          </w:p>
        </w:tc>
      </w:tr>
      <w:tr w:rsidR="0055693F" w:rsidRPr="0055693F" w:rsidTr="00385C99">
        <w:tc>
          <w:tcPr>
            <w:tcW w:w="709"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r w:rsidRPr="0055693F">
              <w:rPr>
                <w:rFonts w:asciiTheme="majorHAnsi" w:hAnsiTheme="majorHAnsi" w:cstheme="majorHAnsi"/>
                <w:lang w:val="lt-LT"/>
              </w:rPr>
              <w:t>3.</w:t>
            </w:r>
          </w:p>
        </w:tc>
        <w:tc>
          <w:tcPr>
            <w:tcW w:w="340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r w:rsidRPr="0055693F">
              <w:rPr>
                <w:rFonts w:asciiTheme="majorHAnsi" w:hAnsiTheme="majorHAnsi" w:cstheme="majorHAnsi"/>
                <w:lang w:val="lt-LT"/>
              </w:rPr>
              <w:t>Licencijos galiojimo laikotarpis</w:t>
            </w: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eastAsia="Times New Roman" w:hAnsiTheme="majorHAnsi" w:cstheme="majorHAnsi"/>
                <w:lang w:val="lt-LT" w:eastAsia="en-GB"/>
              </w:rPr>
              <w:t>12 (dvylika) mėn. nuo licencijos perdavimo-priėmimo dienos.</w:t>
            </w:r>
          </w:p>
        </w:tc>
      </w:tr>
      <w:tr w:rsidR="0055693F" w:rsidRPr="0055693F" w:rsidTr="00385C99">
        <w:tc>
          <w:tcPr>
            <w:tcW w:w="709" w:type="dxa"/>
            <w:vMerge w:val="restart"/>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r w:rsidRPr="0055693F">
              <w:rPr>
                <w:rFonts w:asciiTheme="majorHAnsi" w:hAnsiTheme="majorHAnsi" w:cstheme="majorHAnsi"/>
                <w:lang w:val="lt-LT"/>
              </w:rPr>
              <w:t>4.</w:t>
            </w:r>
          </w:p>
        </w:tc>
        <w:tc>
          <w:tcPr>
            <w:tcW w:w="3402" w:type="dxa"/>
            <w:vMerge w:val="restart"/>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r w:rsidRPr="0055693F">
              <w:rPr>
                <w:rFonts w:asciiTheme="majorHAnsi" w:hAnsiTheme="majorHAnsi" w:cstheme="majorHAnsi"/>
                <w:lang w:val="lt-LT"/>
              </w:rPr>
              <w:t>Programinės įrangos funkciniai reikalavimai</w:t>
            </w: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4.1. Programinė įranga turi užtikrinti visapusišką duomenų išgavimą iš mobiliųjų įrenginių su „Android“, „iOS“ ir „</w:t>
            </w:r>
            <w:proofErr w:type="spellStart"/>
            <w:r w:rsidRPr="0055693F">
              <w:rPr>
                <w:rFonts w:asciiTheme="majorHAnsi" w:hAnsiTheme="majorHAnsi" w:cstheme="majorHAnsi"/>
                <w:i/>
                <w:lang w:val="lt-LT"/>
              </w:rPr>
              <w:t>BlackBerry</w:t>
            </w:r>
            <w:proofErr w:type="spellEnd"/>
            <w:r w:rsidRPr="0055693F">
              <w:rPr>
                <w:rFonts w:asciiTheme="majorHAnsi" w:hAnsiTheme="majorHAnsi" w:cstheme="majorHAnsi"/>
                <w:i/>
                <w:lang w:val="lt-LT"/>
              </w:rPr>
              <w:t xml:space="preserve"> OS“ </w:t>
            </w:r>
            <w:r w:rsidRPr="0055693F">
              <w:rPr>
                <w:rFonts w:asciiTheme="majorHAnsi" w:hAnsiTheme="majorHAnsi" w:cstheme="majorHAnsi"/>
                <w:lang w:val="lt-LT"/>
              </w:rPr>
              <w:t xml:space="preserve"> operacinėmis sistemomis, įskaitant:</w:t>
            </w:r>
          </w:p>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r w:rsidRPr="0055693F">
              <w:rPr>
                <w:rFonts w:asciiTheme="majorHAnsi" w:hAnsiTheme="majorHAnsi" w:cstheme="majorHAnsi"/>
                <w:lang w:val="lt-LT"/>
              </w:rPr>
              <w:t>a) failų sistemos duomenis,</w:t>
            </w:r>
          </w:p>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r w:rsidRPr="0055693F">
              <w:rPr>
                <w:rFonts w:asciiTheme="majorHAnsi" w:hAnsiTheme="majorHAnsi" w:cstheme="majorHAnsi"/>
                <w:lang w:val="lt-LT"/>
              </w:rPr>
              <w:lastRenderedPageBreak/>
              <w:t>b) šifruotus duomenis,</w:t>
            </w:r>
            <w:r w:rsidRPr="0055693F">
              <w:rPr>
                <w:rFonts w:asciiTheme="majorHAnsi" w:hAnsiTheme="majorHAnsi" w:cstheme="majorHAnsi"/>
                <w:lang w:val="lt-LT"/>
              </w:rPr>
              <w:br/>
              <w:t>c) trečiųjų šalių programėlių informaciją;</w:t>
            </w:r>
          </w:p>
        </w:tc>
      </w:tr>
      <w:tr w:rsidR="0055693F" w:rsidRPr="0055693F" w:rsidTr="00385C99">
        <w:tc>
          <w:tcPr>
            <w:tcW w:w="709"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p>
        </w:tc>
        <w:tc>
          <w:tcPr>
            <w:tcW w:w="3402"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4.2. Turi būti užtikrintas SIM kortelių duomenų nuskaitymas ir klonavimas;</w:t>
            </w:r>
          </w:p>
        </w:tc>
      </w:tr>
      <w:tr w:rsidR="0055693F" w:rsidRPr="0055693F" w:rsidTr="00385C99">
        <w:tc>
          <w:tcPr>
            <w:tcW w:w="709"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p>
        </w:tc>
        <w:tc>
          <w:tcPr>
            <w:tcW w:w="3402"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4.3. Programinė įranga turi turėti galimybę nuskaityti ir atkurti ištrintus duomenis iš mobiliųjų įrenginių vidinės atminties;</w:t>
            </w:r>
          </w:p>
        </w:tc>
      </w:tr>
      <w:tr w:rsidR="0055693F" w:rsidRPr="0055693F" w:rsidTr="00385C99">
        <w:tc>
          <w:tcPr>
            <w:tcW w:w="709"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p>
        </w:tc>
        <w:tc>
          <w:tcPr>
            <w:tcW w:w="3402"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4.4. Tu</w:t>
            </w:r>
            <w:bookmarkStart w:id="0" w:name="_GoBack"/>
            <w:bookmarkEnd w:id="0"/>
            <w:r w:rsidRPr="0055693F">
              <w:rPr>
                <w:rFonts w:asciiTheme="majorHAnsi" w:hAnsiTheme="majorHAnsi" w:cstheme="majorHAnsi"/>
                <w:lang w:val="lt-LT"/>
              </w:rPr>
              <w:t xml:space="preserve">ri būti galimybė generuoti išsamią nuskaitytų duomenų ataskaitą šiais formatais: </w:t>
            </w:r>
            <w:r w:rsidRPr="0055693F">
              <w:rPr>
                <w:rFonts w:asciiTheme="majorHAnsi" w:hAnsiTheme="majorHAnsi" w:cstheme="majorHAnsi"/>
                <w:i/>
                <w:lang w:val="lt-LT"/>
              </w:rPr>
              <w:t>PDF, HTML</w:t>
            </w:r>
            <w:r w:rsidRPr="0055693F">
              <w:rPr>
                <w:rFonts w:asciiTheme="majorHAnsi" w:hAnsiTheme="majorHAnsi" w:cstheme="majorHAnsi"/>
                <w:lang w:val="lt-LT"/>
              </w:rPr>
              <w:t xml:space="preserve">, bei specializuotu </w:t>
            </w:r>
            <w:r w:rsidRPr="0055693F">
              <w:rPr>
                <w:rFonts w:asciiTheme="majorHAnsi" w:hAnsiTheme="majorHAnsi" w:cstheme="majorHAnsi"/>
                <w:i/>
                <w:lang w:val="lt-LT"/>
              </w:rPr>
              <w:t>UFDR</w:t>
            </w:r>
            <w:r w:rsidRPr="0055693F">
              <w:rPr>
                <w:rFonts w:asciiTheme="majorHAnsi" w:hAnsiTheme="majorHAnsi" w:cstheme="majorHAnsi"/>
                <w:lang w:val="lt-LT"/>
              </w:rPr>
              <w:t xml:space="preserve"> formatu;</w:t>
            </w:r>
          </w:p>
        </w:tc>
      </w:tr>
      <w:tr w:rsidR="0055693F" w:rsidRPr="0055693F" w:rsidTr="00385C99">
        <w:tc>
          <w:tcPr>
            <w:tcW w:w="709"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p>
        </w:tc>
        <w:tc>
          <w:tcPr>
            <w:tcW w:w="3402"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4.5. Turi būti užtikrintas vartotojo slaptažodžių atkūrimas ir galimybė atrakinti mobiliuosius įrenginius.</w:t>
            </w:r>
          </w:p>
        </w:tc>
      </w:tr>
      <w:tr w:rsidR="0055693F" w:rsidRPr="0055693F" w:rsidTr="00385C99">
        <w:tc>
          <w:tcPr>
            <w:tcW w:w="709" w:type="dxa"/>
            <w:vMerge w:val="restart"/>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r w:rsidRPr="0055693F">
              <w:rPr>
                <w:rFonts w:asciiTheme="majorHAnsi" w:hAnsiTheme="majorHAnsi" w:cstheme="majorHAnsi"/>
                <w:lang w:val="lt-LT"/>
              </w:rPr>
              <w:t>5.</w:t>
            </w:r>
          </w:p>
        </w:tc>
        <w:tc>
          <w:tcPr>
            <w:tcW w:w="3402" w:type="dxa"/>
            <w:vMerge w:val="restart"/>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r w:rsidRPr="0055693F">
              <w:rPr>
                <w:rFonts w:asciiTheme="majorHAnsi" w:hAnsiTheme="majorHAnsi" w:cstheme="majorHAnsi"/>
                <w:lang w:val="lt-LT"/>
              </w:rPr>
              <w:t>Programinės įrangos techninės galimybės</w:t>
            </w: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5.1. Programinė įranga turi gebėti nuskaityti šiuos duomenis iš mobiliųjų įrenginių: kontaktus, skambučių žurnalus, SMS/MMS žinutes, nuotraukas, vaizdo įrašus, kalendoriaus įrašus, užrašus, el. pašto informaciją ir duomenis iš socialinių tinklų (</w:t>
            </w:r>
            <w:r w:rsidRPr="0055693F">
              <w:rPr>
                <w:rFonts w:asciiTheme="majorHAnsi" w:hAnsiTheme="majorHAnsi" w:cstheme="majorHAnsi"/>
                <w:i/>
                <w:lang w:val="lt-LT"/>
              </w:rPr>
              <w:t xml:space="preserve">WhatsApp, </w:t>
            </w:r>
            <w:proofErr w:type="spellStart"/>
            <w:r w:rsidRPr="0055693F">
              <w:rPr>
                <w:rFonts w:asciiTheme="majorHAnsi" w:hAnsiTheme="majorHAnsi" w:cstheme="majorHAnsi"/>
                <w:i/>
                <w:lang w:val="lt-LT"/>
              </w:rPr>
              <w:t>Viber</w:t>
            </w:r>
            <w:proofErr w:type="spellEnd"/>
            <w:r w:rsidRPr="0055693F">
              <w:rPr>
                <w:rFonts w:asciiTheme="majorHAnsi" w:hAnsiTheme="majorHAnsi" w:cstheme="majorHAnsi"/>
                <w:i/>
                <w:lang w:val="lt-LT"/>
              </w:rPr>
              <w:t xml:space="preserve">, Skype, Facebook Messenger, </w:t>
            </w:r>
            <w:proofErr w:type="spellStart"/>
            <w:r w:rsidRPr="0055693F">
              <w:rPr>
                <w:rFonts w:asciiTheme="majorHAnsi" w:hAnsiTheme="majorHAnsi" w:cstheme="majorHAnsi"/>
                <w:i/>
                <w:lang w:val="lt-LT"/>
              </w:rPr>
              <w:t>Telegram</w:t>
            </w:r>
            <w:proofErr w:type="spellEnd"/>
            <w:r w:rsidRPr="0055693F">
              <w:rPr>
                <w:rFonts w:asciiTheme="majorHAnsi" w:hAnsiTheme="majorHAnsi" w:cstheme="majorHAnsi"/>
                <w:i/>
                <w:lang w:val="lt-LT"/>
              </w:rPr>
              <w:t xml:space="preserve">, </w:t>
            </w:r>
            <w:proofErr w:type="spellStart"/>
            <w:r w:rsidRPr="0055693F">
              <w:rPr>
                <w:rFonts w:asciiTheme="majorHAnsi" w:hAnsiTheme="majorHAnsi" w:cstheme="majorHAnsi"/>
                <w:i/>
                <w:lang w:val="lt-LT"/>
              </w:rPr>
              <w:t>Signal</w:t>
            </w:r>
            <w:proofErr w:type="spellEnd"/>
            <w:r w:rsidRPr="0055693F">
              <w:rPr>
                <w:rFonts w:asciiTheme="majorHAnsi" w:hAnsiTheme="majorHAnsi" w:cstheme="majorHAnsi"/>
                <w:lang w:val="lt-LT"/>
              </w:rPr>
              <w:t>);</w:t>
            </w:r>
          </w:p>
        </w:tc>
      </w:tr>
      <w:tr w:rsidR="0055693F" w:rsidRPr="0055693F" w:rsidTr="00385C99">
        <w:tc>
          <w:tcPr>
            <w:tcW w:w="709"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p>
        </w:tc>
        <w:tc>
          <w:tcPr>
            <w:tcW w:w="3402"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 xml:space="preserve">5.2. Turi būti galimybė maksimaliai atkurti mobiliajame įrenginyje ištrintus duomenis bei apeiti įrenginio apsaugos kodą, ekrano užraktą ir atsarginės kopijos šifravimą daugumoje populiariausių </w:t>
            </w:r>
            <w:r w:rsidRPr="0055693F">
              <w:rPr>
                <w:rFonts w:asciiTheme="majorHAnsi" w:hAnsiTheme="majorHAnsi" w:cstheme="majorHAnsi"/>
                <w:i/>
                <w:lang w:val="lt-LT"/>
              </w:rPr>
              <w:t>Android, iOS</w:t>
            </w:r>
            <w:r w:rsidRPr="0055693F">
              <w:rPr>
                <w:rFonts w:asciiTheme="majorHAnsi" w:hAnsiTheme="majorHAnsi" w:cstheme="majorHAnsi"/>
                <w:lang w:val="lt-LT"/>
              </w:rPr>
              <w:t xml:space="preserve"> ir </w:t>
            </w:r>
            <w:proofErr w:type="spellStart"/>
            <w:r w:rsidRPr="0055693F">
              <w:rPr>
                <w:rFonts w:asciiTheme="majorHAnsi" w:hAnsiTheme="majorHAnsi" w:cstheme="majorHAnsi"/>
                <w:i/>
                <w:lang w:val="lt-LT"/>
              </w:rPr>
              <w:t>BlackBerry</w:t>
            </w:r>
            <w:proofErr w:type="spellEnd"/>
            <w:r w:rsidRPr="0055693F">
              <w:rPr>
                <w:rFonts w:asciiTheme="majorHAnsi" w:hAnsiTheme="majorHAnsi" w:cstheme="majorHAnsi"/>
                <w:i/>
                <w:lang w:val="lt-LT"/>
              </w:rPr>
              <w:t xml:space="preserve"> OS</w:t>
            </w:r>
            <w:r w:rsidRPr="0055693F">
              <w:rPr>
                <w:rFonts w:asciiTheme="majorHAnsi" w:hAnsiTheme="majorHAnsi" w:cstheme="majorHAnsi"/>
                <w:lang w:val="lt-LT"/>
              </w:rPr>
              <w:t xml:space="preserve"> įrenginių.</w:t>
            </w:r>
          </w:p>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Taip pat turi būti palaikoma „</w:t>
            </w:r>
            <w:proofErr w:type="spellStart"/>
            <w:r w:rsidRPr="0055693F">
              <w:rPr>
                <w:rFonts w:asciiTheme="majorHAnsi" w:hAnsiTheme="majorHAnsi" w:cstheme="majorHAnsi"/>
                <w:i/>
                <w:lang w:val="lt-LT"/>
              </w:rPr>
              <w:t>brute</w:t>
            </w:r>
            <w:proofErr w:type="spellEnd"/>
            <w:r w:rsidRPr="0055693F">
              <w:rPr>
                <w:rFonts w:asciiTheme="majorHAnsi" w:hAnsiTheme="majorHAnsi" w:cstheme="majorHAnsi"/>
                <w:i/>
                <w:lang w:val="lt-LT"/>
              </w:rPr>
              <w:t>-force</w:t>
            </w:r>
            <w:r w:rsidRPr="0055693F">
              <w:rPr>
                <w:rFonts w:asciiTheme="majorHAnsi" w:hAnsiTheme="majorHAnsi" w:cstheme="majorHAnsi"/>
                <w:lang w:val="lt-LT"/>
              </w:rPr>
              <w:t>“ funkcija, leidžianti naudoti numatytuosius ar individualiai sudarytus slaptažodžių žodynus;</w:t>
            </w:r>
          </w:p>
        </w:tc>
      </w:tr>
      <w:tr w:rsidR="0055693F" w:rsidRPr="0055693F" w:rsidTr="00385C99">
        <w:tc>
          <w:tcPr>
            <w:tcW w:w="709"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p>
        </w:tc>
        <w:tc>
          <w:tcPr>
            <w:tcW w:w="3402"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5.3. Turi būti palaikomas duomenų nuskaitymas iš mobiliųjų įrenginių su Kinijos gamintojų procesoriais;</w:t>
            </w:r>
          </w:p>
        </w:tc>
      </w:tr>
      <w:tr w:rsidR="0055693F" w:rsidRPr="0055693F" w:rsidTr="00385C99">
        <w:tc>
          <w:tcPr>
            <w:tcW w:w="709"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p>
        </w:tc>
        <w:tc>
          <w:tcPr>
            <w:tcW w:w="3402"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5.4. Turi būti galimybė dekoduoti duomenis bei išgauti raktus iš „</w:t>
            </w:r>
            <w:r w:rsidRPr="0055693F">
              <w:rPr>
                <w:rFonts w:asciiTheme="majorHAnsi" w:hAnsiTheme="majorHAnsi" w:cstheme="majorHAnsi"/>
                <w:i/>
                <w:lang w:val="lt-LT"/>
              </w:rPr>
              <w:t xml:space="preserve">iOS </w:t>
            </w:r>
            <w:proofErr w:type="spellStart"/>
            <w:r w:rsidRPr="0055693F">
              <w:rPr>
                <w:rFonts w:asciiTheme="majorHAnsi" w:hAnsiTheme="majorHAnsi" w:cstheme="majorHAnsi"/>
                <w:i/>
                <w:lang w:val="lt-LT"/>
              </w:rPr>
              <w:t>Keychain</w:t>
            </w:r>
            <w:proofErr w:type="spellEnd"/>
            <w:r w:rsidRPr="0055693F">
              <w:rPr>
                <w:rFonts w:asciiTheme="majorHAnsi" w:hAnsiTheme="majorHAnsi" w:cstheme="majorHAnsi"/>
                <w:lang w:val="lt-LT"/>
              </w:rPr>
              <w:t>“ ir „</w:t>
            </w:r>
            <w:r w:rsidRPr="0055693F">
              <w:rPr>
                <w:rFonts w:asciiTheme="majorHAnsi" w:hAnsiTheme="majorHAnsi" w:cstheme="majorHAnsi"/>
                <w:i/>
                <w:lang w:val="lt-LT"/>
              </w:rPr>
              <w:t xml:space="preserve">Android </w:t>
            </w:r>
            <w:proofErr w:type="spellStart"/>
            <w:r w:rsidRPr="0055693F">
              <w:rPr>
                <w:rFonts w:asciiTheme="majorHAnsi" w:hAnsiTheme="majorHAnsi" w:cstheme="majorHAnsi"/>
                <w:i/>
                <w:lang w:val="lt-LT"/>
              </w:rPr>
              <w:t>Keystore</w:t>
            </w:r>
            <w:proofErr w:type="spellEnd"/>
            <w:r w:rsidRPr="0055693F">
              <w:rPr>
                <w:rFonts w:asciiTheme="majorHAnsi" w:hAnsiTheme="majorHAnsi" w:cstheme="majorHAnsi"/>
                <w:lang w:val="lt-LT"/>
              </w:rPr>
              <w:t>“ saugyklų;</w:t>
            </w:r>
          </w:p>
        </w:tc>
      </w:tr>
      <w:tr w:rsidR="0055693F" w:rsidRPr="0055693F" w:rsidTr="00385C99">
        <w:tc>
          <w:tcPr>
            <w:tcW w:w="709"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p>
        </w:tc>
        <w:tc>
          <w:tcPr>
            <w:tcW w:w="3402"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5.5. Turi nuskaityti pagrindinę informaciją apie mobilųjį įrenginį: ryšio operatorių, gamintoją, modelį, pavadinimą, operacinę sistemą, IMEI numerį;</w:t>
            </w:r>
          </w:p>
        </w:tc>
      </w:tr>
      <w:tr w:rsidR="0055693F" w:rsidRPr="0055693F" w:rsidTr="00385C99">
        <w:tc>
          <w:tcPr>
            <w:tcW w:w="709"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p>
        </w:tc>
        <w:tc>
          <w:tcPr>
            <w:tcW w:w="3402"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5.6. Visa nuskaityta informacija turi būti įrašoma į skaitmeninę bylą;</w:t>
            </w:r>
          </w:p>
        </w:tc>
      </w:tr>
      <w:tr w:rsidR="0055693F" w:rsidRPr="0055693F" w:rsidTr="00385C99">
        <w:tc>
          <w:tcPr>
            <w:tcW w:w="709"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p>
        </w:tc>
        <w:tc>
          <w:tcPr>
            <w:tcW w:w="3402"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5.7. Programinė įranga turi turėti įrankius skaitmeninės bylos peržiūrai ir duomenų eksportavimui;</w:t>
            </w:r>
          </w:p>
        </w:tc>
      </w:tr>
      <w:tr w:rsidR="0055693F" w:rsidRPr="0055693F" w:rsidTr="00385C99">
        <w:tc>
          <w:tcPr>
            <w:tcW w:w="709"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p>
        </w:tc>
        <w:tc>
          <w:tcPr>
            <w:tcW w:w="3402"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5.8. Programinė įranga turi palaikyti automatizuotą darbo srautą, kuris leidžia vienu veiksmu atlikti duomenų išgavimą, dekodavimą, analizę ir ataskaitos generavimą;</w:t>
            </w:r>
          </w:p>
        </w:tc>
      </w:tr>
      <w:tr w:rsidR="0055693F" w:rsidRPr="0055693F" w:rsidTr="00385C99">
        <w:tc>
          <w:tcPr>
            <w:tcW w:w="709"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p>
        </w:tc>
        <w:tc>
          <w:tcPr>
            <w:tcW w:w="3402"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5.9. Programinė įranga turi gebėti be papildomų priemonių nuskaityti duomenis iš mobiliųjų telefonų su „iOS“ operacine sistema, kuriuose yra įjungta  vagystės apsaugos funkcija (</w:t>
            </w:r>
            <w:r w:rsidRPr="0055693F">
              <w:rPr>
                <w:rFonts w:asciiTheme="majorHAnsi" w:hAnsiTheme="majorHAnsi" w:cstheme="majorHAnsi"/>
                <w:i/>
                <w:lang w:val="lt-LT"/>
              </w:rPr>
              <w:t xml:space="preserve">angl. </w:t>
            </w:r>
            <w:proofErr w:type="spellStart"/>
            <w:r w:rsidRPr="0055693F">
              <w:rPr>
                <w:rFonts w:asciiTheme="majorHAnsi" w:hAnsiTheme="majorHAnsi" w:cstheme="majorHAnsi"/>
                <w:i/>
                <w:lang w:val="lt-LT"/>
              </w:rPr>
              <w:t>Stolen</w:t>
            </w:r>
            <w:proofErr w:type="spellEnd"/>
            <w:r w:rsidRPr="0055693F">
              <w:rPr>
                <w:rFonts w:asciiTheme="majorHAnsi" w:hAnsiTheme="majorHAnsi" w:cstheme="majorHAnsi"/>
                <w:i/>
                <w:lang w:val="lt-LT"/>
              </w:rPr>
              <w:t xml:space="preserve"> </w:t>
            </w:r>
            <w:proofErr w:type="spellStart"/>
            <w:r w:rsidRPr="0055693F">
              <w:rPr>
                <w:rFonts w:asciiTheme="majorHAnsi" w:hAnsiTheme="majorHAnsi" w:cstheme="majorHAnsi"/>
                <w:i/>
                <w:lang w:val="lt-LT"/>
              </w:rPr>
              <w:t>Device</w:t>
            </w:r>
            <w:proofErr w:type="spellEnd"/>
            <w:r w:rsidRPr="0055693F">
              <w:rPr>
                <w:rFonts w:asciiTheme="majorHAnsi" w:hAnsiTheme="majorHAnsi" w:cstheme="majorHAnsi"/>
                <w:i/>
                <w:lang w:val="lt-LT"/>
              </w:rPr>
              <w:t xml:space="preserve"> </w:t>
            </w:r>
            <w:proofErr w:type="spellStart"/>
            <w:r w:rsidRPr="0055693F">
              <w:rPr>
                <w:rFonts w:asciiTheme="majorHAnsi" w:hAnsiTheme="majorHAnsi" w:cstheme="majorHAnsi"/>
                <w:i/>
                <w:lang w:val="lt-LT"/>
              </w:rPr>
              <w:t>Protection</w:t>
            </w:r>
            <w:proofErr w:type="spellEnd"/>
            <w:r w:rsidRPr="0055693F">
              <w:rPr>
                <w:rFonts w:asciiTheme="majorHAnsi" w:hAnsiTheme="majorHAnsi" w:cstheme="majorHAnsi"/>
                <w:lang w:val="lt-LT"/>
              </w:rPr>
              <w:t>);</w:t>
            </w:r>
          </w:p>
        </w:tc>
      </w:tr>
      <w:tr w:rsidR="0055693F" w:rsidRPr="0055693F" w:rsidTr="00385C99">
        <w:tc>
          <w:tcPr>
            <w:tcW w:w="709"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p>
        </w:tc>
        <w:tc>
          <w:tcPr>
            <w:tcW w:w="3402"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p>
        </w:tc>
        <w:tc>
          <w:tcPr>
            <w:tcW w:w="5812" w:type="dxa"/>
            <w:shd w:val="clear" w:color="auto" w:fill="FFFFFF" w:themeFill="background1"/>
          </w:tcPr>
          <w:p w:rsidR="0055693F" w:rsidRPr="0055693F" w:rsidRDefault="0055693F" w:rsidP="00385C99">
            <w:pPr>
              <w:ind w:firstLine="0"/>
              <w:rPr>
                <w:rFonts w:asciiTheme="majorHAnsi" w:hAnsiTheme="majorHAnsi" w:cstheme="majorHAnsi"/>
              </w:rPr>
            </w:pPr>
            <w:r w:rsidRPr="0055693F">
              <w:rPr>
                <w:rFonts w:asciiTheme="majorHAnsi" w:hAnsiTheme="majorHAnsi" w:cstheme="majorHAnsi"/>
              </w:rPr>
              <w:t xml:space="preserve">5.10. Programinė įranga turi gebėti nuskaityti duomenis iš mobiliojo ryšio telefonų su </w:t>
            </w:r>
            <w:r w:rsidRPr="0055693F">
              <w:rPr>
                <w:rFonts w:asciiTheme="majorHAnsi" w:hAnsiTheme="majorHAnsi" w:cstheme="majorHAnsi"/>
                <w:i/>
              </w:rPr>
              <w:t>„Android”</w:t>
            </w:r>
            <w:r w:rsidRPr="0055693F">
              <w:rPr>
                <w:rFonts w:asciiTheme="majorHAnsi" w:hAnsiTheme="majorHAnsi" w:cstheme="majorHAnsi"/>
              </w:rPr>
              <w:t xml:space="preserve"> ir </w:t>
            </w:r>
            <w:r w:rsidRPr="0055693F">
              <w:rPr>
                <w:rFonts w:asciiTheme="majorHAnsi" w:hAnsiTheme="majorHAnsi" w:cstheme="majorHAnsi"/>
                <w:i/>
              </w:rPr>
              <w:t>„iOS”</w:t>
            </w:r>
            <w:r w:rsidRPr="0055693F">
              <w:rPr>
                <w:rFonts w:asciiTheme="majorHAnsi" w:hAnsiTheme="majorHAnsi" w:cstheme="majorHAnsi"/>
              </w:rPr>
              <w:t xml:space="preserve"> operacinėmis sistemomis pilnos failų sistemos (</w:t>
            </w:r>
            <w:r w:rsidRPr="0055693F">
              <w:rPr>
                <w:rFonts w:asciiTheme="majorHAnsi" w:hAnsiTheme="majorHAnsi" w:cstheme="majorHAnsi"/>
                <w:i/>
              </w:rPr>
              <w:t xml:space="preserve">angl. </w:t>
            </w:r>
            <w:proofErr w:type="spellStart"/>
            <w:r w:rsidRPr="0055693F">
              <w:rPr>
                <w:rFonts w:asciiTheme="majorHAnsi" w:hAnsiTheme="majorHAnsi" w:cstheme="majorHAnsi"/>
                <w:i/>
              </w:rPr>
              <w:t>Full</w:t>
            </w:r>
            <w:proofErr w:type="spellEnd"/>
            <w:r w:rsidRPr="0055693F">
              <w:rPr>
                <w:rFonts w:asciiTheme="majorHAnsi" w:hAnsiTheme="majorHAnsi" w:cstheme="majorHAnsi"/>
                <w:i/>
              </w:rPr>
              <w:t xml:space="preserve"> File System)</w:t>
            </w:r>
            <w:r w:rsidRPr="0055693F">
              <w:rPr>
                <w:rFonts w:asciiTheme="majorHAnsi" w:hAnsiTheme="majorHAnsi" w:cstheme="majorHAnsi"/>
              </w:rPr>
              <w:t xml:space="preserve"> lygiu.</w:t>
            </w:r>
          </w:p>
        </w:tc>
      </w:tr>
      <w:tr w:rsidR="0055693F" w:rsidRPr="0055693F" w:rsidTr="00385C99">
        <w:tc>
          <w:tcPr>
            <w:tcW w:w="709" w:type="dxa"/>
            <w:vMerge w:val="restart"/>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r w:rsidRPr="0055693F">
              <w:rPr>
                <w:rFonts w:asciiTheme="majorHAnsi" w:hAnsiTheme="majorHAnsi" w:cstheme="majorHAnsi"/>
                <w:lang w:val="lt-LT"/>
              </w:rPr>
              <w:t>6.</w:t>
            </w:r>
          </w:p>
        </w:tc>
        <w:tc>
          <w:tcPr>
            <w:tcW w:w="3402" w:type="dxa"/>
            <w:vMerge w:val="restart"/>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r w:rsidRPr="0055693F">
              <w:rPr>
                <w:rFonts w:asciiTheme="majorHAnsi" w:hAnsiTheme="majorHAnsi" w:cstheme="majorHAnsi"/>
                <w:lang w:val="lt-LT"/>
              </w:rPr>
              <w:t>Duomenų analizės reikalavimai</w:t>
            </w: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6.1. Programinė įranga turi gebėti analizuoti tiek loginiu, tiek fiziniu būdu nuskaitytus duomenis;</w:t>
            </w:r>
          </w:p>
        </w:tc>
      </w:tr>
      <w:tr w:rsidR="0055693F" w:rsidRPr="0055693F" w:rsidTr="00385C99">
        <w:tc>
          <w:tcPr>
            <w:tcW w:w="709"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p>
        </w:tc>
        <w:tc>
          <w:tcPr>
            <w:tcW w:w="3402"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6.2. Turi būti įdiegtas raktinių žodžių paieškos mechanizmas, leidžiantis ieškoti aktualių duomenų visoje nuskaitytoje informacijoje, įskaitant žinutes, el. laiškus, socialinių tinklų turinį, metaduomenis ir programėlių duomenis;</w:t>
            </w:r>
          </w:p>
        </w:tc>
      </w:tr>
      <w:tr w:rsidR="0055693F" w:rsidRPr="0055693F" w:rsidTr="00385C99">
        <w:tc>
          <w:tcPr>
            <w:tcW w:w="709"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p>
        </w:tc>
        <w:tc>
          <w:tcPr>
            <w:tcW w:w="3402"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6.3. Turi būti galimybė rūšiuoti nuskaitytą informaciją pagal datą, siuntėją, turinio tipą, programėlę, vietovę;</w:t>
            </w:r>
          </w:p>
        </w:tc>
      </w:tr>
      <w:tr w:rsidR="0055693F" w:rsidRPr="0055693F" w:rsidTr="00385C99">
        <w:tc>
          <w:tcPr>
            <w:tcW w:w="709"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p>
        </w:tc>
        <w:tc>
          <w:tcPr>
            <w:tcW w:w="3402"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6.4. Turi būti integruotas vaizdo medžiagos rūšiavimo modulis, leidžiantis suskirstyti saugomus atvaizdus ir vaizdo įrašus pagal kategorijas (pvz., dokumentai, kreditinės kortelės, sąskaitos faktūros, ekranvaizdžiai).</w:t>
            </w:r>
          </w:p>
        </w:tc>
      </w:tr>
      <w:tr w:rsidR="0055693F" w:rsidRPr="0055693F" w:rsidTr="00385C99">
        <w:tc>
          <w:tcPr>
            <w:tcW w:w="709"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p>
        </w:tc>
        <w:tc>
          <w:tcPr>
            <w:tcW w:w="3402"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 xml:space="preserve">6.5. Turi būti galimybė atlikti </w:t>
            </w:r>
            <w:proofErr w:type="spellStart"/>
            <w:r w:rsidRPr="0055693F">
              <w:rPr>
                <w:rFonts w:asciiTheme="majorHAnsi" w:hAnsiTheme="majorHAnsi" w:cstheme="majorHAnsi"/>
                <w:lang w:val="lt-LT"/>
              </w:rPr>
              <w:t>geolokacijos</w:t>
            </w:r>
            <w:proofErr w:type="spellEnd"/>
            <w:r w:rsidRPr="0055693F">
              <w:rPr>
                <w:rFonts w:asciiTheme="majorHAnsi" w:hAnsiTheme="majorHAnsi" w:cstheme="majorHAnsi"/>
                <w:lang w:val="lt-LT"/>
              </w:rPr>
              <w:t xml:space="preserve"> analizę – mobiliojo įrenginio naudotojo veikla ir įvykiai turi būti atvaizduojami žemėlapyje pagal GPS koordinates, rodomos judėjimo trajektorijos.</w:t>
            </w:r>
          </w:p>
        </w:tc>
      </w:tr>
      <w:tr w:rsidR="0055693F" w:rsidRPr="0055693F" w:rsidTr="00385C99">
        <w:tc>
          <w:tcPr>
            <w:tcW w:w="709"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p>
        </w:tc>
        <w:tc>
          <w:tcPr>
            <w:tcW w:w="3402"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6.6. Pokalbių ir susirašinėjimų turinys turi būti pateikiamas dialogo forma, aiškiai išskiriant siuntėją ir gavėją, išlaikant visą bendravimo kontekstą pagal laikotarpius.</w:t>
            </w:r>
          </w:p>
        </w:tc>
      </w:tr>
      <w:tr w:rsidR="0055693F" w:rsidRPr="0055693F" w:rsidTr="00385C99">
        <w:tc>
          <w:tcPr>
            <w:tcW w:w="709" w:type="dxa"/>
            <w:vMerge w:val="restart"/>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center"/>
              <w:rPr>
                <w:rFonts w:asciiTheme="majorHAnsi" w:hAnsiTheme="majorHAnsi" w:cstheme="majorHAnsi"/>
                <w:lang w:val="lt-LT"/>
              </w:rPr>
            </w:pPr>
            <w:r w:rsidRPr="0055693F">
              <w:rPr>
                <w:rFonts w:asciiTheme="majorHAnsi" w:hAnsiTheme="majorHAnsi" w:cstheme="majorHAnsi"/>
                <w:lang w:val="lt-LT"/>
              </w:rPr>
              <w:t>7.</w:t>
            </w:r>
          </w:p>
        </w:tc>
        <w:tc>
          <w:tcPr>
            <w:tcW w:w="3402" w:type="dxa"/>
            <w:vMerge w:val="restart"/>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jc w:val="left"/>
              <w:rPr>
                <w:rFonts w:asciiTheme="majorHAnsi" w:hAnsiTheme="majorHAnsi" w:cstheme="majorHAnsi"/>
                <w:lang w:val="lt-LT"/>
              </w:rPr>
            </w:pPr>
            <w:r w:rsidRPr="0055693F">
              <w:rPr>
                <w:rFonts w:asciiTheme="majorHAnsi" w:hAnsiTheme="majorHAnsi" w:cstheme="majorHAnsi"/>
                <w:lang w:val="lt-LT"/>
              </w:rPr>
              <w:t>Programinės įrangos palaikymas</w:t>
            </w: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7.1. Licencijos galiojimo laikotarpiu be papildomo mokesčio turi būti teikiami programinės įrangos atnaujinimai.</w:t>
            </w:r>
          </w:p>
        </w:tc>
      </w:tr>
      <w:tr w:rsidR="0055693F" w:rsidRPr="0055693F" w:rsidTr="00385C99">
        <w:tc>
          <w:tcPr>
            <w:tcW w:w="709"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p>
        </w:tc>
        <w:tc>
          <w:tcPr>
            <w:tcW w:w="3402" w:type="dxa"/>
            <w:vMerge/>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p>
        </w:tc>
        <w:tc>
          <w:tcPr>
            <w:tcW w:w="5812" w:type="dxa"/>
            <w:shd w:val="clear" w:color="auto" w:fill="FFFFFF" w:themeFill="background1"/>
          </w:tcPr>
          <w:p w:rsidR="0055693F" w:rsidRPr="0055693F" w:rsidRDefault="0055693F" w:rsidP="00385C99">
            <w:pPr>
              <w:pStyle w:val="1NUMarial"/>
              <w:numPr>
                <w:ilvl w:val="0"/>
                <w:numId w:val="0"/>
              </w:numPr>
              <w:tabs>
                <w:tab w:val="left" w:pos="426"/>
              </w:tabs>
              <w:spacing w:line="240" w:lineRule="auto"/>
              <w:contextualSpacing w:val="0"/>
              <w:rPr>
                <w:rFonts w:asciiTheme="majorHAnsi" w:hAnsiTheme="majorHAnsi" w:cstheme="majorHAnsi"/>
                <w:lang w:val="lt-LT"/>
              </w:rPr>
            </w:pPr>
            <w:r w:rsidRPr="0055693F">
              <w:rPr>
                <w:rFonts w:asciiTheme="majorHAnsi" w:hAnsiTheme="majorHAnsi" w:cstheme="majorHAnsi"/>
                <w:lang w:val="lt-LT"/>
              </w:rPr>
              <w:t>7.2. Programinės įrangos atnaujinimas turi būti atliekamas naudojantis internetu.</w:t>
            </w:r>
          </w:p>
        </w:tc>
      </w:tr>
    </w:tbl>
    <w:p w:rsidR="0055693F" w:rsidRPr="0055693F" w:rsidRDefault="0055693F" w:rsidP="0055693F">
      <w:pPr>
        <w:jc w:val="center"/>
        <w:rPr>
          <w:rFonts w:asciiTheme="majorHAnsi" w:hAnsiTheme="majorHAnsi" w:cstheme="majorHAnsi"/>
        </w:rPr>
      </w:pPr>
    </w:p>
    <w:p w:rsidR="00440905" w:rsidRPr="0055693F" w:rsidRDefault="0055693F" w:rsidP="0055693F">
      <w:pPr>
        <w:jc w:val="center"/>
      </w:pPr>
      <w:r w:rsidRPr="0055693F">
        <w:rPr>
          <w:rFonts w:asciiTheme="majorHAnsi" w:hAnsiTheme="majorHAnsi" w:cstheme="majorHAnsi"/>
        </w:rPr>
        <w:t>_______________</w:t>
      </w:r>
    </w:p>
    <w:sectPr w:rsidR="00440905" w:rsidRPr="0055693F" w:rsidSect="00372987">
      <w:headerReference w:type="default" r:id="rId7"/>
      <w:foot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DA4" w:rsidRDefault="00EF4DA4" w:rsidP="0055693F">
      <w:pPr>
        <w:spacing w:line="240" w:lineRule="auto"/>
      </w:pPr>
      <w:r>
        <w:separator/>
      </w:r>
    </w:p>
  </w:endnote>
  <w:endnote w:type="continuationSeparator" w:id="0">
    <w:p w:rsidR="00EF4DA4" w:rsidRDefault="00EF4DA4" w:rsidP="00556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antramanav">
    <w:altName w:val="Times New Roman"/>
    <w:charset w:val="00"/>
    <w:family w:val="auto"/>
    <w:pitch w:val="variable"/>
    <w:sig w:usb0="8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93F" w:rsidRDefault="0055693F">
    <w:pPr>
      <w:pStyle w:val="Footer"/>
      <w:jc w:val="right"/>
    </w:pPr>
  </w:p>
  <w:p w:rsidR="0055693F" w:rsidRDefault="00556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DA4" w:rsidRDefault="00EF4DA4" w:rsidP="0055693F">
      <w:pPr>
        <w:spacing w:line="240" w:lineRule="auto"/>
      </w:pPr>
      <w:r>
        <w:separator/>
      </w:r>
    </w:p>
  </w:footnote>
  <w:footnote w:type="continuationSeparator" w:id="0">
    <w:p w:rsidR="00EF4DA4" w:rsidRDefault="00EF4DA4" w:rsidP="005569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539287"/>
      <w:docPartObj>
        <w:docPartGallery w:val="Page Numbers (Top of Page)"/>
        <w:docPartUnique/>
      </w:docPartObj>
    </w:sdtPr>
    <w:sdtEndPr>
      <w:rPr>
        <w:rFonts w:asciiTheme="majorHAnsi" w:hAnsiTheme="majorHAnsi" w:cstheme="majorHAnsi"/>
        <w:noProof/>
      </w:rPr>
    </w:sdtEndPr>
    <w:sdtContent>
      <w:p w:rsidR="00372987" w:rsidRPr="00372987" w:rsidRDefault="00372987">
        <w:pPr>
          <w:pStyle w:val="Header"/>
          <w:jc w:val="center"/>
          <w:rPr>
            <w:rFonts w:asciiTheme="majorHAnsi" w:hAnsiTheme="majorHAnsi" w:cstheme="majorHAnsi"/>
          </w:rPr>
        </w:pPr>
        <w:r w:rsidRPr="00372987">
          <w:rPr>
            <w:rFonts w:asciiTheme="majorHAnsi" w:hAnsiTheme="majorHAnsi" w:cstheme="majorHAnsi"/>
          </w:rPr>
          <w:fldChar w:fldCharType="begin"/>
        </w:r>
        <w:r w:rsidRPr="00372987">
          <w:rPr>
            <w:rFonts w:asciiTheme="majorHAnsi" w:hAnsiTheme="majorHAnsi" w:cstheme="majorHAnsi"/>
          </w:rPr>
          <w:instrText xml:space="preserve"> PAGE   \* MERGEFORMAT </w:instrText>
        </w:r>
        <w:r w:rsidRPr="00372987">
          <w:rPr>
            <w:rFonts w:asciiTheme="majorHAnsi" w:hAnsiTheme="majorHAnsi" w:cstheme="majorHAnsi"/>
          </w:rPr>
          <w:fldChar w:fldCharType="separate"/>
        </w:r>
        <w:r w:rsidRPr="00372987">
          <w:rPr>
            <w:rFonts w:asciiTheme="majorHAnsi" w:hAnsiTheme="majorHAnsi" w:cstheme="majorHAnsi"/>
            <w:noProof/>
          </w:rPr>
          <w:t>2</w:t>
        </w:r>
        <w:r w:rsidRPr="00372987">
          <w:rPr>
            <w:rFonts w:asciiTheme="majorHAnsi" w:hAnsiTheme="majorHAnsi" w:cstheme="majorHAnsi"/>
            <w:noProof/>
          </w:rPr>
          <w:fldChar w:fldCharType="end"/>
        </w:r>
      </w:p>
    </w:sdtContent>
  </w:sdt>
  <w:p w:rsidR="00372987" w:rsidRDefault="00372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173F2"/>
    <w:multiLevelType w:val="multilevel"/>
    <w:tmpl w:val="9C109042"/>
    <w:lvl w:ilvl="0">
      <w:start w:val="1"/>
      <w:numFmt w:val="upperRoman"/>
      <w:lvlText w:val="%1."/>
      <w:lvlJc w:val="left"/>
      <w:pPr>
        <w:ind w:left="1080" w:hanging="720"/>
      </w:pPr>
      <w:rPr>
        <w:b/>
      </w:rPr>
    </w:lvl>
    <w:lvl w:ilvl="1">
      <w:start w:val="1"/>
      <w:numFmt w:val="decimal"/>
      <w:isLgl/>
      <w:lvlText w:val="%2."/>
      <w:lvlJc w:val="left"/>
      <w:pPr>
        <w:ind w:left="942" w:hanging="375"/>
      </w:pPr>
      <w:rPr>
        <w:rFonts w:ascii="Calibri Light" w:eastAsia="Calibri" w:hAnsi="Calibri Light" w:cs="Calibri Light" w:hint="default"/>
        <w:b w:val="0"/>
      </w:rPr>
    </w:lvl>
    <w:lvl w:ilvl="2">
      <w:start w:val="1"/>
      <w:numFmt w:val="decimal"/>
      <w:isLgl/>
      <w:lvlText w:val="%1.%2.%3."/>
      <w:lvlJc w:val="left"/>
      <w:pPr>
        <w:ind w:left="1494" w:hanging="720"/>
      </w:pPr>
      <w:rPr>
        <w:b/>
      </w:rPr>
    </w:lvl>
    <w:lvl w:ilvl="3">
      <w:start w:val="1"/>
      <w:numFmt w:val="decimal"/>
      <w:isLgl/>
      <w:lvlText w:val="%1.%2.%3.%4."/>
      <w:lvlJc w:val="left"/>
      <w:pPr>
        <w:ind w:left="1701" w:hanging="720"/>
      </w:pPr>
      <w:rPr>
        <w:b/>
      </w:rPr>
    </w:lvl>
    <w:lvl w:ilvl="4">
      <w:start w:val="1"/>
      <w:numFmt w:val="decimal"/>
      <w:isLgl/>
      <w:lvlText w:val="%1.%2.%3.%4.%5."/>
      <w:lvlJc w:val="left"/>
      <w:pPr>
        <w:ind w:left="2268" w:hanging="1080"/>
      </w:pPr>
      <w:rPr>
        <w:b/>
      </w:rPr>
    </w:lvl>
    <w:lvl w:ilvl="5">
      <w:start w:val="1"/>
      <w:numFmt w:val="decimal"/>
      <w:isLgl/>
      <w:lvlText w:val="%1.%2.%3.%4.%5.%6."/>
      <w:lvlJc w:val="left"/>
      <w:pPr>
        <w:ind w:left="2475" w:hanging="1080"/>
      </w:pPr>
      <w:rPr>
        <w:b/>
      </w:rPr>
    </w:lvl>
    <w:lvl w:ilvl="6">
      <w:start w:val="1"/>
      <w:numFmt w:val="decimal"/>
      <w:isLgl/>
      <w:lvlText w:val="%1.%2.%3.%4.%5.%6.%7."/>
      <w:lvlJc w:val="left"/>
      <w:pPr>
        <w:ind w:left="3042" w:hanging="1440"/>
      </w:pPr>
      <w:rPr>
        <w:b/>
      </w:rPr>
    </w:lvl>
    <w:lvl w:ilvl="7">
      <w:start w:val="1"/>
      <w:numFmt w:val="decimal"/>
      <w:isLgl/>
      <w:lvlText w:val="%1.%2.%3.%4.%5.%6.%7.%8."/>
      <w:lvlJc w:val="left"/>
      <w:pPr>
        <w:ind w:left="3249" w:hanging="1440"/>
      </w:pPr>
      <w:rPr>
        <w:b/>
      </w:rPr>
    </w:lvl>
    <w:lvl w:ilvl="8">
      <w:start w:val="1"/>
      <w:numFmt w:val="decimal"/>
      <w:isLgl/>
      <w:lvlText w:val="%1.%2.%3.%4.%5.%6.%7.%8.%9."/>
      <w:lvlJc w:val="left"/>
      <w:pPr>
        <w:ind w:left="3816" w:hanging="1800"/>
      </w:pPr>
      <w:rPr>
        <w:b/>
      </w:rPr>
    </w:lvl>
  </w:abstractNum>
  <w:abstractNum w:abstractNumId="1" w15:restartNumberingAfterBreak="0">
    <w:nsid w:val="3CB23775"/>
    <w:multiLevelType w:val="multilevel"/>
    <w:tmpl w:val="159A2C06"/>
    <w:lvl w:ilvl="0">
      <w:start w:val="1"/>
      <w:numFmt w:val="decimal"/>
      <w:pStyle w:val="1NUMarial"/>
      <w:suff w:val="space"/>
      <w:lvlText w:val="%1."/>
      <w:lvlJc w:val="left"/>
      <w:pPr>
        <w:ind w:left="568" w:firstLine="0"/>
      </w:pPr>
      <w:rPr>
        <w:color w:val="auto"/>
      </w:rPr>
    </w:lvl>
    <w:lvl w:ilvl="1">
      <w:start w:val="1"/>
      <w:numFmt w:val="decimal"/>
      <w:suff w:val="space"/>
      <w:lvlText w:val="%1.%2."/>
      <w:lvlJc w:val="left"/>
      <w:pPr>
        <w:ind w:left="0" w:firstLine="0"/>
      </w:pPr>
    </w:lvl>
    <w:lvl w:ilvl="2">
      <w:start w:val="1"/>
      <w:numFmt w:val="decimal"/>
      <w:lvlText w:val="%1.%2.%3."/>
      <w:lvlJc w:val="left"/>
      <w:pPr>
        <w:ind w:left="992" w:hanging="272"/>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3F"/>
    <w:rsid w:val="001B6414"/>
    <w:rsid w:val="00372987"/>
    <w:rsid w:val="00420C2A"/>
    <w:rsid w:val="00440905"/>
    <w:rsid w:val="0055693F"/>
    <w:rsid w:val="005A3ADF"/>
    <w:rsid w:val="00BA102D"/>
    <w:rsid w:val="00EF4DA4"/>
    <w:rsid w:val="00FE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B4D1"/>
  <w15:chartTrackingRefBased/>
  <w15:docId w15:val="{ED9479C6-6554-4538-9743-995E6F22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93F"/>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93F"/>
    <w:pPr>
      <w:spacing w:after="0" w:line="240" w:lineRule="auto"/>
      <w:ind w:firstLine="697"/>
      <w:jc w:val="both"/>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5693F"/>
    <w:pPr>
      <w:tabs>
        <w:tab w:val="center" w:pos="4513"/>
        <w:tab w:val="right" w:pos="9026"/>
      </w:tabs>
    </w:pPr>
  </w:style>
  <w:style w:type="character" w:customStyle="1" w:styleId="HeaderChar">
    <w:name w:val="Header Char"/>
    <w:basedOn w:val="DefaultParagraphFont"/>
    <w:link w:val="Header"/>
    <w:uiPriority w:val="99"/>
    <w:rsid w:val="0055693F"/>
    <w:rPr>
      <w:rFonts w:eastAsiaTheme="minorEastAsia"/>
      <w:sz w:val="21"/>
      <w:szCs w:val="21"/>
      <w:lang w:val="lt-LT" w:eastAsia="lt-LT"/>
    </w:rPr>
  </w:style>
  <w:style w:type="character" w:customStyle="1" w:styleId="1NUMarialChar">
    <w:name w:val="1NUM_arial Char"/>
    <w:basedOn w:val="DefaultParagraphFont"/>
    <w:link w:val="1NUMarial"/>
    <w:locked/>
    <w:rsid w:val="0055693F"/>
    <w:rPr>
      <w:rFonts w:ascii="Yantramanav" w:eastAsia="Calibri" w:hAnsi="Yantramanav" w:cs="Yantramanav"/>
    </w:rPr>
  </w:style>
  <w:style w:type="paragraph" w:customStyle="1" w:styleId="1NUMarial">
    <w:name w:val="1NUM_arial"/>
    <w:basedOn w:val="Normal"/>
    <w:link w:val="1NUMarialChar"/>
    <w:qFormat/>
    <w:rsid w:val="0055693F"/>
    <w:pPr>
      <w:numPr>
        <w:numId w:val="1"/>
      </w:numPr>
      <w:spacing w:before="60" w:after="60" w:line="276" w:lineRule="auto"/>
      <w:contextualSpacing/>
    </w:pPr>
    <w:rPr>
      <w:rFonts w:ascii="Yantramanav" w:eastAsia="Calibri" w:hAnsi="Yantramanav" w:cs="Yantramanav"/>
      <w:sz w:val="22"/>
      <w:szCs w:val="22"/>
      <w:lang w:val="en-US" w:eastAsia="en-US"/>
    </w:rPr>
  </w:style>
  <w:style w:type="paragraph" w:styleId="Footer">
    <w:name w:val="footer"/>
    <w:basedOn w:val="Normal"/>
    <w:link w:val="FooterChar"/>
    <w:uiPriority w:val="99"/>
    <w:unhideWhenUsed/>
    <w:rsid w:val="0055693F"/>
    <w:pPr>
      <w:tabs>
        <w:tab w:val="center" w:pos="4680"/>
        <w:tab w:val="right" w:pos="9360"/>
      </w:tabs>
      <w:spacing w:line="240" w:lineRule="auto"/>
    </w:pPr>
  </w:style>
  <w:style w:type="character" w:customStyle="1" w:styleId="FooterChar">
    <w:name w:val="Footer Char"/>
    <w:basedOn w:val="DefaultParagraphFont"/>
    <w:link w:val="Footer"/>
    <w:uiPriority w:val="99"/>
    <w:rsid w:val="0055693F"/>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FNTT prie LR VRM</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Sipavičienė</dc:creator>
  <cp:keywords/>
  <dc:description/>
  <cp:lastModifiedBy>Rūta  Sipavičienė</cp:lastModifiedBy>
  <cp:revision>2</cp:revision>
  <dcterms:created xsi:type="dcterms:W3CDTF">2025-07-03T07:43:00Z</dcterms:created>
  <dcterms:modified xsi:type="dcterms:W3CDTF">2025-07-03T07:43:00Z</dcterms:modified>
</cp:coreProperties>
</file>