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7EEF" w:rsidRDefault="00A07EEF" w:rsidP="00A07EEF">
      <w:pPr>
        <w:jc w:val="center"/>
        <w:rPr>
          <w:b/>
          <w:sz w:val="24"/>
        </w:rPr>
      </w:pPr>
      <w:r w:rsidRPr="00C50730">
        <w:rPr>
          <w:b/>
          <w:sz w:val="24"/>
        </w:rPr>
        <w:t xml:space="preserve">INFRASTRUKTŪROS </w:t>
      </w:r>
      <w:r>
        <w:rPr>
          <w:b/>
          <w:sz w:val="24"/>
        </w:rPr>
        <w:t>VALDYMO AGENTŪRA</w:t>
      </w:r>
    </w:p>
    <w:p w:rsidR="00684B15" w:rsidRPr="00684B15" w:rsidRDefault="00684B15" w:rsidP="00684B15">
      <w:pPr>
        <w:jc w:val="center"/>
        <w:rPr>
          <w:b/>
          <w:sz w:val="24"/>
        </w:rPr>
      </w:pPr>
    </w:p>
    <w:p w:rsidR="00475F3B" w:rsidRDefault="00A105B3" w:rsidP="00A105B3">
      <w:pPr>
        <w:pStyle w:val="FreeForm"/>
        <w:spacing w:line="300" w:lineRule="atLeast"/>
        <w:jc w:val="center"/>
        <w:rPr>
          <w:rFonts w:ascii="Times New Roman" w:hAnsi="Times New Roman" w:cs="Times New Roman"/>
          <w:b/>
          <w:color w:val="000000"/>
          <w:sz w:val="24"/>
          <w:szCs w:val="24"/>
          <w:lang w:val="lt-LT"/>
        </w:rPr>
      </w:pPr>
      <w:r w:rsidRPr="0039456C">
        <w:rPr>
          <w:rFonts w:ascii="Times New Roman" w:hAnsi="Times New Roman" w:cs="Times New Roman"/>
          <w:b/>
          <w:color w:val="000000"/>
          <w:sz w:val="24"/>
          <w:szCs w:val="24"/>
          <w:lang w:val="lt-LT"/>
        </w:rPr>
        <w:t>VIEŠOJO PIRKIMO „INFRASTRUKTŪROS ĮRENGIMO STATINIŲ STATYBOS TECHNINĖS PRIEŽIŪROS PASLAUGŲ KRAŠTO APSAUGOS SISTEMOS OBJEKTUOSE“ KOMISIJA</w:t>
      </w:r>
    </w:p>
    <w:p w:rsidR="00A105B3" w:rsidRPr="00A105B3" w:rsidRDefault="00A105B3" w:rsidP="00A105B3">
      <w:pPr>
        <w:pStyle w:val="FreeForm"/>
        <w:spacing w:line="300" w:lineRule="atLeast"/>
        <w:jc w:val="center"/>
        <w:rPr>
          <w:rFonts w:ascii="Times New Roman" w:hAnsi="Times New Roman" w:cs="Times New Roman"/>
          <w:b/>
          <w:color w:val="000000"/>
          <w:sz w:val="24"/>
          <w:szCs w:val="24"/>
          <w:lang w:val="lt-LT"/>
        </w:rPr>
      </w:pPr>
    </w:p>
    <w:p w:rsidR="00475F3B" w:rsidRPr="00684B15" w:rsidRDefault="00475F3B" w:rsidP="00475F3B">
      <w:pPr>
        <w:jc w:val="center"/>
        <w:rPr>
          <w:b/>
          <w:sz w:val="24"/>
          <w:szCs w:val="24"/>
        </w:rPr>
      </w:pPr>
    </w:p>
    <w:p w:rsidR="00684B15" w:rsidRPr="00684B15" w:rsidRDefault="001254F1" w:rsidP="00684B15">
      <w:pPr>
        <w:jc w:val="both"/>
        <w:rPr>
          <w:sz w:val="24"/>
        </w:rPr>
      </w:pPr>
      <w:r>
        <w:rPr>
          <w:sz w:val="24"/>
        </w:rPr>
        <w:t>Konkurso dalyviams</w:t>
      </w:r>
      <w:r w:rsidR="00684B15" w:rsidRPr="00684B15">
        <w:rPr>
          <w:sz w:val="24"/>
        </w:rPr>
        <w:t xml:space="preserve">            </w:t>
      </w:r>
      <w:r w:rsidR="00A07EEF">
        <w:rPr>
          <w:sz w:val="24"/>
        </w:rPr>
        <w:tab/>
      </w:r>
      <w:r w:rsidR="00A07EEF">
        <w:rPr>
          <w:sz w:val="24"/>
        </w:rPr>
        <w:tab/>
      </w:r>
      <w:r w:rsidR="002A3CDE">
        <w:rPr>
          <w:sz w:val="24"/>
        </w:rPr>
        <w:t xml:space="preserve">   </w:t>
      </w:r>
      <w:r w:rsidR="00D034B1">
        <w:rPr>
          <w:sz w:val="24"/>
        </w:rPr>
        <w:t xml:space="preserve">             </w:t>
      </w:r>
      <w:r w:rsidR="00C27A0E">
        <w:rPr>
          <w:sz w:val="24"/>
        </w:rPr>
        <w:tab/>
      </w:r>
      <w:r w:rsidR="00C27A0E">
        <w:rPr>
          <w:sz w:val="24"/>
        </w:rPr>
        <w:tab/>
      </w:r>
      <w:r w:rsidR="00C27A0E">
        <w:rPr>
          <w:sz w:val="24"/>
        </w:rPr>
        <w:tab/>
      </w:r>
      <w:r w:rsidR="00C27A0E">
        <w:rPr>
          <w:sz w:val="24"/>
        </w:rPr>
        <w:tab/>
      </w:r>
      <w:r w:rsidR="00A105B3">
        <w:rPr>
          <w:sz w:val="24"/>
        </w:rPr>
        <w:t xml:space="preserve">         2025-07-03</w:t>
      </w:r>
    </w:p>
    <w:p w:rsidR="007A5214" w:rsidRPr="0091624C" w:rsidRDefault="007A5214" w:rsidP="007A5214">
      <w:pPr>
        <w:pStyle w:val="Lygis1"/>
      </w:pPr>
    </w:p>
    <w:p w:rsidR="007D3A5C" w:rsidRDefault="007D3A5C" w:rsidP="007A5214">
      <w:pPr>
        <w:pStyle w:val="Lygis1"/>
      </w:pPr>
    </w:p>
    <w:p w:rsidR="007A5214" w:rsidRDefault="00791BE6" w:rsidP="007A5214">
      <w:pPr>
        <w:pStyle w:val="Header"/>
        <w:tabs>
          <w:tab w:val="clear" w:pos="4153"/>
          <w:tab w:val="clear" w:pos="8306"/>
        </w:tabs>
        <w:jc w:val="both"/>
        <w:rPr>
          <w:rFonts w:ascii="Times New Roman" w:hAnsi="Times New Roman"/>
          <w:b/>
          <w:szCs w:val="24"/>
          <w:lang w:val="lt-LT"/>
        </w:rPr>
      </w:pPr>
      <w:r w:rsidRPr="002B1F42">
        <w:rPr>
          <w:rFonts w:ascii="Times New Roman" w:hAnsi="Times New Roman"/>
          <w:b/>
          <w:szCs w:val="24"/>
          <w:lang w:val="lt-LT"/>
        </w:rPr>
        <w:t xml:space="preserve">DĖL </w:t>
      </w:r>
      <w:r w:rsidR="004C6BF3">
        <w:rPr>
          <w:rFonts w:ascii="Times New Roman" w:hAnsi="Times New Roman"/>
          <w:b/>
          <w:szCs w:val="24"/>
          <w:lang w:val="lt-LT"/>
        </w:rPr>
        <w:t xml:space="preserve">PIRKIMO </w:t>
      </w:r>
      <w:r w:rsidR="006A5FCB">
        <w:rPr>
          <w:rFonts w:ascii="Times New Roman" w:hAnsi="Times New Roman"/>
          <w:b/>
          <w:szCs w:val="24"/>
          <w:lang w:val="lt-LT"/>
        </w:rPr>
        <w:t>DOKUMENTŲ PA</w:t>
      </w:r>
      <w:r w:rsidR="00F45D27">
        <w:rPr>
          <w:rFonts w:ascii="Times New Roman" w:hAnsi="Times New Roman"/>
          <w:b/>
          <w:szCs w:val="24"/>
          <w:lang w:val="lt-LT"/>
        </w:rPr>
        <w:t>AIŠKINIMO</w:t>
      </w:r>
    </w:p>
    <w:p w:rsidR="00F45D27" w:rsidRPr="00175B42" w:rsidRDefault="00F45D27" w:rsidP="007A5214">
      <w:pPr>
        <w:pStyle w:val="Header"/>
        <w:tabs>
          <w:tab w:val="clear" w:pos="4153"/>
          <w:tab w:val="clear" w:pos="8306"/>
        </w:tabs>
        <w:jc w:val="both"/>
        <w:rPr>
          <w:rFonts w:ascii="Times New Roman" w:hAnsi="Times New Roman"/>
          <w:b/>
          <w:szCs w:val="24"/>
          <w:lang w:val="lt-LT"/>
        </w:rPr>
      </w:pPr>
    </w:p>
    <w:p w:rsidR="007A5214" w:rsidRPr="0091624C" w:rsidRDefault="007A5214" w:rsidP="007A5214">
      <w:pPr>
        <w:pStyle w:val="Header"/>
        <w:tabs>
          <w:tab w:val="clear" w:pos="4153"/>
          <w:tab w:val="clear" w:pos="8306"/>
        </w:tabs>
        <w:jc w:val="both"/>
        <w:rPr>
          <w:rFonts w:ascii="Times New Roman" w:hAnsi="Times New Roman"/>
          <w:szCs w:val="24"/>
          <w:lang w:val="lt-LT"/>
        </w:rPr>
      </w:pPr>
    </w:p>
    <w:p w:rsidR="00A105B3" w:rsidRDefault="00A105B3" w:rsidP="00A105B3">
      <w:pPr>
        <w:ind w:firstLine="720"/>
        <w:jc w:val="both"/>
        <w:rPr>
          <w:sz w:val="24"/>
          <w:szCs w:val="24"/>
        </w:rPr>
      </w:pPr>
      <w:r w:rsidRPr="004B5D81">
        <w:rPr>
          <w:sz w:val="24"/>
          <w:szCs w:val="24"/>
        </w:rPr>
        <w:t xml:space="preserve">2025 m. </w:t>
      </w:r>
      <w:r>
        <w:rPr>
          <w:sz w:val="24"/>
          <w:szCs w:val="24"/>
        </w:rPr>
        <w:t>birželio 12</w:t>
      </w:r>
      <w:r w:rsidRPr="004B5D81">
        <w:rPr>
          <w:sz w:val="24"/>
          <w:szCs w:val="24"/>
        </w:rPr>
        <w:t xml:space="preserve"> d. Infrastruktūros valdymo agentūra Centrinėje viešųjų pirkimų informacinėje sistemoje (toliau – CVP IS) paskelbė </w:t>
      </w:r>
      <w:r w:rsidRPr="00BC6364">
        <w:rPr>
          <w:sz w:val="24"/>
          <w:szCs w:val="24"/>
        </w:rPr>
        <w:t>Infrastruktūros įrengimo statinių statybos techninės priežiūros paslaugų Krašto apsaugos sistemos objektuose</w:t>
      </w:r>
      <w:r w:rsidRPr="004B5D81">
        <w:rPr>
          <w:sz w:val="24"/>
          <w:szCs w:val="24"/>
        </w:rPr>
        <w:t xml:space="preserve"> (Nr. </w:t>
      </w:r>
      <w:r>
        <w:rPr>
          <w:sz w:val="24"/>
          <w:szCs w:val="24"/>
        </w:rPr>
        <w:t>3019381 ir 3020917</w:t>
      </w:r>
      <w:r w:rsidRPr="004B5D81">
        <w:rPr>
          <w:sz w:val="24"/>
          <w:szCs w:val="24"/>
        </w:rPr>
        <w:t>) ribotą konkursą</w:t>
      </w:r>
      <w:r>
        <w:rPr>
          <w:sz w:val="24"/>
          <w:szCs w:val="24"/>
        </w:rPr>
        <w:t xml:space="preserve"> dinaminei pirkimo sistemai sukurti (toliau – DPS pirkimas)</w:t>
      </w:r>
      <w:r w:rsidRPr="004B5D81">
        <w:rPr>
          <w:sz w:val="24"/>
          <w:szCs w:val="24"/>
        </w:rPr>
        <w:t xml:space="preserve">, kuris vykdomas CVP IS priemonėmis, pasiekiamomis adresu </w:t>
      </w:r>
      <w:hyperlink r:id="rId11" w:history="1">
        <w:r w:rsidRPr="0028025E">
          <w:rPr>
            <w:rStyle w:val="Hyperlink"/>
            <w:sz w:val="24"/>
            <w:szCs w:val="24"/>
          </w:rPr>
          <w:t>https://viesiejipirkimai.lt/</w:t>
        </w:r>
      </w:hyperlink>
      <w:r w:rsidRPr="004B5D81">
        <w:rPr>
          <w:sz w:val="24"/>
          <w:szCs w:val="24"/>
        </w:rPr>
        <w:t>.</w:t>
      </w:r>
    </w:p>
    <w:p w:rsidR="00793468" w:rsidRPr="008948BA" w:rsidRDefault="00793468" w:rsidP="00793468">
      <w:pPr>
        <w:ind w:firstLine="720"/>
        <w:jc w:val="both"/>
        <w:rPr>
          <w:sz w:val="24"/>
          <w:szCs w:val="24"/>
        </w:rPr>
      </w:pPr>
      <w:r w:rsidRPr="008948BA">
        <w:rPr>
          <w:spacing w:val="4"/>
          <w:sz w:val="24"/>
          <w:szCs w:val="24"/>
        </w:rPr>
        <w:t>Atsižvelgiant į tai</w:t>
      </w:r>
      <w:r>
        <w:rPr>
          <w:spacing w:val="4"/>
          <w:sz w:val="24"/>
          <w:szCs w:val="24"/>
        </w:rPr>
        <w:t>, kad buvo gauti klausimai</w:t>
      </w:r>
      <w:r w:rsidRPr="008948BA">
        <w:rPr>
          <w:spacing w:val="4"/>
          <w:sz w:val="24"/>
          <w:szCs w:val="24"/>
        </w:rPr>
        <w:t xml:space="preserve"> dėl </w:t>
      </w:r>
      <w:r>
        <w:rPr>
          <w:spacing w:val="4"/>
          <w:sz w:val="24"/>
          <w:szCs w:val="24"/>
        </w:rPr>
        <w:t>pirkimo dokumentų paaiškinimo</w:t>
      </w:r>
      <w:r w:rsidRPr="008948BA">
        <w:rPr>
          <w:spacing w:val="4"/>
          <w:sz w:val="24"/>
          <w:szCs w:val="24"/>
        </w:rPr>
        <w:t xml:space="preserve">, </w:t>
      </w:r>
      <w:r>
        <w:rPr>
          <w:spacing w:val="4"/>
          <w:sz w:val="24"/>
          <w:szCs w:val="24"/>
        </w:rPr>
        <w:t>V</w:t>
      </w:r>
      <w:r w:rsidRPr="008948BA">
        <w:rPr>
          <w:spacing w:val="4"/>
          <w:sz w:val="24"/>
          <w:szCs w:val="24"/>
        </w:rPr>
        <w:t>iešojo pirkimo komisija</w:t>
      </w:r>
      <w:r>
        <w:rPr>
          <w:spacing w:val="4"/>
          <w:sz w:val="24"/>
          <w:szCs w:val="24"/>
        </w:rPr>
        <w:t>,</w:t>
      </w:r>
      <w:r w:rsidRPr="008948BA">
        <w:rPr>
          <w:spacing w:val="4"/>
          <w:sz w:val="24"/>
          <w:szCs w:val="24"/>
        </w:rPr>
        <w:t xml:space="preserve"> vadovaudamasi </w:t>
      </w:r>
      <w:r>
        <w:rPr>
          <w:spacing w:val="4"/>
          <w:sz w:val="24"/>
          <w:szCs w:val="24"/>
        </w:rPr>
        <w:t>V</w:t>
      </w:r>
      <w:r w:rsidRPr="008948BA">
        <w:rPr>
          <w:spacing w:val="4"/>
          <w:sz w:val="24"/>
          <w:szCs w:val="24"/>
        </w:rPr>
        <w:t>iešųjų pirkimų</w:t>
      </w:r>
      <w:r>
        <w:rPr>
          <w:spacing w:val="4"/>
          <w:sz w:val="24"/>
          <w:szCs w:val="24"/>
        </w:rPr>
        <w:t xml:space="preserve"> įstatymo</w:t>
      </w:r>
      <w:r w:rsidRPr="008948BA">
        <w:rPr>
          <w:spacing w:val="4"/>
          <w:sz w:val="24"/>
          <w:szCs w:val="24"/>
        </w:rPr>
        <w:t xml:space="preserve"> </w:t>
      </w:r>
      <w:r>
        <w:rPr>
          <w:bCs/>
          <w:sz w:val="24"/>
          <w:szCs w:val="24"/>
        </w:rPr>
        <w:t>36</w:t>
      </w:r>
      <w:r w:rsidRPr="00461CD1">
        <w:rPr>
          <w:bCs/>
          <w:sz w:val="24"/>
          <w:szCs w:val="24"/>
        </w:rPr>
        <w:t xml:space="preserve"> </w:t>
      </w:r>
      <w:r>
        <w:rPr>
          <w:bCs/>
          <w:sz w:val="24"/>
          <w:szCs w:val="24"/>
        </w:rPr>
        <w:t>str. 5 d.</w:t>
      </w:r>
      <w:r w:rsidR="00A33A9D">
        <w:rPr>
          <w:spacing w:val="4"/>
          <w:sz w:val="24"/>
          <w:szCs w:val="24"/>
        </w:rPr>
        <w:t xml:space="preserve"> ir Pirkimo dokumentų 4</w:t>
      </w:r>
      <w:r>
        <w:rPr>
          <w:spacing w:val="4"/>
          <w:sz w:val="24"/>
          <w:szCs w:val="24"/>
        </w:rPr>
        <w:t>.3 p.</w:t>
      </w:r>
      <w:r w:rsidRPr="008948BA">
        <w:rPr>
          <w:spacing w:val="4"/>
          <w:sz w:val="24"/>
          <w:szCs w:val="24"/>
        </w:rPr>
        <w:t xml:space="preserve"> </w:t>
      </w:r>
      <w:r>
        <w:rPr>
          <w:spacing w:val="4"/>
          <w:sz w:val="24"/>
          <w:szCs w:val="24"/>
        </w:rPr>
        <w:t>pa</w:t>
      </w:r>
      <w:r>
        <w:rPr>
          <w:sz w:val="24"/>
          <w:szCs w:val="24"/>
        </w:rPr>
        <w:t>teikia atsakymus</w:t>
      </w:r>
      <w:r w:rsidRPr="008948BA">
        <w:rPr>
          <w:sz w:val="24"/>
          <w:szCs w:val="24"/>
        </w:rPr>
        <w:t xml:space="preserve"> į </w:t>
      </w:r>
      <w:r>
        <w:rPr>
          <w:sz w:val="24"/>
          <w:szCs w:val="24"/>
        </w:rPr>
        <w:t>pateiktus klausimus</w:t>
      </w:r>
      <w:r w:rsidRPr="008948BA">
        <w:rPr>
          <w:sz w:val="24"/>
          <w:szCs w:val="24"/>
        </w:rPr>
        <w:t xml:space="preserve">: </w:t>
      </w:r>
    </w:p>
    <w:tbl>
      <w:tblPr>
        <w:tblStyle w:val="TableGrid"/>
        <w:tblW w:w="0" w:type="auto"/>
        <w:tblLook w:val="04A0" w:firstRow="1" w:lastRow="0" w:firstColumn="1" w:lastColumn="0" w:noHBand="0" w:noVBand="1"/>
      </w:tblPr>
      <w:tblGrid>
        <w:gridCol w:w="690"/>
        <w:gridCol w:w="3794"/>
        <w:gridCol w:w="4861"/>
      </w:tblGrid>
      <w:tr w:rsidR="00A33A9D" w:rsidRPr="00A33A9D" w:rsidTr="00D34C43">
        <w:tc>
          <w:tcPr>
            <w:tcW w:w="704" w:type="dxa"/>
          </w:tcPr>
          <w:p w:rsidR="00A33A9D" w:rsidRPr="00A33A9D" w:rsidRDefault="00A33A9D" w:rsidP="00D34C43">
            <w:pPr>
              <w:ind w:right="40"/>
              <w:jc w:val="both"/>
              <w:rPr>
                <w:sz w:val="22"/>
                <w:szCs w:val="22"/>
              </w:rPr>
            </w:pPr>
            <w:bookmarkStart w:id="0" w:name="_GoBack"/>
            <w:r w:rsidRPr="00A33A9D">
              <w:rPr>
                <w:sz w:val="22"/>
                <w:szCs w:val="22"/>
              </w:rPr>
              <w:t xml:space="preserve">Eil. Nr. </w:t>
            </w:r>
          </w:p>
        </w:tc>
        <w:tc>
          <w:tcPr>
            <w:tcW w:w="3969" w:type="dxa"/>
          </w:tcPr>
          <w:p w:rsidR="00A33A9D" w:rsidRPr="00A33A9D" w:rsidRDefault="00A33A9D" w:rsidP="00D34C43">
            <w:pPr>
              <w:jc w:val="both"/>
              <w:rPr>
                <w:sz w:val="22"/>
                <w:szCs w:val="22"/>
              </w:rPr>
            </w:pPr>
            <w:r w:rsidRPr="00A33A9D">
              <w:rPr>
                <w:i/>
                <w:sz w:val="22"/>
                <w:szCs w:val="22"/>
                <w:u w:val="single"/>
              </w:rPr>
              <w:t>Klausimas (kalba netaisyta)</w:t>
            </w:r>
            <w:r w:rsidRPr="00A33A9D">
              <w:rPr>
                <w:sz w:val="22"/>
                <w:szCs w:val="22"/>
                <w:u w:val="single"/>
              </w:rPr>
              <w:t>:</w:t>
            </w:r>
            <w:r w:rsidRPr="00A33A9D">
              <w:rPr>
                <w:sz w:val="22"/>
                <w:szCs w:val="22"/>
              </w:rPr>
              <w:t xml:space="preserve"> </w:t>
            </w:r>
          </w:p>
          <w:p w:rsidR="00A33A9D" w:rsidRPr="00A33A9D" w:rsidRDefault="00A33A9D" w:rsidP="00D34C43">
            <w:pPr>
              <w:ind w:right="40"/>
              <w:jc w:val="both"/>
              <w:rPr>
                <w:sz w:val="22"/>
                <w:szCs w:val="22"/>
              </w:rPr>
            </w:pPr>
          </w:p>
        </w:tc>
        <w:tc>
          <w:tcPr>
            <w:tcW w:w="5239" w:type="dxa"/>
          </w:tcPr>
          <w:p w:rsidR="00A33A9D" w:rsidRPr="00A33A9D" w:rsidRDefault="00A33A9D" w:rsidP="00D34C43">
            <w:pPr>
              <w:ind w:right="40"/>
              <w:jc w:val="both"/>
              <w:rPr>
                <w:sz w:val="22"/>
                <w:szCs w:val="22"/>
              </w:rPr>
            </w:pPr>
            <w:r w:rsidRPr="00A33A9D">
              <w:rPr>
                <w:sz w:val="22"/>
                <w:szCs w:val="22"/>
              </w:rPr>
              <w:t>Atsakymai</w:t>
            </w:r>
          </w:p>
        </w:tc>
      </w:tr>
      <w:tr w:rsidR="00A33A9D" w:rsidRPr="00A33A9D" w:rsidTr="00D34C43">
        <w:tc>
          <w:tcPr>
            <w:tcW w:w="9912" w:type="dxa"/>
            <w:gridSpan w:val="3"/>
          </w:tcPr>
          <w:p w:rsidR="00A33A9D" w:rsidRPr="00A33A9D" w:rsidRDefault="00A33A9D" w:rsidP="00D34C43">
            <w:pPr>
              <w:ind w:right="40"/>
              <w:jc w:val="both"/>
              <w:rPr>
                <w:sz w:val="22"/>
                <w:szCs w:val="22"/>
              </w:rPr>
            </w:pPr>
            <w:r w:rsidRPr="00A33A9D">
              <w:rPr>
                <w:sz w:val="22"/>
                <w:szCs w:val="22"/>
              </w:rPr>
              <w:t>Iš pirkimo dokumentų nuostatų</w:t>
            </w:r>
          </w:p>
        </w:tc>
      </w:tr>
      <w:tr w:rsidR="00A33A9D" w:rsidRPr="00A33A9D" w:rsidTr="00D34C43">
        <w:tc>
          <w:tcPr>
            <w:tcW w:w="704" w:type="dxa"/>
          </w:tcPr>
          <w:p w:rsidR="00A33A9D" w:rsidRPr="00A33A9D" w:rsidRDefault="00A33A9D" w:rsidP="00D34C43">
            <w:pPr>
              <w:ind w:right="40"/>
              <w:jc w:val="both"/>
              <w:rPr>
                <w:sz w:val="22"/>
                <w:szCs w:val="22"/>
              </w:rPr>
            </w:pPr>
            <w:r w:rsidRPr="00A33A9D">
              <w:rPr>
                <w:sz w:val="22"/>
                <w:szCs w:val="22"/>
              </w:rPr>
              <w:t>1.</w:t>
            </w:r>
          </w:p>
        </w:tc>
        <w:tc>
          <w:tcPr>
            <w:tcW w:w="3969" w:type="dxa"/>
          </w:tcPr>
          <w:p w:rsidR="00A33A9D" w:rsidRPr="00A33A9D" w:rsidRDefault="00A33A9D" w:rsidP="00D34C43">
            <w:pPr>
              <w:ind w:right="40"/>
              <w:jc w:val="both"/>
              <w:rPr>
                <w:i/>
                <w:sz w:val="22"/>
                <w:szCs w:val="22"/>
              </w:rPr>
            </w:pPr>
            <w:r w:rsidRPr="00A33A9D">
              <w:rPr>
                <w:i/>
                <w:sz w:val="22"/>
                <w:szCs w:val="22"/>
              </w:rPr>
              <w:t>3.7.2.3.</w:t>
            </w:r>
            <w:r w:rsidRPr="00A33A9D">
              <w:rPr>
                <w:i/>
                <w:sz w:val="22"/>
                <w:szCs w:val="22"/>
              </w:rPr>
              <w:tab/>
              <w:t>kontroliuoti statybos leidimo, statinio projekto, statinio projektavimo sąlygų galiojimo terminus, informuoti Užsakovą apie jų pratęsimo (pakeitimo) būtinumą ir, jam pavedus, – tuo rūpintis;</w:t>
            </w:r>
          </w:p>
          <w:p w:rsidR="00A33A9D" w:rsidRPr="00A33A9D" w:rsidRDefault="00A33A9D" w:rsidP="00D34C43">
            <w:pPr>
              <w:ind w:right="40"/>
              <w:jc w:val="both"/>
              <w:rPr>
                <w:i/>
                <w:sz w:val="22"/>
                <w:szCs w:val="22"/>
              </w:rPr>
            </w:pPr>
            <w:r w:rsidRPr="00A33A9D">
              <w:rPr>
                <w:i/>
                <w:sz w:val="22"/>
                <w:szCs w:val="22"/>
              </w:rPr>
              <w:tab/>
            </w:r>
          </w:p>
          <w:p w:rsidR="00A33A9D" w:rsidRPr="00A33A9D" w:rsidRDefault="00A33A9D" w:rsidP="00D34C43">
            <w:pPr>
              <w:ind w:right="40"/>
              <w:jc w:val="both"/>
              <w:rPr>
                <w:i/>
                <w:sz w:val="22"/>
                <w:szCs w:val="22"/>
              </w:rPr>
            </w:pPr>
            <w:r w:rsidRPr="00A33A9D">
              <w:rPr>
                <w:i/>
                <w:sz w:val="22"/>
                <w:szCs w:val="22"/>
              </w:rPr>
              <w:t xml:space="preserve">Nebėra statybos leidimo galiojimo termino. Projektavimo sąlygos ir jų galiojimo neturi prasmės turint statybos leidimą.  </w:t>
            </w:r>
          </w:p>
          <w:p w:rsidR="00A33A9D" w:rsidRPr="00A33A9D" w:rsidRDefault="00A33A9D" w:rsidP="00D34C43">
            <w:pPr>
              <w:ind w:right="40"/>
              <w:jc w:val="both"/>
              <w:rPr>
                <w:sz w:val="22"/>
                <w:szCs w:val="22"/>
              </w:rPr>
            </w:pPr>
            <w:r w:rsidRPr="00A33A9D">
              <w:rPr>
                <w:i/>
                <w:sz w:val="22"/>
                <w:szCs w:val="22"/>
              </w:rPr>
              <w:t>Prašome patikslinti sąlygų reikalavimus</w:t>
            </w:r>
          </w:p>
        </w:tc>
        <w:tc>
          <w:tcPr>
            <w:tcW w:w="5239" w:type="dxa"/>
          </w:tcPr>
          <w:p w:rsidR="00A33A9D" w:rsidRPr="00A33A9D" w:rsidRDefault="00A33A9D" w:rsidP="00D34C43">
            <w:pPr>
              <w:ind w:right="40"/>
              <w:jc w:val="both"/>
              <w:rPr>
                <w:sz w:val="22"/>
                <w:szCs w:val="22"/>
              </w:rPr>
            </w:pPr>
            <w:r w:rsidRPr="00A33A9D">
              <w:rPr>
                <w:sz w:val="22"/>
                <w:szCs w:val="22"/>
              </w:rPr>
              <w:t>Atsižvelgiant į Jūsų pastabą Perkančioji organizacija naikina 3.7.2.3 papunktį, nekeičiant kitų papunkčių numeracijos.</w:t>
            </w:r>
          </w:p>
        </w:tc>
      </w:tr>
      <w:tr w:rsidR="00A33A9D" w:rsidRPr="00A33A9D" w:rsidTr="00D34C43">
        <w:tc>
          <w:tcPr>
            <w:tcW w:w="704" w:type="dxa"/>
          </w:tcPr>
          <w:p w:rsidR="00A33A9D" w:rsidRPr="00A33A9D" w:rsidRDefault="00A33A9D" w:rsidP="00D34C43">
            <w:pPr>
              <w:ind w:right="40"/>
              <w:jc w:val="both"/>
              <w:rPr>
                <w:sz w:val="22"/>
                <w:szCs w:val="22"/>
              </w:rPr>
            </w:pPr>
            <w:r w:rsidRPr="00A33A9D">
              <w:rPr>
                <w:sz w:val="22"/>
                <w:szCs w:val="22"/>
              </w:rPr>
              <w:t>2.</w:t>
            </w:r>
          </w:p>
        </w:tc>
        <w:tc>
          <w:tcPr>
            <w:tcW w:w="3969" w:type="dxa"/>
          </w:tcPr>
          <w:p w:rsidR="00A33A9D" w:rsidRPr="00A33A9D" w:rsidRDefault="00A33A9D" w:rsidP="00D34C43">
            <w:pPr>
              <w:ind w:right="40"/>
              <w:jc w:val="both"/>
              <w:rPr>
                <w:i/>
                <w:sz w:val="22"/>
                <w:szCs w:val="22"/>
              </w:rPr>
            </w:pPr>
            <w:r w:rsidRPr="00A33A9D">
              <w:rPr>
                <w:i/>
                <w:sz w:val="22"/>
                <w:szCs w:val="22"/>
              </w:rPr>
              <w:t>3.7.2.6.</w:t>
            </w:r>
            <w:r w:rsidRPr="00A33A9D">
              <w:rPr>
                <w:i/>
                <w:sz w:val="22"/>
                <w:szCs w:val="22"/>
              </w:rPr>
              <w:tab/>
              <w:t>kontroliuoti medžiagų ir įrenginių pristatymą ir saugų sandėliavimą;</w:t>
            </w:r>
          </w:p>
          <w:p w:rsidR="00A33A9D" w:rsidRPr="00A33A9D" w:rsidRDefault="00A33A9D" w:rsidP="00D34C43">
            <w:pPr>
              <w:ind w:right="40"/>
              <w:jc w:val="both"/>
              <w:rPr>
                <w:i/>
                <w:sz w:val="22"/>
                <w:szCs w:val="22"/>
              </w:rPr>
            </w:pPr>
          </w:p>
          <w:p w:rsidR="00A33A9D" w:rsidRPr="00A33A9D" w:rsidRDefault="00A33A9D" w:rsidP="00D34C43">
            <w:pPr>
              <w:ind w:right="40"/>
              <w:jc w:val="both"/>
              <w:rPr>
                <w:i/>
                <w:sz w:val="22"/>
                <w:szCs w:val="22"/>
              </w:rPr>
            </w:pPr>
            <w:r w:rsidRPr="00A33A9D">
              <w:rPr>
                <w:i/>
                <w:sz w:val="22"/>
                <w:szCs w:val="22"/>
              </w:rPr>
              <w:t>Paslaugos tiekėjas negali kontroliuoti medžiagų ir įrenginių pristatymo, tai medžiagų tiekėjo ir rangovo atsakomybė.</w:t>
            </w:r>
          </w:p>
          <w:p w:rsidR="00A33A9D" w:rsidRPr="00A33A9D" w:rsidRDefault="00A33A9D" w:rsidP="00D34C43">
            <w:pPr>
              <w:ind w:right="40"/>
              <w:jc w:val="both"/>
              <w:rPr>
                <w:sz w:val="22"/>
                <w:szCs w:val="22"/>
              </w:rPr>
            </w:pPr>
            <w:r w:rsidRPr="00A33A9D">
              <w:rPr>
                <w:i/>
                <w:sz w:val="22"/>
                <w:szCs w:val="22"/>
              </w:rPr>
              <w:t>Prašome patikslinti sąlygų reikalavimus</w:t>
            </w:r>
          </w:p>
        </w:tc>
        <w:tc>
          <w:tcPr>
            <w:tcW w:w="5239" w:type="dxa"/>
          </w:tcPr>
          <w:p w:rsidR="00A33A9D" w:rsidRPr="00A33A9D" w:rsidRDefault="00A33A9D" w:rsidP="00D34C43">
            <w:pPr>
              <w:ind w:right="40"/>
              <w:jc w:val="both"/>
              <w:rPr>
                <w:sz w:val="22"/>
                <w:szCs w:val="22"/>
              </w:rPr>
            </w:pPr>
            <w:r w:rsidRPr="00A33A9D">
              <w:rPr>
                <w:sz w:val="22"/>
                <w:szCs w:val="22"/>
              </w:rPr>
              <w:t>Atsižvelgiant į Jūsų pastabą Perkančioji organizacija naikina 3.7.2.6 papunktį, nekeičiant kitų papunkčių numeracijos.</w:t>
            </w:r>
          </w:p>
        </w:tc>
      </w:tr>
      <w:tr w:rsidR="00A33A9D" w:rsidRPr="00A33A9D" w:rsidTr="00D34C43">
        <w:tc>
          <w:tcPr>
            <w:tcW w:w="704" w:type="dxa"/>
          </w:tcPr>
          <w:p w:rsidR="00A33A9D" w:rsidRPr="00A33A9D" w:rsidRDefault="00A33A9D" w:rsidP="00D34C43">
            <w:pPr>
              <w:ind w:right="40"/>
              <w:jc w:val="both"/>
              <w:rPr>
                <w:sz w:val="22"/>
                <w:szCs w:val="22"/>
              </w:rPr>
            </w:pPr>
            <w:r w:rsidRPr="00A33A9D">
              <w:rPr>
                <w:sz w:val="22"/>
                <w:szCs w:val="22"/>
              </w:rPr>
              <w:t>3.</w:t>
            </w:r>
          </w:p>
        </w:tc>
        <w:tc>
          <w:tcPr>
            <w:tcW w:w="3969" w:type="dxa"/>
          </w:tcPr>
          <w:p w:rsidR="00A33A9D" w:rsidRPr="00A33A9D" w:rsidRDefault="00A33A9D" w:rsidP="00D34C43">
            <w:pPr>
              <w:ind w:right="40"/>
              <w:jc w:val="both"/>
              <w:rPr>
                <w:i/>
                <w:sz w:val="22"/>
                <w:szCs w:val="22"/>
              </w:rPr>
            </w:pPr>
            <w:r w:rsidRPr="00A33A9D">
              <w:rPr>
                <w:i/>
                <w:sz w:val="22"/>
                <w:szCs w:val="22"/>
              </w:rPr>
              <w:t>3.7.2.8.</w:t>
            </w:r>
            <w:r w:rsidRPr="00A33A9D">
              <w:rPr>
                <w:i/>
                <w:sz w:val="22"/>
                <w:szCs w:val="22"/>
              </w:rPr>
              <w:tab/>
              <w:t>Konsultuoti užsakovą projekto įgyvendinimo klausimais, taip pat papildomų ir/ar nevykdomų darbų būtinumo/racionalumo klausimais, rengti papildomų ir nevykdomų darbų sąrašus.</w:t>
            </w:r>
          </w:p>
          <w:p w:rsidR="00A33A9D" w:rsidRPr="00A33A9D" w:rsidRDefault="00A33A9D" w:rsidP="00D34C43">
            <w:pPr>
              <w:ind w:right="40"/>
              <w:jc w:val="both"/>
              <w:rPr>
                <w:i/>
                <w:sz w:val="22"/>
                <w:szCs w:val="22"/>
              </w:rPr>
            </w:pPr>
            <w:r w:rsidRPr="00A33A9D">
              <w:rPr>
                <w:i/>
                <w:sz w:val="22"/>
                <w:szCs w:val="22"/>
              </w:rPr>
              <w:tab/>
            </w:r>
          </w:p>
          <w:p w:rsidR="00A33A9D" w:rsidRPr="00A33A9D" w:rsidRDefault="00A33A9D" w:rsidP="00D34C43">
            <w:pPr>
              <w:ind w:right="40"/>
              <w:jc w:val="both"/>
              <w:rPr>
                <w:sz w:val="22"/>
                <w:szCs w:val="22"/>
              </w:rPr>
            </w:pPr>
            <w:r w:rsidRPr="00A33A9D">
              <w:rPr>
                <w:i/>
                <w:sz w:val="22"/>
                <w:szCs w:val="22"/>
              </w:rPr>
              <w:t xml:space="preserve">Papildomi nevykdomi darbai ir dokumentacijos parengimas turėtų būti rangovo pusėje. Rangovas turi didesnį žmogiškąjį resursą. Siūlome pakeisti </w:t>
            </w:r>
            <w:r w:rsidRPr="00A33A9D">
              <w:rPr>
                <w:i/>
                <w:sz w:val="22"/>
                <w:szCs w:val="22"/>
              </w:rPr>
              <w:lastRenderedPageBreak/>
              <w:t>nuostatą į „kontroliuoja papildomų ir nevykdomų darbų sąrašus“.</w:t>
            </w:r>
          </w:p>
        </w:tc>
        <w:tc>
          <w:tcPr>
            <w:tcW w:w="5239" w:type="dxa"/>
          </w:tcPr>
          <w:p w:rsidR="00A33A9D" w:rsidRPr="00A33A9D" w:rsidRDefault="00A33A9D" w:rsidP="00D34C43">
            <w:pPr>
              <w:ind w:right="40"/>
              <w:jc w:val="both"/>
              <w:rPr>
                <w:sz w:val="22"/>
                <w:szCs w:val="22"/>
              </w:rPr>
            </w:pPr>
            <w:r w:rsidRPr="00A33A9D">
              <w:rPr>
                <w:sz w:val="22"/>
                <w:szCs w:val="22"/>
              </w:rPr>
              <w:lastRenderedPageBreak/>
              <w:t>Pažymime, kad 3.7.2 punkte išvardinti nepirkimo iš Centrinės perkančiosios organizacijos motyvai, ir šiais reikalavimais Perkančioji organizacija siekia geresnės kokybės paslaugų ir geresnės techninės priežiūros kontrolės, todėl nutarė praplėsti statinių statybos techninės priežiūros funkcijas.</w:t>
            </w:r>
          </w:p>
        </w:tc>
      </w:tr>
      <w:tr w:rsidR="00A33A9D" w:rsidRPr="00A33A9D" w:rsidTr="00D34C43">
        <w:tc>
          <w:tcPr>
            <w:tcW w:w="9912" w:type="dxa"/>
            <w:gridSpan w:val="3"/>
          </w:tcPr>
          <w:p w:rsidR="00A33A9D" w:rsidRPr="00A33A9D" w:rsidRDefault="00A33A9D" w:rsidP="00D34C43">
            <w:pPr>
              <w:ind w:right="40"/>
              <w:jc w:val="both"/>
              <w:rPr>
                <w:sz w:val="22"/>
                <w:szCs w:val="22"/>
              </w:rPr>
            </w:pPr>
            <w:r w:rsidRPr="00A33A9D">
              <w:rPr>
                <w:rFonts w:eastAsia="Aptos"/>
                <w:bCs/>
                <w:kern w:val="2"/>
                <w:sz w:val="22"/>
                <w:szCs w:val="22"/>
                <w14:ligatures w14:val="standardContextual"/>
              </w:rPr>
              <w:t xml:space="preserve">Iš Pirkimo dokumentų </w:t>
            </w:r>
            <w:r w:rsidRPr="00A33A9D">
              <w:rPr>
                <w:rFonts w:eastAsia="Arial"/>
                <w:bCs/>
                <w:kern w:val="2"/>
                <w:sz w:val="22"/>
                <w:szCs w:val="22"/>
                <w14:ligatures w14:val="standardContextual"/>
              </w:rPr>
              <w:t>2+dalis 3+priedas sutarties + projektas</w:t>
            </w:r>
          </w:p>
        </w:tc>
      </w:tr>
      <w:tr w:rsidR="00A33A9D" w:rsidRPr="00A33A9D" w:rsidTr="00D34C43">
        <w:tc>
          <w:tcPr>
            <w:tcW w:w="704" w:type="dxa"/>
          </w:tcPr>
          <w:p w:rsidR="00A33A9D" w:rsidRPr="00A33A9D" w:rsidRDefault="00A33A9D" w:rsidP="00D34C43">
            <w:pPr>
              <w:ind w:right="40"/>
              <w:jc w:val="both"/>
              <w:rPr>
                <w:sz w:val="22"/>
                <w:szCs w:val="22"/>
              </w:rPr>
            </w:pPr>
            <w:r w:rsidRPr="00A33A9D">
              <w:rPr>
                <w:sz w:val="22"/>
                <w:szCs w:val="22"/>
              </w:rPr>
              <w:t>4.</w:t>
            </w:r>
          </w:p>
        </w:tc>
        <w:tc>
          <w:tcPr>
            <w:tcW w:w="3969" w:type="dxa"/>
          </w:tcPr>
          <w:p w:rsidR="00A33A9D" w:rsidRPr="00A33A9D" w:rsidRDefault="00A33A9D" w:rsidP="00D34C43">
            <w:pPr>
              <w:ind w:right="40"/>
              <w:jc w:val="both"/>
              <w:rPr>
                <w:i/>
                <w:sz w:val="22"/>
                <w:szCs w:val="22"/>
              </w:rPr>
            </w:pPr>
            <w:r w:rsidRPr="00A33A9D">
              <w:rPr>
                <w:b/>
                <w:i/>
                <w:sz w:val="22"/>
                <w:szCs w:val="22"/>
              </w:rPr>
              <w:t>6.2. Terminas Paslaugų trūkumams pašalinti</w:t>
            </w:r>
            <w:r w:rsidRPr="00A33A9D">
              <w:rPr>
                <w:i/>
                <w:sz w:val="22"/>
                <w:szCs w:val="22"/>
              </w:rPr>
              <w:t>. Garantinio termino laikotarpiu ir (arba) bet kuriuo Sutarties galiojimo metu nustačius Paslaugų trūkumų, Tiekėjas turi ne vėliau kaip per 10 (dešimt) dienų nuo rašytinės pretenzijos gavimo dienos pašalinti Paslaugų trūkumus ir (arba) pranešti statybos rangovui apie atsiradusius trūkumus.</w:t>
            </w:r>
            <w:r w:rsidRPr="00A33A9D">
              <w:rPr>
                <w:i/>
                <w:sz w:val="22"/>
                <w:szCs w:val="22"/>
              </w:rPr>
              <w:tab/>
            </w:r>
          </w:p>
          <w:p w:rsidR="00A33A9D" w:rsidRPr="00A33A9D" w:rsidRDefault="00A33A9D" w:rsidP="00D34C43">
            <w:pPr>
              <w:ind w:right="40"/>
              <w:jc w:val="both"/>
              <w:rPr>
                <w:i/>
                <w:sz w:val="22"/>
                <w:szCs w:val="22"/>
              </w:rPr>
            </w:pPr>
          </w:p>
          <w:p w:rsidR="00A33A9D" w:rsidRPr="00A33A9D" w:rsidRDefault="00A33A9D" w:rsidP="00D34C43">
            <w:pPr>
              <w:ind w:right="40"/>
              <w:jc w:val="both"/>
              <w:rPr>
                <w:i/>
                <w:sz w:val="22"/>
                <w:szCs w:val="22"/>
              </w:rPr>
            </w:pPr>
            <w:r w:rsidRPr="00A33A9D">
              <w:rPr>
                <w:i/>
                <w:sz w:val="22"/>
                <w:szCs w:val="22"/>
              </w:rPr>
              <w:t>Visos aplinkybės negali būti priskiriamos prie Tiekėjo paslaugų trūkumų.  Manome, kad turi būti patikslintas sutarties punktas, kuris neapima garantinio laikotarpio pagal CK, nes sutartiniai įsipareigojimai veikti pagal sutartį negali viršyti sutarties laikotarpio, t.y  Tiekėjas negali veikti kaip užsakovo atstovas (blogiausiu atveju 20 metų). Prašome patikslinti sutarties formuluotę be garantinio laikotarpio.</w:t>
            </w:r>
          </w:p>
        </w:tc>
        <w:tc>
          <w:tcPr>
            <w:tcW w:w="5239" w:type="dxa"/>
          </w:tcPr>
          <w:p w:rsidR="00A33A9D" w:rsidRPr="00A33A9D" w:rsidRDefault="00A33A9D" w:rsidP="00D34C43">
            <w:pPr>
              <w:ind w:right="40"/>
              <w:jc w:val="both"/>
              <w:rPr>
                <w:sz w:val="22"/>
                <w:szCs w:val="22"/>
              </w:rPr>
            </w:pPr>
            <w:r w:rsidRPr="00A33A9D">
              <w:rPr>
                <w:sz w:val="22"/>
                <w:szCs w:val="22"/>
              </w:rPr>
              <w:t xml:space="preserve">CK 6.697 straipsnio 3 dalyje įtvirtinta, kad Rangovas, projektuotojas, statinio projekto ekspertizės rangovas ar </w:t>
            </w:r>
            <w:r w:rsidRPr="00A33A9D">
              <w:rPr>
                <w:b/>
                <w:sz w:val="22"/>
                <w:szCs w:val="22"/>
                <w:u w:val="single"/>
              </w:rPr>
              <w:t>statybos techninis prižiūrėtojas</w:t>
            </w:r>
            <w:r w:rsidRPr="00A33A9D">
              <w:rPr>
                <w:sz w:val="22"/>
                <w:szCs w:val="22"/>
              </w:rPr>
              <w:t xml:space="preserve"> atsako už defektus, nustatytus per garantinį terminą, </w:t>
            </w:r>
            <w:r w:rsidRPr="00A33A9D">
              <w:rPr>
                <w:i/>
                <w:iCs/>
                <w:sz w:val="22"/>
                <w:szCs w:val="22"/>
              </w:rPr>
              <w:t>jeigu neįrodo</w:t>
            </w:r>
            <w:r w:rsidRPr="00A33A9D">
              <w:rPr>
                <w:sz w:val="22"/>
                <w:szCs w:val="22"/>
              </w:rPr>
              <w:t>, kad jie atsirado dėl objekto ar jo dalių normalaus susidėvėjimo, jo netinkamo naudojimo ar užsakovo arba jo pasamdytų asmenų netinkamai atlikto remonto arba dėl užsakovo ar jo pasamdytų asmenų kitokių kaltų veiksmų. </w:t>
            </w:r>
          </w:p>
          <w:p w:rsidR="00A33A9D" w:rsidRPr="00A33A9D" w:rsidRDefault="00A33A9D" w:rsidP="00D34C43">
            <w:pPr>
              <w:ind w:right="40"/>
              <w:jc w:val="both"/>
              <w:rPr>
                <w:sz w:val="22"/>
                <w:szCs w:val="22"/>
              </w:rPr>
            </w:pPr>
            <w:r w:rsidRPr="00A33A9D">
              <w:rPr>
                <w:sz w:val="22"/>
                <w:szCs w:val="22"/>
              </w:rPr>
              <w:t>Atsižvelgiant į tai, šis punktas nebus tikslinamas.</w:t>
            </w:r>
          </w:p>
        </w:tc>
      </w:tr>
      <w:tr w:rsidR="00A33A9D" w:rsidRPr="00A33A9D" w:rsidTr="00D34C43">
        <w:tc>
          <w:tcPr>
            <w:tcW w:w="704" w:type="dxa"/>
          </w:tcPr>
          <w:p w:rsidR="00A33A9D" w:rsidRPr="00A33A9D" w:rsidRDefault="00A33A9D" w:rsidP="00D34C43">
            <w:pPr>
              <w:ind w:right="40"/>
              <w:jc w:val="both"/>
              <w:rPr>
                <w:sz w:val="22"/>
                <w:szCs w:val="22"/>
              </w:rPr>
            </w:pPr>
            <w:r w:rsidRPr="00A33A9D">
              <w:rPr>
                <w:sz w:val="22"/>
                <w:szCs w:val="22"/>
              </w:rPr>
              <w:t>5.</w:t>
            </w:r>
          </w:p>
        </w:tc>
        <w:tc>
          <w:tcPr>
            <w:tcW w:w="3969" w:type="dxa"/>
          </w:tcPr>
          <w:p w:rsidR="00A33A9D" w:rsidRPr="00A33A9D" w:rsidRDefault="00A33A9D" w:rsidP="00D34C43">
            <w:pPr>
              <w:ind w:right="40"/>
              <w:jc w:val="both"/>
              <w:rPr>
                <w:sz w:val="22"/>
                <w:szCs w:val="22"/>
              </w:rPr>
            </w:pPr>
            <w:r w:rsidRPr="00A33A9D">
              <w:rPr>
                <w:b/>
                <w:sz w:val="22"/>
                <w:szCs w:val="22"/>
              </w:rPr>
              <w:t>8.2 Sutarties įvykdymo užtikrinimo galiojimo terminas</w:t>
            </w:r>
            <w:r w:rsidRPr="00A33A9D">
              <w:rPr>
                <w:sz w:val="22"/>
                <w:szCs w:val="22"/>
              </w:rPr>
              <w:t xml:space="preserve">. Sutarties įvykdymo užtikrinimo galiojimo terminas turi būti ne trumpesnis nei Tiekėjo prievolių įvykdymo terminas. </w:t>
            </w:r>
          </w:p>
          <w:p w:rsidR="00A33A9D" w:rsidRPr="00A33A9D" w:rsidRDefault="00A33A9D" w:rsidP="00D34C43">
            <w:pPr>
              <w:ind w:right="40"/>
              <w:jc w:val="both"/>
              <w:rPr>
                <w:sz w:val="22"/>
                <w:szCs w:val="22"/>
              </w:rPr>
            </w:pPr>
          </w:p>
          <w:p w:rsidR="00A33A9D" w:rsidRPr="00A33A9D" w:rsidRDefault="00A33A9D" w:rsidP="00D34C43">
            <w:pPr>
              <w:ind w:right="40"/>
              <w:jc w:val="both"/>
              <w:rPr>
                <w:sz w:val="22"/>
                <w:szCs w:val="22"/>
              </w:rPr>
            </w:pPr>
            <w:r w:rsidRPr="00A33A9D">
              <w:rPr>
                <w:sz w:val="22"/>
                <w:szCs w:val="22"/>
              </w:rPr>
              <w:t>Prašome patikslinti ar Tiekėjo prievolių įvykdymo terminas apima laiką „Paslaugų pirkimo-pardavimo sutarties specialiosios sąlygos“ 4.1 punkte.</w:t>
            </w:r>
          </w:p>
        </w:tc>
        <w:tc>
          <w:tcPr>
            <w:tcW w:w="5239" w:type="dxa"/>
          </w:tcPr>
          <w:p w:rsidR="00A33A9D" w:rsidRPr="00A33A9D" w:rsidRDefault="00A33A9D" w:rsidP="00D34C43">
            <w:pPr>
              <w:ind w:right="40"/>
              <w:jc w:val="both"/>
              <w:rPr>
                <w:sz w:val="22"/>
                <w:szCs w:val="22"/>
              </w:rPr>
            </w:pPr>
            <w:r w:rsidRPr="00A33A9D">
              <w:rPr>
                <w:sz w:val="22"/>
                <w:szCs w:val="22"/>
              </w:rPr>
              <w:t xml:space="preserve">Taip, Tiekėjo prievolių įvykdymo terminas nurodytas Sutarties Specialiosios dalies 4.1 p. </w:t>
            </w:r>
          </w:p>
        </w:tc>
      </w:tr>
      <w:tr w:rsidR="00A33A9D" w:rsidRPr="00A33A9D" w:rsidTr="00D34C43">
        <w:tc>
          <w:tcPr>
            <w:tcW w:w="704" w:type="dxa"/>
          </w:tcPr>
          <w:p w:rsidR="00A33A9D" w:rsidRPr="00A33A9D" w:rsidRDefault="00A33A9D" w:rsidP="00D34C43">
            <w:pPr>
              <w:ind w:right="40"/>
              <w:jc w:val="both"/>
              <w:rPr>
                <w:sz w:val="22"/>
                <w:szCs w:val="22"/>
              </w:rPr>
            </w:pPr>
            <w:r w:rsidRPr="00A33A9D">
              <w:rPr>
                <w:sz w:val="22"/>
                <w:szCs w:val="22"/>
              </w:rPr>
              <w:t>6.</w:t>
            </w:r>
          </w:p>
        </w:tc>
        <w:tc>
          <w:tcPr>
            <w:tcW w:w="3969" w:type="dxa"/>
          </w:tcPr>
          <w:p w:rsidR="00A33A9D" w:rsidRPr="00A33A9D" w:rsidRDefault="00A33A9D" w:rsidP="00D34C43">
            <w:pPr>
              <w:ind w:right="40"/>
              <w:jc w:val="both"/>
              <w:rPr>
                <w:b/>
                <w:i/>
                <w:sz w:val="22"/>
                <w:szCs w:val="22"/>
              </w:rPr>
            </w:pPr>
            <w:r w:rsidRPr="00A33A9D">
              <w:rPr>
                <w:b/>
                <w:i/>
                <w:sz w:val="22"/>
                <w:szCs w:val="22"/>
              </w:rPr>
              <w:t>7.3.</w:t>
            </w:r>
            <w:r w:rsidRPr="00A33A9D">
              <w:rPr>
                <w:b/>
                <w:i/>
                <w:sz w:val="22"/>
                <w:szCs w:val="22"/>
              </w:rPr>
              <w:tab/>
              <w:t>Paslaugų trūkumų šalinimas</w:t>
            </w:r>
          </w:p>
          <w:p w:rsidR="00A33A9D" w:rsidRPr="00A33A9D" w:rsidRDefault="00A33A9D" w:rsidP="00D34C43">
            <w:pPr>
              <w:ind w:right="40"/>
              <w:jc w:val="both"/>
              <w:rPr>
                <w:i/>
                <w:sz w:val="22"/>
                <w:szCs w:val="22"/>
              </w:rPr>
            </w:pPr>
            <w:r w:rsidRPr="00A33A9D">
              <w:rPr>
                <w:i/>
                <w:sz w:val="22"/>
                <w:szCs w:val="22"/>
              </w:rPr>
              <w:t>7.2.2.</w:t>
            </w:r>
            <w:r w:rsidRPr="00A33A9D">
              <w:rPr>
                <w:i/>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rsidR="00A33A9D" w:rsidRPr="00A33A9D" w:rsidRDefault="00A33A9D" w:rsidP="00D34C43">
            <w:pPr>
              <w:ind w:right="40"/>
              <w:jc w:val="both"/>
              <w:rPr>
                <w:i/>
                <w:sz w:val="22"/>
                <w:szCs w:val="22"/>
              </w:rPr>
            </w:pPr>
          </w:p>
          <w:p w:rsidR="00A33A9D" w:rsidRPr="00A33A9D" w:rsidRDefault="00A33A9D" w:rsidP="00D34C43">
            <w:pPr>
              <w:ind w:right="40"/>
              <w:jc w:val="both"/>
              <w:rPr>
                <w:sz w:val="22"/>
                <w:szCs w:val="22"/>
              </w:rPr>
            </w:pPr>
            <w:r w:rsidRPr="00A33A9D">
              <w:rPr>
                <w:i/>
                <w:sz w:val="22"/>
                <w:szCs w:val="22"/>
              </w:rPr>
              <w:t>Prašome patikslinti „Paslaugų trūkumai“ sąvoką. Manome, kad tai turėtų apimti Tiekėjo dokumentacijos apimties ir tikslumo trūkumus, nes galimų darbų defektų Tiekėjas pašalinti negali, nes tai nėra pagrindinė Tiekėjo veikla. Sutarties įsipareigojimai turi apimti ir Rangovą, bei Projektuotoją,  visais atvejai tai gali būti išskirstyta proporcinga atsakomybė, neradus bendro sutarimo, nustatoma teismo.</w:t>
            </w:r>
          </w:p>
        </w:tc>
        <w:tc>
          <w:tcPr>
            <w:tcW w:w="5239" w:type="dxa"/>
          </w:tcPr>
          <w:p w:rsidR="00A33A9D" w:rsidRPr="00A33A9D" w:rsidRDefault="00A33A9D" w:rsidP="00D34C43">
            <w:pPr>
              <w:ind w:right="40"/>
              <w:jc w:val="both"/>
              <w:rPr>
                <w:sz w:val="22"/>
                <w:szCs w:val="22"/>
              </w:rPr>
            </w:pPr>
            <w:r w:rsidRPr="00A33A9D">
              <w:rPr>
                <w:sz w:val="22"/>
                <w:szCs w:val="22"/>
              </w:rPr>
              <w:t>Paslaugų trūkumais laikomi bet kokie neatitikimai tarp Sutartyje, techninėje specifikacijoje ar galiojančiuose teisės aktuose numatytų reikalavimų ir faktiškai suteiktų paslaugų.</w:t>
            </w:r>
          </w:p>
        </w:tc>
      </w:tr>
      <w:tr w:rsidR="00A33A9D" w:rsidRPr="00A33A9D" w:rsidTr="00D34C43">
        <w:tc>
          <w:tcPr>
            <w:tcW w:w="704" w:type="dxa"/>
          </w:tcPr>
          <w:p w:rsidR="00A33A9D" w:rsidRPr="00A33A9D" w:rsidRDefault="00A33A9D" w:rsidP="00D34C43">
            <w:pPr>
              <w:ind w:right="40"/>
              <w:jc w:val="both"/>
              <w:rPr>
                <w:sz w:val="22"/>
                <w:szCs w:val="22"/>
              </w:rPr>
            </w:pPr>
            <w:r w:rsidRPr="00A33A9D">
              <w:rPr>
                <w:sz w:val="22"/>
                <w:szCs w:val="22"/>
              </w:rPr>
              <w:lastRenderedPageBreak/>
              <w:t>7.</w:t>
            </w:r>
          </w:p>
        </w:tc>
        <w:tc>
          <w:tcPr>
            <w:tcW w:w="3969" w:type="dxa"/>
          </w:tcPr>
          <w:p w:rsidR="00A33A9D" w:rsidRPr="00A33A9D" w:rsidRDefault="00A33A9D" w:rsidP="00D34C43">
            <w:pPr>
              <w:ind w:right="40"/>
              <w:jc w:val="both"/>
              <w:rPr>
                <w:i/>
                <w:sz w:val="22"/>
                <w:szCs w:val="22"/>
              </w:rPr>
            </w:pPr>
            <w:r w:rsidRPr="00A33A9D">
              <w:rPr>
                <w:i/>
                <w:sz w:val="22"/>
                <w:szCs w:val="22"/>
              </w:rPr>
              <w:t>7.3.1.</w:t>
            </w:r>
            <w:r w:rsidRPr="00A33A9D">
              <w:rPr>
                <w:i/>
                <w:sz w:val="22"/>
                <w:szCs w:val="22"/>
              </w:rPr>
              <w:tab/>
              <w:t>Tiekėjas privalo nemokamai pašalinti Paslaugų rezultato trūkumus. Jeigu nustatomi su Paslaugomis susijusių prekių trūkumai, Tiekėjas privalo pašalinti jų trūkumus, sutaisydamas prekes ar jų dalį arba pakeisdamas prekę nauja preke ar jos dalimi.</w:t>
            </w:r>
          </w:p>
          <w:p w:rsidR="00A33A9D" w:rsidRPr="00A33A9D" w:rsidRDefault="00A33A9D" w:rsidP="00D34C43">
            <w:pPr>
              <w:ind w:right="40"/>
              <w:jc w:val="both"/>
              <w:rPr>
                <w:i/>
                <w:sz w:val="22"/>
                <w:szCs w:val="22"/>
              </w:rPr>
            </w:pPr>
          </w:p>
          <w:p w:rsidR="00A33A9D" w:rsidRPr="00A33A9D" w:rsidRDefault="00A33A9D" w:rsidP="00D34C43">
            <w:pPr>
              <w:ind w:right="40"/>
              <w:jc w:val="both"/>
              <w:rPr>
                <w:i/>
                <w:sz w:val="22"/>
                <w:szCs w:val="22"/>
              </w:rPr>
            </w:pPr>
            <w:r w:rsidRPr="00A33A9D">
              <w:rPr>
                <w:i/>
                <w:sz w:val="22"/>
                <w:szCs w:val="22"/>
              </w:rPr>
              <w:t>Reikalavimas visiškai prasilenkia su perkamomis techninės priežiūros paslaugomis. Prašome išbraukti sutarties punktą.</w:t>
            </w:r>
          </w:p>
        </w:tc>
        <w:tc>
          <w:tcPr>
            <w:tcW w:w="5239" w:type="dxa"/>
          </w:tcPr>
          <w:p w:rsidR="00A33A9D" w:rsidRPr="00A33A9D" w:rsidRDefault="00A33A9D" w:rsidP="00D34C43">
            <w:pPr>
              <w:ind w:right="40"/>
              <w:jc w:val="both"/>
              <w:rPr>
                <w:sz w:val="22"/>
                <w:szCs w:val="22"/>
              </w:rPr>
            </w:pPr>
            <w:r w:rsidRPr="00A33A9D">
              <w:rPr>
                <w:sz w:val="22"/>
                <w:szCs w:val="22"/>
              </w:rPr>
              <w:t>Paaiškiname, kad tai Viešųjų pirkimų tarnybos patvirtintą Paslaugų pirkimo-pardavimo sutartis, kurį apima ir tinka įvairioms Paslaugų rūšims.</w:t>
            </w:r>
          </w:p>
          <w:p w:rsidR="00A33A9D" w:rsidRPr="00A33A9D" w:rsidRDefault="00A33A9D" w:rsidP="00D34C43">
            <w:pPr>
              <w:ind w:right="40"/>
              <w:jc w:val="both"/>
              <w:rPr>
                <w:sz w:val="22"/>
                <w:szCs w:val="22"/>
              </w:rPr>
            </w:pPr>
            <w:r w:rsidRPr="00A33A9D">
              <w:rPr>
                <w:sz w:val="22"/>
                <w:szCs w:val="22"/>
              </w:rPr>
              <w:t xml:space="preserve">Šiuo pirkimo atveju su Paslaugomis susijusios prekės nebus perkamos, atitinkamai šio punkto nuostatą, </w:t>
            </w:r>
            <w:r w:rsidRPr="00A33A9D">
              <w:rPr>
                <w:b/>
                <w:sz w:val="22"/>
                <w:szCs w:val="22"/>
                <w:u w:val="single"/>
              </w:rPr>
              <w:t>susijusi su Paslaugomis susijusių prekių trūkumų šalinimo</w:t>
            </w:r>
            <w:r w:rsidRPr="00A33A9D">
              <w:rPr>
                <w:sz w:val="22"/>
                <w:szCs w:val="22"/>
              </w:rPr>
              <w:t>, negalioja.</w:t>
            </w:r>
          </w:p>
          <w:p w:rsidR="00A33A9D" w:rsidRPr="00A33A9D" w:rsidRDefault="00A33A9D" w:rsidP="00D34C43">
            <w:pPr>
              <w:ind w:right="40"/>
              <w:jc w:val="both"/>
              <w:rPr>
                <w:sz w:val="22"/>
                <w:szCs w:val="22"/>
              </w:rPr>
            </w:pPr>
          </w:p>
        </w:tc>
      </w:tr>
      <w:tr w:rsidR="00A33A9D" w:rsidRPr="00A33A9D" w:rsidTr="00D34C43">
        <w:tc>
          <w:tcPr>
            <w:tcW w:w="704" w:type="dxa"/>
          </w:tcPr>
          <w:p w:rsidR="00A33A9D" w:rsidRPr="00A33A9D" w:rsidRDefault="00A33A9D" w:rsidP="00D34C43">
            <w:pPr>
              <w:ind w:right="40"/>
              <w:jc w:val="both"/>
              <w:rPr>
                <w:sz w:val="22"/>
                <w:szCs w:val="22"/>
              </w:rPr>
            </w:pPr>
            <w:r w:rsidRPr="00A33A9D">
              <w:rPr>
                <w:sz w:val="22"/>
                <w:szCs w:val="22"/>
              </w:rPr>
              <w:t xml:space="preserve">8. </w:t>
            </w:r>
          </w:p>
        </w:tc>
        <w:tc>
          <w:tcPr>
            <w:tcW w:w="3969" w:type="dxa"/>
          </w:tcPr>
          <w:p w:rsidR="00A33A9D" w:rsidRPr="00A33A9D" w:rsidRDefault="00A33A9D" w:rsidP="00D34C43">
            <w:pPr>
              <w:ind w:right="40"/>
              <w:jc w:val="both"/>
              <w:rPr>
                <w:i/>
                <w:sz w:val="22"/>
                <w:szCs w:val="22"/>
              </w:rPr>
            </w:pPr>
            <w:r w:rsidRPr="00A33A9D">
              <w:rPr>
                <w:i/>
                <w:sz w:val="22"/>
                <w:szCs w:val="22"/>
              </w:rPr>
              <w:t>7.3.2.</w:t>
            </w:r>
            <w:r w:rsidRPr="00A33A9D">
              <w:rPr>
                <w:i/>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rsidR="00A33A9D" w:rsidRPr="00A33A9D" w:rsidRDefault="00A33A9D" w:rsidP="00D34C43">
            <w:pPr>
              <w:ind w:right="40"/>
              <w:jc w:val="both"/>
              <w:rPr>
                <w:i/>
                <w:sz w:val="22"/>
                <w:szCs w:val="22"/>
              </w:rPr>
            </w:pPr>
          </w:p>
          <w:p w:rsidR="00A33A9D" w:rsidRPr="00A33A9D" w:rsidRDefault="00A33A9D" w:rsidP="00D34C43">
            <w:pPr>
              <w:jc w:val="both"/>
              <w:rPr>
                <w:i/>
                <w:sz w:val="22"/>
                <w:szCs w:val="22"/>
              </w:rPr>
            </w:pPr>
            <w:r w:rsidRPr="00A33A9D">
              <w:rPr>
                <w:i/>
                <w:sz w:val="22"/>
                <w:szCs w:val="22"/>
              </w:rPr>
              <w:t>Reikalavimas visiškai prasilenkia su perkamomis techninės priežiūros paslaugomis. Prašome išbraukti sutarties punktą.</w:t>
            </w:r>
          </w:p>
        </w:tc>
        <w:tc>
          <w:tcPr>
            <w:tcW w:w="5239" w:type="dxa"/>
          </w:tcPr>
          <w:p w:rsidR="00A33A9D" w:rsidRPr="00A33A9D" w:rsidRDefault="00A33A9D" w:rsidP="00D34C43">
            <w:pPr>
              <w:ind w:right="40"/>
              <w:jc w:val="both"/>
              <w:rPr>
                <w:sz w:val="22"/>
                <w:szCs w:val="22"/>
              </w:rPr>
            </w:pPr>
            <w:r w:rsidRPr="00A33A9D">
              <w:rPr>
                <w:sz w:val="22"/>
                <w:szCs w:val="22"/>
              </w:rPr>
              <w:t>Paaiškiname, kad tai Viešųjų pirkimų tarnybos patvirtintą Paslaugų pirkimo-pardavimo sutartis, kurį apima ir tinka įvairioms Paslaugų rūšims.</w:t>
            </w:r>
          </w:p>
          <w:p w:rsidR="00A33A9D" w:rsidRPr="00A33A9D" w:rsidRDefault="00A33A9D" w:rsidP="00D34C43">
            <w:pPr>
              <w:ind w:right="40"/>
              <w:jc w:val="both"/>
              <w:rPr>
                <w:sz w:val="22"/>
                <w:szCs w:val="22"/>
              </w:rPr>
            </w:pPr>
            <w:r w:rsidRPr="00A33A9D">
              <w:rPr>
                <w:sz w:val="22"/>
                <w:szCs w:val="22"/>
              </w:rPr>
              <w:t xml:space="preserve">Šiuo pirkimo atveju su Paslaugomis susijusios prekės nebus perkamos, atitinkamai šio punkto nuostatą, </w:t>
            </w:r>
            <w:r w:rsidRPr="00A33A9D">
              <w:rPr>
                <w:b/>
                <w:sz w:val="22"/>
                <w:szCs w:val="22"/>
                <w:u w:val="single"/>
              </w:rPr>
              <w:t>susijusi su Paslaugomis susijusių prekių trūkumų šalinimo</w:t>
            </w:r>
            <w:r w:rsidRPr="00A33A9D">
              <w:rPr>
                <w:sz w:val="22"/>
                <w:szCs w:val="22"/>
              </w:rPr>
              <w:t>, negalioja.</w:t>
            </w:r>
          </w:p>
          <w:p w:rsidR="00A33A9D" w:rsidRPr="00A33A9D" w:rsidRDefault="00A33A9D" w:rsidP="00D34C43">
            <w:pPr>
              <w:ind w:right="40"/>
              <w:jc w:val="both"/>
              <w:rPr>
                <w:sz w:val="22"/>
                <w:szCs w:val="22"/>
              </w:rPr>
            </w:pPr>
          </w:p>
        </w:tc>
      </w:tr>
      <w:tr w:rsidR="00A33A9D" w:rsidRPr="00A33A9D" w:rsidTr="00D34C43">
        <w:tc>
          <w:tcPr>
            <w:tcW w:w="704" w:type="dxa"/>
          </w:tcPr>
          <w:p w:rsidR="00A33A9D" w:rsidRPr="00A33A9D" w:rsidRDefault="00A33A9D" w:rsidP="00D34C43">
            <w:pPr>
              <w:ind w:right="40"/>
              <w:jc w:val="both"/>
              <w:rPr>
                <w:sz w:val="22"/>
                <w:szCs w:val="22"/>
              </w:rPr>
            </w:pPr>
            <w:r w:rsidRPr="00A33A9D">
              <w:rPr>
                <w:sz w:val="22"/>
                <w:szCs w:val="22"/>
              </w:rPr>
              <w:t xml:space="preserve">9. </w:t>
            </w:r>
          </w:p>
        </w:tc>
        <w:tc>
          <w:tcPr>
            <w:tcW w:w="3969" w:type="dxa"/>
          </w:tcPr>
          <w:p w:rsidR="00A33A9D" w:rsidRPr="00A33A9D" w:rsidRDefault="00A33A9D" w:rsidP="00D34C43">
            <w:pPr>
              <w:ind w:right="40"/>
              <w:jc w:val="both"/>
              <w:rPr>
                <w:i/>
                <w:sz w:val="22"/>
                <w:szCs w:val="22"/>
              </w:rPr>
            </w:pPr>
            <w:r w:rsidRPr="00A33A9D">
              <w:rPr>
                <w:i/>
                <w:sz w:val="22"/>
                <w:szCs w:val="22"/>
              </w:rPr>
              <w:t>7.3.3.</w:t>
            </w:r>
            <w:r w:rsidRPr="00A33A9D">
              <w:rPr>
                <w:i/>
                <w:sz w:val="22"/>
                <w:szCs w:val="22"/>
              </w:rPr>
              <w:tab/>
              <w:t>Sutaisytoje su Paslaugų teikimu susijusių prekių dalyje pakartotinai nustačius prekių trūkumų, Tiekėjas privalo pakeisti prekes naujomis kokybiškomis prekėmis, nebent Pirkėjas raštu sutiktų prekes dar kartą taisyti.</w:t>
            </w:r>
          </w:p>
          <w:p w:rsidR="00A33A9D" w:rsidRPr="00A33A9D" w:rsidRDefault="00A33A9D" w:rsidP="00D34C43">
            <w:pPr>
              <w:ind w:right="40"/>
              <w:jc w:val="both"/>
              <w:rPr>
                <w:i/>
                <w:sz w:val="22"/>
                <w:szCs w:val="22"/>
              </w:rPr>
            </w:pPr>
            <w:r w:rsidRPr="00A33A9D">
              <w:rPr>
                <w:i/>
                <w:sz w:val="22"/>
                <w:szCs w:val="22"/>
              </w:rPr>
              <w:t>7.3.4.</w:t>
            </w:r>
            <w:r w:rsidRPr="00A33A9D">
              <w:rPr>
                <w:i/>
                <w:sz w:val="22"/>
                <w:szCs w:val="22"/>
              </w:rPr>
              <w:tab/>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rsidR="00A33A9D" w:rsidRPr="00A33A9D" w:rsidRDefault="00A33A9D" w:rsidP="00D34C43">
            <w:pPr>
              <w:ind w:right="40"/>
              <w:jc w:val="both"/>
              <w:rPr>
                <w:i/>
                <w:sz w:val="22"/>
                <w:szCs w:val="22"/>
              </w:rPr>
            </w:pPr>
            <w:r w:rsidRPr="00A33A9D">
              <w:rPr>
                <w:i/>
                <w:sz w:val="22"/>
                <w:szCs w:val="22"/>
              </w:rPr>
              <w:t>7.3.5.</w:t>
            </w:r>
            <w:r w:rsidRPr="00A33A9D">
              <w:rPr>
                <w:i/>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rsidR="00A33A9D" w:rsidRPr="00A33A9D" w:rsidRDefault="00A33A9D" w:rsidP="00D34C43">
            <w:pPr>
              <w:ind w:right="40"/>
              <w:jc w:val="both"/>
              <w:rPr>
                <w:i/>
                <w:sz w:val="22"/>
                <w:szCs w:val="22"/>
              </w:rPr>
            </w:pPr>
            <w:r w:rsidRPr="00A33A9D">
              <w:rPr>
                <w:i/>
                <w:sz w:val="22"/>
                <w:szCs w:val="22"/>
              </w:rPr>
              <w:t>7.3.6.</w:t>
            </w:r>
            <w:r w:rsidRPr="00A33A9D">
              <w:rPr>
                <w:i/>
                <w:sz w:val="22"/>
                <w:szCs w:val="22"/>
              </w:rPr>
              <w:tab/>
              <w:t>Tiekėjas, pašalinęs visus Paslaugų trūkumus, privalo apie tai informuoti Pirkėją.</w:t>
            </w:r>
          </w:p>
          <w:p w:rsidR="00A33A9D" w:rsidRPr="00A33A9D" w:rsidRDefault="00A33A9D" w:rsidP="00D34C43">
            <w:pPr>
              <w:ind w:right="40"/>
              <w:jc w:val="both"/>
              <w:rPr>
                <w:i/>
                <w:sz w:val="22"/>
                <w:szCs w:val="22"/>
              </w:rPr>
            </w:pPr>
            <w:r w:rsidRPr="00A33A9D">
              <w:rPr>
                <w:i/>
                <w:sz w:val="22"/>
                <w:szCs w:val="22"/>
              </w:rPr>
              <w:t>7.3.7.</w:t>
            </w:r>
            <w:r w:rsidRPr="00A33A9D">
              <w:rPr>
                <w:i/>
                <w:sz w:val="22"/>
                <w:szCs w:val="22"/>
              </w:rPr>
              <w:tab/>
              <w:t xml:space="preserve">Pirkėjas per 5 (penkias) darbo dienas po Tiekėjo pranešimo apie Paslaugų trūkumų pašalinimą gavimo </w:t>
            </w:r>
            <w:r w:rsidRPr="00A33A9D">
              <w:rPr>
                <w:i/>
                <w:sz w:val="22"/>
                <w:szCs w:val="22"/>
              </w:rPr>
              <w:lastRenderedPageBreak/>
              <w:t>privalo patikrinti trūkumus, nurodytus Defektų akte arba Pirkėjo pretenzijoje, ir raštu patvirtinti, kurie Paslaugų trūkumai buvo pašalinti tinkamai.</w:t>
            </w:r>
          </w:p>
          <w:p w:rsidR="00A33A9D" w:rsidRPr="00A33A9D" w:rsidRDefault="00A33A9D" w:rsidP="00D34C43">
            <w:pPr>
              <w:ind w:right="40"/>
              <w:jc w:val="both"/>
              <w:rPr>
                <w:i/>
                <w:sz w:val="22"/>
                <w:szCs w:val="22"/>
              </w:rPr>
            </w:pPr>
          </w:p>
          <w:p w:rsidR="00A33A9D" w:rsidRPr="00A33A9D" w:rsidRDefault="00A33A9D" w:rsidP="00D34C43">
            <w:pPr>
              <w:ind w:right="40"/>
              <w:jc w:val="both"/>
              <w:rPr>
                <w:i/>
                <w:sz w:val="22"/>
                <w:szCs w:val="22"/>
              </w:rPr>
            </w:pPr>
            <w:r w:rsidRPr="00A33A9D">
              <w:rPr>
                <w:i/>
                <w:sz w:val="22"/>
                <w:szCs w:val="22"/>
              </w:rPr>
              <w:t>Reikalavimas visiškai prasilenkia su perkamomis techninės priežiūros paslaugomis. Prašome išbraukti sutarties punktą.</w:t>
            </w:r>
          </w:p>
        </w:tc>
        <w:tc>
          <w:tcPr>
            <w:tcW w:w="5239" w:type="dxa"/>
          </w:tcPr>
          <w:p w:rsidR="00A33A9D" w:rsidRPr="00A33A9D" w:rsidRDefault="00A33A9D" w:rsidP="00D34C43">
            <w:pPr>
              <w:ind w:right="40"/>
              <w:jc w:val="both"/>
              <w:rPr>
                <w:sz w:val="22"/>
                <w:szCs w:val="22"/>
              </w:rPr>
            </w:pPr>
            <w:r w:rsidRPr="00A33A9D">
              <w:rPr>
                <w:sz w:val="22"/>
                <w:szCs w:val="22"/>
              </w:rPr>
              <w:lastRenderedPageBreak/>
              <w:t>Paaiškiname, kad tai Viešųjų pirkimų tarnybos patvirtintą Paslaugų pirkimo-pardavimo sutartis, kurį apima ir tinka įvairioms Paslaugų rūšims.</w:t>
            </w:r>
          </w:p>
          <w:p w:rsidR="00A33A9D" w:rsidRPr="00A33A9D" w:rsidRDefault="00A33A9D" w:rsidP="00D34C43">
            <w:pPr>
              <w:ind w:right="40"/>
              <w:jc w:val="both"/>
              <w:rPr>
                <w:sz w:val="22"/>
                <w:szCs w:val="22"/>
              </w:rPr>
            </w:pPr>
            <w:r w:rsidRPr="00A33A9D">
              <w:rPr>
                <w:sz w:val="22"/>
                <w:szCs w:val="22"/>
              </w:rPr>
              <w:t xml:space="preserve">Šiuo pirkimo atveju su Paslaugomis susijusios prekės nebus perkamos, atitinkamai šio punkto nuostatą, </w:t>
            </w:r>
            <w:r w:rsidRPr="00A33A9D">
              <w:rPr>
                <w:b/>
                <w:sz w:val="22"/>
                <w:szCs w:val="22"/>
                <w:u w:val="single"/>
              </w:rPr>
              <w:t>susijusi su Paslaugomis susijusių prekių trūkumų šalinimo</w:t>
            </w:r>
            <w:r w:rsidRPr="00A33A9D">
              <w:rPr>
                <w:sz w:val="22"/>
                <w:szCs w:val="22"/>
              </w:rPr>
              <w:t>, negalioja.</w:t>
            </w:r>
          </w:p>
        </w:tc>
      </w:tr>
      <w:tr w:rsidR="00A33A9D" w:rsidRPr="00A33A9D" w:rsidTr="00D34C43">
        <w:tc>
          <w:tcPr>
            <w:tcW w:w="704" w:type="dxa"/>
          </w:tcPr>
          <w:p w:rsidR="00A33A9D" w:rsidRPr="00A33A9D" w:rsidRDefault="00A33A9D" w:rsidP="00D34C43">
            <w:pPr>
              <w:ind w:right="40"/>
              <w:jc w:val="both"/>
              <w:rPr>
                <w:sz w:val="22"/>
                <w:szCs w:val="22"/>
              </w:rPr>
            </w:pPr>
            <w:r w:rsidRPr="00A33A9D">
              <w:rPr>
                <w:sz w:val="22"/>
                <w:szCs w:val="22"/>
              </w:rPr>
              <w:t>10.</w:t>
            </w:r>
          </w:p>
        </w:tc>
        <w:tc>
          <w:tcPr>
            <w:tcW w:w="3969" w:type="dxa"/>
          </w:tcPr>
          <w:p w:rsidR="00A33A9D" w:rsidRPr="00A33A9D" w:rsidRDefault="00A33A9D" w:rsidP="00D34C43">
            <w:pPr>
              <w:ind w:right="40"/>
              <w:jc w:val="both"/>
              <w:rPr>
                <w:i/>
                <w:sz w:val="22"/>
                <w:szCs w:val="22"/>
              </w:rPr>
            </w:pPr>
            <w:r w:rsidRPr="00A33A9D">
              <w:rPr>
                <w:i/>
                <w:sz w:val="22"/>
                <w:szCs w:val="22"/>
              </w:rPr>
              <w:t>7.4.1.1.</w:t>
            </w:r>
            <w:r w:rsidRPr="00A33A9D">
              <w:rPr>
                <w:i/>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rsidR="00A33A9D" w:rsidRPr="00A33A9D" w:rsidRDefault="00A33A9D" w:rsidP="00D34C43">
            <w:pPr>
              <w:ind w:right="40"/>
              <w:jc w:val="both"/>
              <w:rPr>
                <w:i/>
                <w:sz w:val="22"/>
                <w:szCs w:val="22"/>
              </w:rPr>
            </w:pPr>
            <w:r w:rsidRPr="00A33A9D">
              <w:rPr>
                <w:i/>
                <w:sz w:val="22"/>
                <w:szCs w:val="22"/>
              </w:rPr>
              <w:t>7.4.1.2.</w:t>
            </w:r>
            <w:r w:rsidRPr="00A33A9D">
              <w:rPr>
                <w:i/>
                <w:sz w:val="22"/>
                <w:szCs w:val="22"/>
              </w:rPr>
              <w:tab/>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rsidR="00A33A9D" w:rsidRPr="00A33A9D" w:rsidRDefault="00A33A9D" w:rsidP="00D34C43">
            <w:pPr>
              <w:ind w:right="40"/>
              <w:jc w:val="both"/>
              <w:rPr>
                <w:i/>
                <w:sz w:val="22"/>
                <w:szCs w:val="22"/>
              </w:rPr>
            </w:pPr>
            <w:r w:rsidRPr="00A33A9D">
              <w:rPr>
                <w:i/>
                <w:sz w:val="22"/>
                <w:szCs w:val="22"/>
              </w:rPr>
              <w:tab/>
            </w:r>
          </w:p>
          <w:p w:rsidR="00A33A9D" w:rsidRPr="00A33A9D" w:rsidRDefault="00A33A9D" w:rsidP="00D34C43">
            <w:pPr>
              <w:ind w:right="40"/>
              <w:jc w:val="both"/>
              <w:rPr>
                <w:i/>
                <w:sz w:val="22"/>
                <w:szCs w:val="22"/>
              </w:rPr>
            </w:pPr>
            <w:r w:rsidRPr="00A33A9D">
              <w:rPr>
                <w:i/>
                <w:sz w:val="22"/>
                <w:szCs w:val="22"/>
              </w:rPr>
              <w:t xml:space="preserve">Sutarties formuluotės prasilenkia su perkama techninės priežiūros paslauga. </w:t>
            </w:r>
          </w:p>
          <w:p w:rsidR="00A33A9D" w:rsidRPr="00A33A9D" w:rsidRDefault="00A33A9D" w:rsidP="00D34C43">
            <w:pPr>
              <w:ind w:right="40"/>
              <w:jc w:val="both"/>
              <w:rPr>
                <w:i/>
                <w:sz w:val="22"/>
                <w:szCs w:val="22"/>
              </w:rPr>
            </w:pPr>
            <w:r w:rsidRPr="00A33A9D">
              <w:rPr>
                <w:i/>
                <w:sz w:val="22"/>
                <w:szCs w:val="22"/>
              </w:rPr>
              <w:t>Nuostolių reikalavimas ar permokų išskaitymai sunkiai suderinami su perkamų paslaugų veiklos praktinėmis situacijomis.</w:t>
            </w:r>
          </w:p>
        </w:tc>
        <w:tc>
          <w:tcPr>
            <w:tcW w:w="5239" w:type="dxa"/>
          </w:tcPr>
          <w:p w:rsidR="00A33A9D" w:rsidRPr="00A33A9D" w:rsidRDefault="00A33A9D" w:rsidP="00D34C43">
            <w:pPr>
              <w:ind w:right="40"/>
              <w:jc w:val="both"/>
              <w:rPr>
                <w:sz w:val="22"/>
                <w:szCs w:val="22"/>
              </w:rPr>
            </w:pPr>
            <w:r w:rsidRPr="00A33A9D">
              <w:rPr>
                <w:sz w:val="22"/>
                <w:szCs w:val="22"/>
              </w:rPr>
              <w:t xml:space="preserve">Informuojame, kad šie punktai yra standartiniai ir taikomi siekiant užtikrinti Pirkėjo teisių apsaugą tais atvejais, kaip Paslaugos nėra teikiamos tinkamai ar nustatyta trūkumų. </w:t>
            </w:r>
          </w:p>
          <w:p w:rsidR="00A33A9D" w:rsidRPr="00A33A9D" w:rsidRDefault="00A33A9D" w:rsidP="00D34C43">
            <w:pPr>
              <w:ind w:right="40"/>
              <w:jc w:val="both"/>
              <w:rPr>
                <w:sz w:val="22"/>
                <w:szCs w:val="22"/>
              </w:rPr>
            </w:pPr>
            <w:r w:rsidRPr="00A33A9D">
              <w:rPr>
                <w:sz w:val="22"/>
                <w:szCs w:val="22"/>
              </w:rPr>
              <w:t xml:space="preserve">Nors techninės priežiūros paslaugų kontekste šių nuostatų taikymas gali būti retas arba ribotas, tačiau jų įtraukimas į sutartį būtinas, siekiant užtikrinti atsakomybės balansą. </w:t>
            </w:r>
          </w:p>
        </w:tc>
      </w:tr>
      <w:tr w:rsidR="00A33A9D" w:rsidRPr="00A33A9D" w:rsidTr="00D34C43">
        <w:tc>
          <w:tcPr>
            <w:tcW w:w="704" w:type="dxa"/>
          </w:tcPr>
          <w:p w:rsidR="00A33A9D" w:rsidRPr="00A33A9D" w:rsidRDefault="00A33A9D" w:rsidP="00D34C43">
            <w:pPr>
              <w:ind w:right="40"/>
              <w:jc w:val="both"/>
              <w:rPr>
                <w:sz w:val="22"/>
                <w:szCs w:val="22"/>
              </w:rPr>
            </w:pPr>
            <w:r w:rsidRPr="00A33A9D">
              <w:rPr>
                <w:sz w:val="22"/>
                <w:szCs w:val="22"/>
              </w:rPr>
              <w:t>11.</w:t>
            </w:r>
          </w:p>
        </w:tc>
        <w:tc>
          <w:tcPr>
            <w:tcW w:w="3969" w:type="dxa"/>
          </w:tcPr>
          <w:p w:rsidR="00A33A9D" w:rsidRPr="00A33A9D" w:rsidRDefault="00A33A9D" w:rsidP="00D34C43">
            <w:pPr>
              <w:ind w:right="40"/>
              <w:jc w:val="both"/>
              <w:rPr>
                <w:i/>
                <w:sz w:val="22"/>
                <w:szCs w:val="22"/>
              </w:rPr>
            </w:pPr>
            <w:r w:rsidRPr="00A33A9D">
              <w:rPr>
                <w:i/>
                <w:sz w:val="22"/>
                <w:szCs w:val="22"/>
              </w:rPr>
              <w:t>8.1.3.</w:t>
            </w:r>
            <w:r w:rsidRPr="00A33A9D">
              <w:rPr>
                <w:i/>
                <w:sz w:val="22"/>
                <w:szCs w:val="22"/>
              </w:rPr>
              <w:tab/>
              <w:t>Jei aktualu, Grafike turi būti pažymėta, kurios Paslaugos gali būti teikiamos lygiagrečiai, o kurios gali būti teikiamos tik numatytu eiliškumu.</w:t>
            </w:r>
          </w:p>
          <w:p w:rsidR="00A33A9D" w:rsidRPr="00A33A9D" w:rsidRDefault="00A33A9D" w:rsidP="00D34C43">
            <w:pPr>
              <w:ind w:right="40"/>
              <w:jc w:val="both"/>
              <w:rPr>
                <w:i/>
                <w:sz w:val="22"/>
                <w:szCs w:val="22"/>
              </w:rPr>
            </w:pPr>
          </w:p>
          <w:p w:rsidR="00A33A9D" w:rsidRPr="00A33A9D" w:rsidRDefault="00A33A9D" w:rsidP="00D34C43">
            <w:pPr>
              <w:ind w:right="40"/>
              <w:jc w:val="both"/>
              <w:rPr>
                <w:i/>
                <w:sz w:val="22"/>
                <w:szCs w:val="22"/>
              </w:rPr>
            </w:pPr>
            <w:r w:rsidRPr="00A33A9D">
              <w:rPr>
                <w:i/>
                <w:sz w:val="22"/>
                <w:szCs w:val="22"/>
              </w:rPr>
              <w:t xml:space="preserve">Techninės priežiūros paslaugų atlikimo grafikas atspindi rangovo grafiką.  </w:t>
            </w:r>
          </w:p>
        </w:tc>
        <w:tc>
          <w:tcPr>
            <w:tcW w:w="5239" w:type="dxa"/>
          </w:tcPr>
          <w:p w:rsidR="00A33A9D" w:rsidRPr="00A33A9D" w:rsidRDefault="00A33A9D" w:rsidP="00D34C43">
            <w:pPr>
              <w:ind w:right="40"/>
              <w:jc w:val="both"/>
              <w:rPr>
                <w:sz w:val="22"/>
                <w:szCs w:val="22"/>
              </w:rPr>
            </w:pPr>
            <w:r w:rsidRPr="00A33A9D">
              <w:rPr>
                <w:sz w:val="22"/>
                <w:szCs w:val="22"/>
              </w:rPr>
              <w:t>Informuojame, kad šis sutarties punktas taikomas kartu su sutarties bendrosios dalies 8.1.2 punktu „</w:t>
            </w:r>
            <w:r w:rsidRPr="00A33A9D">
              <w:rPr>
                <w:i/>
                <w:sz w:val="22"/>
                <w:szCs w:val="22"/>
              </w:rPr>
              <w:t xml:space="preserve">8.1.2. </w:t>
            </w:r>
            <w:r w:rsidRPr="00A33A9D">
              <w:rPr>
                <w:b/>
                <w:i/>
                <w:sz w:val="22"/>
                <w:szCs w:val="22"/>
                <w:u w:val="single"/>
              </w:rPr>
              <w:t>Jei taikytina,</w:t>
            </w:r>
            <w:r w:rsidRPr="00A33A9D">
              <w:rPr>
                <w:i/>
                <w:sz w:val="22"/>
                <w:szCs w:val="22"/>
              </w:rPr>
              <w:t xml:space="preserve"> Pirkėjas privalo ne vėliau kaip per 14 (keturiolika) darbo dienų nuo Sutarties įsigaliojimo arba per kitą pirkimo dokumentuose nurodytą terminą parengti ir pateikti Tiekėjui suderinimui Paslaugų teikimo grafiką (toliau – </w:t>
            </w:r>
            <w:r w:rsidRPr="00A33A9D">
              <w:rPr>
                <w:b/>
                <w:bCs/>
                <w:i/>
                <w:sz w:val="22"/>
                <w:szCs w:val="22"/>
              </w:rPr>
              <w:t>Grafikas</w:t>
            </w:r>
            <w:r w:rsidRPr="00A33A9D">
              <w:rPr>
                <w:i/>
                <w:sz w:val="22"/>
                <w:szCs w:val="22"/>
              </w:rPr>
              <w:t xml:space="preserve">).“, </w:t>
            </w:r>
            <w:r w:rsidRPr="00A33A9D">
              <w:rPr>
                <w:sz w:val="22"/>
                <w:szCs w:val="22"/>
              </w:rPr>
              <w:t>ir tik tada,</w:t>
            </w:r>
            <w:r w:rsidRPr="00A33A9D">
              <w:rPr>
                <w:i/>
                <w:sz w:val="22"/>
                <w:szCs w:val="22"/>
              </w:rPr>
              <w:t xml:space="preserve"> </w:t>
            </w:r>
            <w:r w:rsidRPr="00A33A9D">
              <w:rPr>
                <w:sz w:val="22"/>
                <w:szCs w:val="22"/>
              </w:rPr>
              <w:t>jeigu specialiojoje dalyje būtų nurodyta, kad bus sudaromos grafikas.</w:t>
            </w:r>
          </w:p>
        </w:tc>
      </w:tr>
      <w:tr w:rsidR="00A33A9D" w:rsidRPr="00A33A9D" w:rsidTr="00D34C43">
        <w:tc>
          <w:tcPr>
            <w:tcW w:w="704" w:type="dxa"/>
          </w:tcPr>
          <w:p w:rsidR="00A33A9D" w:rsidRPr="00A33A9D" w:rsidRDefault="00A33A9D" w:rsidP="00D34C43">
            <w:pPr>
              <w:ind w:right="40"/>
              <w:jc w:val="both"/>
              <w:rPr>
                <w:sz w:val="22"/>
                <w:szCs w:val="22"/>
              </w:rPr>
            </w:pPr>
            <w:r w:rsidRPr="00A33A9D">
              <w:rPr>
                <w:sz w:val="22"/>
                <w:szCs w:val="22"/>
              </w:rPr>
              <w:t xml:space="preserve">12. </w:t>
            </w:r>
          </w:p>
        </w:tc>
        <w:tc>
          <w:tcPr>
            <w:tcW w:w="3969" w:type="dxa"/>
          </w:tcPr>
          <w:p w:rsidR="00A33A9D" w:rsidRPr="00A33A9D" w:rsidRDefault="00A33A9D" w:rsidP="00D34C43">
            <w:pPr>
              <w:ind w:right="40"/>
              <w:jc w:val="both"/>
              <w:rPr>
                <w:i/>
                <w:sz w:val="22"/>
                <w:szCs w:val="22"/>
              </w:rPr>
            </w:pPr>
            <w:r w:rsidRPr="00A33A9D">
              <w:rPr>
                <w:i/>
                <w:sz w:val="22"/>
                <w:szCs w:val="22"/>
              </w:rPr>
              <w:t>23.</w:t>
            </w:r>
            <w:r w:rsidRPr="00A33A9D">
              <w:rPr>
                <w:i/>
                <w:sz w:val="22"/>
                <w:szCs w:val="22"/>
              </w:rPr>
              <w:tab/>
              <w:t>PREKIŲ MODELIO AR GAMINTOJO KEITIMAS</w:t>
            </w:r>
          </w:p>
          <w:p w:rsidR="00A33A9D" w:rsidRPr="00A33A9D" w:rsidRDefault="00A33A9D" w:rsidP="00D34C43">
            <w:pPr>
              <w:ind w:right="40"/>
              <w:jc w:val="both"/>
              <w:rPr>
                <w:i/>
                <w:sz w:val="22"/>
                <w:szCs w:val="22"/>
              </w:rPr>
            </w:pPr>
            <w:r w:rsidRPr="00A33A9D">
              <w:rPr>
                <w:i/>
                <w:sz w:val="22"/>
                <w:szCs w:val="22"/>
              </w:rPr>
              <w:tab/>
              <w:t>23.1. Tais atvejais, kai kartu su Paslaugomis yra perkamos prekės, Tiekėjas turi teisę keisti prekių modelį ir (ar) gamintoją, jei yra visos toliau nurodytos sąlygos:</w:t>
            </w:r>
          </w:p>
          <w:p w:rsidR="00A33A9D" w:rsidRPr="00A33A9D" w:rsidRDefault="00A33A9D" w:rsidP="00D34C43">
            <w:pPr>
              <w:ind w:right="40"/>
              <w:jc w:val="both"/>
              <w:rPr>
                <w:i/>
                <w:sz w:val="22"/>
                <w:szCs w:val="22"/>
              </w:rPr>
            </w:pPr>
            <w:r w:rsidRPr="00A33A9D">
              <w:rPr>
                <w:i/>
                <w:sz w:val="22"/>
                <w:szCs w:val="22"/>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w:t>
            </w:r>
            <w:r w:rsidRPr="00A33A9D">
              <w:rPr>
                <w:i/>
                <w:sz w:val="22"/>
                <w:szCs w:val="22"/>
              </w:rPr>
              <w:lastRenderedPageBreak/>
              <w:t>gamintojas neatitinka VPĮ 45 straipsnio 21 dalies nuostatų;</w:t>
            </w:r>
          </w:p>
          <w:p w:rsidR="00A33A9D" w:rsidRPr="00A33A9D" w:rsidRDefault="00A33A9D" w:rsidP="00D34C43">
            <w:pPr>
              <w:ind w:right="40"/>
              <w:jc w:val="both"/>
              <w:rPr>
                <w:i/>
                <w:sz w:val="22"/>
                <w:szCs w:val="22"/>
              </w:rPr>
            </w:pPr>
            <w:r w:rsidRPr="00A33A9D">
              <w:rPr>
                <w:i/>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A33A9D" w:rsidRPr="00A33A9D" w:rsidRDefault="00A33A9D" w:rsidP="00D34C43">
            <w:pPr>
              <w:ind w:right="40"/>
              <w:jc w:val="both"/>
              <w:rPr>
                <w:i/>
                <w:sz w:val="22"/>
                <w:szCs w:val="22"/>
              </w:rPr>
            </w:pPr>
            <w:r w:rsidRPr="00A33A9D">
              <w:rPr>
                <w:i/>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rsidR="00A33A9D" w:rsidRPr="00A33A9D" w:rsidRDefault="00A33A9D" w:rsidP="00D34C43">
            <w:pPr>
              <w:ind w:right="40"/>
              <w:jc w:val="both"/>
              <w:rPr>
                <w:i/>
                <w:sz w:val="22"/>
                <w:szCs w:val="22"/>
              </w:rPr>
            </w:pPr>
            <w:r w:rsidRPr="00A33A9D">
              <w:rPr>
                <w:i/>
                <w:sz w:val="22"/>
                <w:szCs w:val="22"/>
              </w:rPr>
              <w:t>23.1.4. Šalys sudarė rašytinį Susitarimą prie Sutarties dėl prekių keitimo.</w:t>
            </w:r>
          </w:p>
          <w:p w:rsidR="00A33A9D" w:rsidRPr="00A33A9D" w:rsidRDefault="00A33A9D" w:rsidP="00D34C43">
            <w:pPr>
              <w:ind w:right="40"/>
              <w:jc w:val="both"/>
              <w:rPr>
                <w:i/>
                <w:sz w:val="22"/>
                <w:szCs w:val="22"/>
              </w:rPr>
            </w:pPr>
            <w:r w:rsidRPr="00A33A9D">
              <w:rPr>
                <w:i/>
                <w:sz w:val="22"/>
                <w:szCs w:val="22"/>
              </w:rPr>
              <w:t>23.2. Šiame Bendrųjų sąlygų skyriuje nurodytu atveju prekės turi būti pristatytos už ne didesnę nei pasiūlyme nurodytą kainą.</w:t>
            </w:r>
          </w:p>
          <w:p w:rsidR="00A33A9D" w:rsidRPr="00A33A9D" w:rsidRDefault="00A33A9D" w:rsidP="00D34C43">
            <w:pPr>
              <w:ind w:right="40"/>
              <w:jc w:val="both"/>
              <w:rPr>
                <w:i/>
                <w:sz w:val="22"/>
                <w:szCs w:val="22"/>
              </w:rPr>
            </w:pPr>
          </w:p>
          <w:p w:rsidR="00A33A9D" w:rsidRPr="00A33A9D" w:rsidRDefault="00A33A9D" w:rsidP="00D34C43">
            <w:pPr>
              <w:ind w:right="40"/>
              <w:jc w:val="both"/>
              <w:rPr>
                <w:i/>
                <w:sz w:val="22"/>
                <w:szCs w:val="22"/>
              </w:rPr>
            </w:pPr>
            <w:r w:rsidRPr="00A33A9D">
              <w:rPr>
                <w:i/>
                <w:sz w:val="22"/>
                <w:szCs w:val="22"/>
              </w:rPr>
              <w:t xml:space="preserve">Šis sutarties skyrius nesusijęs su perkamomis techninės priežiūros paslaugomis. </w:t>
            </w:r>
          </w:p>
          <w:p w:rsidR="00A33A9D" w:rsidRPr="00A33A9D" w:rsidRDefault="00A33A9D" w:rsidP="00D34C43">
            <w:pPr>
              <w:ind w:right="40"/>
              <w:jc w:val="both"/>
              <w:rPr>
                <w:i/>
                <w:sz w:val="22"/>
                <w:szCs w:val="22"/>
              </w:rPr>
            </w:pPr>
            <w:r w:rsidRPr="00A33A9D">
              <w:rPr>
                <w:i/>
                <w:sz w:val="22"/>
                <w:szCs w:val="22"/>
              </w:rPr>
              <w:t>Parašome panaikinti sutarties skyrių.</w:t>
            </w:r>
          </w:p>
        </w:tc>
        <w:tc>
          <w:tcPr>
            <w:tcW w:w="5239" w:type="dxa"/>
          </w:tcPr>
          <w:p w:rsidR="00A33A9D" w:rsidRPr="00A33A9D" w:rsidRDefault="00A33A9D" w:rsidP="00D34C43">
            <w:pPr>
              <w:ind w:right="40"/>
              <w:jc w:val="both"/>
              <w:rPr>
                <w:sz w:val="22"/>
                <w:szCs w:val="22"/>
              </w:rPr>
            </w:pPr>
            <w:r w:rsidRPr="00A33A9D">
              <w:rPr>
                <w:sz w:val="22"/>
                <w:szCs w:val="22"/>
              </w:rPr>
              <w:lastRenderedPageBreak/>
              <w:t>Pažymime, kad Sutarties bendrosios dalies 23.1 punkte aiškiai nurodyta, kokiais atvejais taikomas šis punktas, t.y. tik tais atvejais, kai kartu su Paslaugomis yra perkamos prekės.</w:t>
            </w:r>
          </w:p>
          <w:p w:rsidR="00A33A9D" w:rsidRPr="00A33A9D" w:rsidRDefault="00A33A9D" w:rsidP="00D34C43">
            <w:pPr>
              <w:ind w:right="40"/>
              <w:jc w:val="both"/>
              <w:rPr>
                <w:sz w:val="22"/>
                <w:szCs w:val="22"/>
              </w:rPr>
            </w:pPr>
          </w:p>
          <w:p w:rsidR="00A33A9D" w:rsidRPr="00A33A9D" w:rsidRDefault="00A33A9D" w:rsidP="00D34C43">
            <w:pPr>
              <w:ind w:right="40"/>
              <w:jc w:val="both"/>
              <w:rPr>
                <w:sz w:val="22"/>
                <w:szCs w:val="22"/>
              </w:rPr>
            </w:pPr>
          </w:p>
        </w:tc>
      </w:tr>
      <w:bookmarkEnd w:id="0"/>
    </w:tbl>
    <w:p w:rsidR="00FF7F56" w:rsidRDefault="00FF7F56" w:rsidP="004C6BF3">
      <w:pPr>
        <w:tabs>
          <w:tab w:val="left" w:pos="851"/>
        </w:tabs>
        <w:ind w:firstLine="567"/>
        <w:jc w:val="both"/>
        <w:outlineLvl w:val="0"/>
        <w:rPr>
          <w:spacing w:val="4"/>
          <w:sz w:val="24"/>
          <w:szCs w:val="24"/>
        </w:rPr>
      </w:pPr>
    </w:p>
    <w:p w:rsidR="00475F3B" w:rsidRDefault="00475F3B" w:rsidP="004C6BF3">
      <w:pPr>
        <w:tabs>
          <w:tab w:val="left" w:pos="851"/>
        </w:tabs>
        <w:ind w:firstLine="567"/>
        <w:jc w:val="both"/>
        <w:outlineLvl w:val="0"/>
        <w:rPr>
          <w:spacing w:val="4"/>
          <w:sz w:val="24"/>
          <w:szCs w:val="24"/>
        </w:rPr>
      </w:pPr>
    </w:p>
    <w:p w:rsidR="007A5214" w:rsidRPr="0091624C" w:rsidRDefault="007A5214" w:rsidP="007A5214">
      <w:pPr>
        <w:jc w:val="both"/>
        <w:rPr>
          <w:sz w:val="24"/>
          <w:szCs w:val="24"/>
        </w:rPr>
      </w:pPr>
    </w:p>
    <w:p w:rsidR="00AE1574" w:rsidRDefault="00712160" w:rsidP="000E461E">
      <w:pPr>
        <w:jc w:val="right"/>
      </w:pPr>
      <w:r w:rsidRPr="00896B61">
        <w:rPr>
          <w:sz w:val="24"/>
          <w:szCs w:val="24"/>
        </w:rPr>
        <w:t>VIEŠOJO PIRKIMO KOMISIJA</w:t>
      </w:r>
    </w:p>
    <w:p w:rsidR="007A5214" w:rsidRPr="0091624C" w:rsidRDefault="007A5214" w:rsidP="007A5214">
      <w:pPr>
        <w:jc w:val="both"/>
      </w:pPr>
    </w:p>
    <w:p w:rsidR="00C61EF2" w:rsidRPr="00033A01" w:rsidRDefault="00C61EF2" w:rsidP="005A7A40">
      <w:pPr>
        <w:jc w:val="both"/>
        <w:rPr>
          <w:sz w:val="24"/>
          <w:szCs w:val="24"/>
        </w:rPr>
      </w:pPr>
    </w:p>
    <w:sectPr w:rsidR="00C61EF2" w:rsidRPr="00033A01" w:rsidSect="00997E0C">
      <w:pgSz w:w="11906" w:h="16838"/>
      <w:pgMar w:top="1134" w:right="850" w:bottom="719"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5676" w:rsidRDefault="00ED5676" w:rsidP="00475F3B">
      <w:r>
        <w:separator/>
      </w:r>
    </w:p>
  </w:endnote>
  <w:endnote w:type="continuationSeparator" w:id="0">
    <w:p w:rsidR="00ED5676" w:rsidRDefault="00ED5676" w:rsidP="0047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1"/>
    <w:family w:val="roman"/>
    <w:pitch w:val="default"/>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Helvetica Neue">
    <w:altName w:val="Times New Roman"/>
    <w:charset w:val="00"/>
    <w:family w:val="auto"/>
    <w:pitch w:val="variable"/>
    <w:sig w:usb0="E50002FF" w:usb1="500079DB" w:usb2="00000010" w:usb3="00000000" w:csb0="00000001" w:csb1="00000000"/>
  </w:font>
  <w:font w:name="Aptos">
    <w:altName w:val="Arial"/>
    <w:charset w:val="00"/>
    <w:family w:val="swiss"/>
    <w:pitch w:val="variable"/>
    <w:sig w:usb0="00000001" w:usb1="00000003" w:usb2="00000000" w:usb3="00000000" w:csb0="0000019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5676" w:rsidRDefault="00ED5676" w:rsidP="00475F3B">
      <w:r>
        <w:separator/>
      </w:r>
    </w:p>
  </w:footnote>
  <w:footnote w:type="continuationSeparator" w:id="0">
    <w:p w:rsidR="00ED5676" w:rsidRDefault="00ED5676" w:rsidP="0047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5D45F3"/>
    <w:multiLevelType w:val="hybridMultilevel"/>
    <w:tmpl w:val="C1324962"/>
    <w:lvl w:ilvl="0" w:tplc="A3ACA8D2">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68097096"/>
    <w:multiLevelType w:val="hybridMultilevel"/>
    <w:tmpl w:val="EA263D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50E5972"/>
    <w:multiLevelType w:val="hybridMultilevel"/>
    <w:tmpl w:val="973A018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E13"/>
    <w:rsid w:val="00000D31"/>
    <w:rsid w:val="000022CF"/>
    <w:rsid w:val="000159BA"/>
    <w:rsid w:val="000171E8"/>
    <w:rsid w:val="000207F5"/>
    <w:rsid w:val="00024E2D"/>
    <w:rsid w:val="000305A1"/>
    <w:rsid w:val="0003257F"/>
    <w:rsid w:val="00033A01"/>
    <w:rsid w:val="00036C56"/>
    <w:rsid w:val="000427FA"/>
    <w:rsid w:val="00045A67"/>
    <w:rsid w:val="00050CAC"/>
    <w:rsid w:val="000512A0"/>
    <w:rsid w:val="00053554"/>
    <w:rsid w:val="00056310"/>
    <w:rsid w:val="000649BF"/>
    <w:rsid w:val="00070402"/>
    <w:rsid w:val="00076740"/>
    <w:rsid w:val="000767F0"/>
    <w:rsid w:val="00077704"/>
    <w:rsid w:val="00092761"/>
    <w:rsid w:val="00092C6A"/>
    <w:rsid w:val="000A0BE1"/>
    <w:rsid w:val="000A39A6"/>
    <w:rsid w:val="000B1396"/>
    <w:rsid w:val="000B6BED"/>
    <w:rsid w:val="000C22B5"/>
    <w:rsid w:val="000C45B1"/>
    <w:rsid w:val="000E461E"/>
    <w:rsid w:val="000F2305"/>
    <w:rsid w:val="000F2EAC"/>
    <w:rsid w:val="000F79B5"/>
    <w:rsid w:val="00102F2A"/>
    <w:rsid w:val="00103161"/>
    <w:rsid w:val="00103C7C"/>
    <w:rsid w:val="00103E5F"/>
    <w:rsid w:val="00104460"/>
    <w:rsid w:val="00104995"/>
    <w:rsid w:val="00105A20"/>
    <w:rsid w:val="00106D19"/>
    <w:rsid w:val="00113825"/>
    <w:rsid w:val="001254F1"/>
    <w:rsid w:val="001266C5"/>
    <w:rsid w:val="00127273"/>
    <w:rsid w:val="00136866"/>
    <w:rsid w:val="001452DD"/>
    <w:rsid w:val="00153B79"/>
    <w:rsid w:val="00155E8C"/>
    <w:rsid w:val="00157C49"/>
    <w:rsid w:val="001613CE"/>
    <w:rsid w:val="00162946"/>
    <w:rsid w:val="00165561"/>
    <w:rsid w:val="00166281"/>
    <w:rsid w:val="00175B42"/>
    <w:rsid w:val="00176262"/>
    <w:rsid w:val="00176326"/>
    <w:rsid w:val="00177B00"/>
    <w:rsid w:val="001912C7"/>
    <w:rsid w:val="00193462"/>
    <w:rsid w:val="0019581E"/>
    <w:rsid w:val="001A5D68"/>
    <w:rsid w:val="001A7523"/>
    <w:rsid w:val="001B3D21"/>
    <w:rsid w:val="001C612D"/>
    <w:rsid w:val="001D2FB3"/>
    <w:rsid w:val="001E0FC2"/>
    <w:rsid w:val="001E3F6B"/>
    <w:rsid w:val="001F07BF"/>
    <w:rsid w:val="001F5050"/>
    <w:rsid w:val="00210FB9"/>
    <w:rsid w:val="002237B4"/>
    <w:rsid w:val="0022394E"/>
    <w:rsid w:val="00240F80"/>
    <w:rsid w:val="002423B5"/>
    <w:rsid w:val="0024424D"/>
    <w:rsid w:val="00254654"/>
    <w:rsid w:val="002575F3"/>
    <w:rsid w:val="00262AAE"/>
    <w:rsid w:val="002716E1"/>
    <w:rsid w:val="00276EEC"/>
    <w:rsid w:val="002873B4"/>
    <w:rsid w:val="002904E2"/>
    <w:rsid w:val="002942A0"/>
    <w:rsid w:val="002942BE"/>
    <w:rsid w:val="002A24CE"/>
    <w:rsid w:val="002A2897"/>
    <w:rsid w:val="002A3CDE"/>
    <w:rsid w:val="002A77B8"/>
    <w:rsid w:val="002C4C63"/>
    <w:rsid w:val="002E2AA0"/>
    <w:rsid w:val="002E39C4"/>
    <w:rsid w:val="002F6B63"/>
    <w:rsid w:val="002F7661"/>
    <w:rsid w:val="0030022B"/>
    <w:rsid w:val="00303509"/>
    <w:rsid w:val="00312D20"/>
    <w:rsid w:val="00323896"/>
    <w:rsid w:val="00326034"/>
    <w:rsid w:val="00327E13"/>
    <w:rsid w:val="003553D2"/>
    <w:rsid w:val="00357B11"/>
    <w:rsid w:val="00364BC4"/>
    <w:rsid w:val="00365AE6"/>
    <w:rsid w:val="00371F40"/>
    <w:rsid w:val="00374166"/>
    <w:rsid w:val="003759A9"/>
    <w:rsid w:val="003862FB"/>
    <w:rsid w:val="003919BD"/>
    <w:rsid w:val="00391D5A"/>
    <w:rsid w:val="00397F33"/>
    <w:rsid w:val="003A4996"/>
    <w:rsid w:val="003A6FB3"/>
    <w:rsid w:val="003B473A"/>
    <w:rsid w:val="003C48C9"/>
    <w:rsid w:val="003D7E85"/>
    <w:rsid w:val="003E21BA"/>
    <w:rsid w:val="003E7C7A"/>
    <w:rsid w:val="00402B02"/>
    <w:rsid w:val="004076F8"/>
    <w:rsid w:val="00413B51"/>
    <w:rsid w:val="00443933"/>
    <w:rsid w:val="00454F0A"/>
    <w:rsid w:val="00456CD9"/>
    <w:rsid w:val="00457D3F"/>
    <w:rsid w:val="0046051A"/>
    <w:rsid w:val="00461309"/>
    <w:rsid w:val="004668CD"/>
    <w:rsid w:val="004721D5"/>
    <w:rsid w:val="00473F48"/>
    <w:rsid w:val="00475F3B"/>
    <w:rsid w:val="004765DB"/>
    <w:rsid w:val="00481040"/>
    <w:rsid w:val="00481459"/>
    <w:rsid w:val="004902F4"/>
    <w:rsid w:val="00496C45"/>
    <w:rsid w:val="004A26EC"/>
    <w:rsid w:val="004A3960"/>
    <w:rsid w:val="004B47C5"/>
    <w:rsid w:val="004C22B4"/>
    <w:rsid w:val="004C230E"/>
    <w:rsid w:val="004C3E07"/>
    <w:rsid w:val="004C6BF3"/>
    <w:rsid w:val="004D51DF"/>
    <w:rsid w:val="004E69AC"/>
    <w:rsid w:val="004F0FA5"/>
    <w:rsid w:val="004F2D99"/>
    <w:rsid w:val="004F4BA8"/>
    <w:rsid w:val="004F7398"/>
    <w:rsid w:val="00504D5D"/>
    <w:rsid w:val="00511830"/>
    <w:rsid w:val="005231F8"/>
    <w:rsid w:val="00523830"/>
    <w:rsid w:val="00524590"/>
    <w:rsid w:val="005325FE"/>
    <w:rsid w:val="00532C2D"/>
    <w:rsid w:val="00543E1E"/>
    <w:rsid w:val="0055157F"/>
    <w:rsid w:val="005622D4"/>
    <w:rsid w:val="00572485"/>
    <w:rsid w:val="0059176D"/>
    <w:rsid w:val="005A4363"/>
    <w:rsid w:val="005A7A40"/>
    <w:rsid w:val="005B1873"/>
    <w:rsid w:val="005B1EAB"/>
    <w:rsid w:val="005B25E1"/>
    <w:rsid w:val="005C7767"/>
    <w:rsid w:val="005D4506"/>
    <w:rsid w:val="005E3775"/>
    <w:rsid w:val="005E41C4"/>
    <w:rsid w:val="005E5278"/>
    <w:rsid w:val="005F09A5"/>
    <w:rsid w:val="005F4DD1"/>
    <w:rsid w:val="00600FA7"/>
    <w:rsid w:val="00601E55"/>
    <w:rsid w:val="006064ED"/>
    <w:rsid w:val="00610D08"/>
    <w:rsid w:val="0061289B"/>
    <w:rsid w:val="006128C9"/>
    <w:rsid w:val="006222A3"/>
    <w:rsid w:val="0063736A"/>
    <w:rsid w:val="006376E2"/>
    <w:rsid w:val="0064606B"/>
    <w:rsid w:val="006468FA"/>
    <w:rsid w:val="006479CE"/>
    <w:rsid w:val="0065136F"/>
    <w:rsid w:val="00653474"/>
    <w:rsid w:val="00662D96"/>
    <w:rsid w:val="00680AC3"/>
    <w:rsid w:val="00684B15"/>
    <w:rsid w:val="00687309"/>
    <w:rsid w:val="00695BA3"/>
    <w:rsid w:val="0069611F"/>
    <w:rsid w:val="006A160B"/>
    <w:rsid w:val="006A5FCB"/>
    <w:rsid w:val="006A7A5E"/>
    <w:rsid w:val="006B0611"/>
    <w:rsid w:val="006C13F1"/>
    <w:rsid w:val="006D305E"/>
    <w:rsid w:val="006E3466"/>
    <w:rsid w:val="006F1D87"/>
    <w:rsid w:val="00703B8C"/>
    <w:rsid w:val="0070699C"/>
    <w:rsid w:val="00711CA7"/>
    <w:rsid w:val="00712160"/>
    <w:rsid w:val="007249E3"/>
    <w:rsid w:val="007270F2"/>
    <w:rsid w:val="00735E9A"/>
    <w:rsid w:val="0074311A"/>
    <w:rsid w:val="00745D72"/>
    <w:rsid w:val="00745EA0"/>
    <w:rsid w:val="007468CC"/>
    <w:rsid w:val="00752912"/>
    <w:rsid w:val="00753D1E"/>
    <w:rsid w:val="00754C0C"/>
    <w:rsid w:val="00757F2E"/>
    <w:rsid w:val="00774145"/>
    <w:rsid w:val="007833F4"/>
    <w:rsid w:val="00785425"/>
    <w:rsid w:val="00787480"/>
    <w:rsid w:val="00791BE6"/>
    <w:rsid w:val="00793468"/>
    <w:rsid w:val="00795F6B"/>
    <w:rsid w:val="007A5214"/>
    <w:rsid w:val="007A7998"/>
    <w:rsid w:val="007A79F7"/>
    <w:rsid w:val="007B09B8"/>
    <w:rsid w:val="007C71A3"/>
    <w:rsid w:val="007D3A5C"/>
    <w:rsid w:val="007D52C7"/>
    <w:rsid w:val="007E7256"/>
    <w:rsid w:val="007F14BA"/>
    <w:rsid w:val="007F3EFF"/>
    <w:rsid w:val="007F727F"/>
    <w:rsid w:val="008126B9"/>
    <w:rsid w:val="0081713A"/>
    <w:rsid w:val="008209EA"/>
    <w:rsid w:val="008227D1"/>
    <w:rsid w:val="0082695E"/>
    <w:rsid w:val="008275F7"/>
    <w:rsid w:val="00827E9B"/>
    <w:rsid w:val="00830D9F"/>
    <w:rsid w:val="0083755F"/>
    <w:rsid w:val="00842C65"/>
    <w:rsid w:val="0084344A"/>
    <w:rsid w:val="00853513"/>
    <w:rsid w:val="008652B6"/>
    <w:rsid w:val="00865923"/>
    <w:rsid w:val="00880610"/>
    <w:rsid w:val="00885954"/>
    <w:rsid w:val="00887545"/>
    <w:rsid w:val="008967E8"/>
    <w:rsid w:val="008B1E2B"/>
    <w:rsid w:val="008C0575"/>
    <w:rsid w:val="008C699B"/>
    <w:rsid w:val="008D2135"/>
    <w:rsid w:val="008D22BB"/>
    <w:rsid w:val="008D2D3B"/>
    <w:rsid w:val="008D3876"/>
    <w:rsid w:val="008D7D0D"/>
    <w:rsid w:val="008E3AC5"/>
    <w:rsid w:val="008E4894"/>
    <w:rsid w:val="008F1A47"/>
    <w:rsid w:val="008F2198"/>
    <w:rsid w:val="008F4485"/>
    <w:rsid w:val="00900E0E"/>
    <w:rsid w:val="009030D1"/>
    <w:rsid w:val="00903E50"/>
    <w:rsid w:val="00937D9D"/>
    <w:rsid w:val="00943638"/>
    <w:rsid w:val="0094485F"/>
    <w:rsid w:val="00947AD3"/>
    <w:rsid w:val="009551F0"/>
    <w:rsid w:val="0095568E"/>
    <w:rsid w:val="00963E1D"/>
    <w:rsid w:val="009661F4"/>
    <w:rsid w:val="00966994"/>
    <w:rsid w:val="00967C89"/>
    <w:rsid w:val="00972F8C"/>
    <w:rsid w:val="00980BBD"/>
    <w:rsid w:val="00982601"/>
    <w:rsid w:val="00982980"/>
    <w:rsid w:val="00983F87"/>
    <w:rsid w:val="0099205B"/>
    <w:rsid w:val="00997E0C"/>
    <w:rsid w:val="009A3F25"/>
    <w:rsid w:val="009A444C"/>
    <w:rsid w:val="009B0A72"/>
    <w:rsid w:val="009B3696"/>
    <w:rsid w:val="009B5617"/>
    <w:rsid w:val="009C1B81"/>
    <w:rsid w:val="009D3A7E"/>
    <w:rsid w:val="009D3DB0"/>
    <w:rsid w:val="009F4EAF"/>
    <w:rsid w:val="009F677B"/>
    <w:rsid w:val="00A02E70"/>
    <w:rsid w:val="00A07182"/>
    <w:rsid w:val="00A07EEF"/>
    <w:rsid w:val="00A10498"/>
    <w:rsid w:val="00A105B3"/>
    <w:rsid w:val="00A15D87"/>
    <w:rsid w:val="00A2081E"/>
    <w:rsid w:val="00A25714"/>
    <w:rsid w:val="00A33A9D"/>
    <w:rsid w:val="00A35331"/>
    <w:rsid w:val="00A406E8"/>
    <w:rsid w:val="00A50D93"/>
    <w:rsid w:val="00A5660A"/>
    <w:rsid w:val="00A61889"/>
    <w:rsid w:val="00A62D0B"/>
    <w:rsid w:val="00A633BC"/>
    <w:rsid w:val="00A67BA3"/>
    <w:rsid w:val="00A7393E"/>
    <w:rsid w:val="00A75986"/>
    <w:rsid w:val="00A94401"/>
    <w:rsid w:val="00A97ABD"/>
    <w:rsid w:val="00AA7ED1"/>
    <w:rsid w:val="00AB7553"/>
    <w:rsid w:val="00AC2932"/>
    <w:rsid w:val="00AE1574"/>
    <w:rsid w:val="00AE5F7C"/>
    <w:rsid w:val="00AF1930"/>
    <w:rsid w:val="00AF37D0"/>
    <w:rsid w:val="00AF67F4"/>
    <w:rsid w:val="00AF7701"/>
    <w:rsid w:val="00B02BF2"/>
    <w:rsid w:val="00B030B3"/>
    <w:rsid w:val="00B0772D"/>
    <w:rsid w:val="00B239A7"/>
    <w:rsid w:val="00B2472D"/>
    <w:rsid w:val="00B3282A"/>
    <w:rsid w:val="00B36A54"/>
    <w:rsid w:val="00B47876"/>
    <w:rsid w:val="00B47FD8"/>
    <w:rsid w:val="00B51CC3"/>
    <w:rsid w:val="00B53F39"/>
    <w:rsid w:val="00B561A7"/>
    <w:rsid w:val="00B65CEB"/>
    <w:rsid w:val="00B6793E"/>
    <w:rsid w:val="00B7590F"/>
    <w:rsid w:val="00B95215"/>
    <w:rsid w:val="00BA08B4"/>
    <w:rsid w:val="00BA19A5"/>
    <w:rsid w:val="00BA2C76"/>
    <w:rsid w:val="00BA3455"/>
    <w:rsid w:val="00BA714F"/>
    <w:rsid w:val="00BE02EC"/>
    <w:rsid w:val="00BF1204"/>
    <w:rsid w:val="00BF2A30"/>
    <w:rsid w:val="00BF3EF1"/>
    <w:rsid w:val="00C048E4"/>
    <w:rsid w:val="00C12994"/>
    <w:rsid w:val="00C1770E"/>
    <w:rsid w:val="00C17C9B"/>
    <w:rsid w:val="00C26D7C"/>
    <w:rsid w:val="00C27A0E"/>
    <w:rsid w:val="00C3128A"/>
    <w:rsid w:val="00C33EEB"/>
    <w:rsid w:val="00C346AE"/>
    <w:rsid w:val="00C45ACB"/>
    <w:rsid w:val="00C52E97"/>
    <w:rsid w:val="00C61EF2"/>
    <w:rsid w:val="00C62B05"/>
    <w:rsid w:val="00CA3A84"/>
    <w:rsid w:val="00CA7C03"/>
    <w:rsid w:val="00CB3CF8"/>
    <w:rsid w:val="00CB52BB"/>
    <w:rsid w:val="00CB629E"/>
    <w:rsid w:val="00CC470F"/>
    <w:rsid w:val="00CD3307"/>
    <w:rsid w:val="00CD3B55"/>
    <w:rsid w:val="00CD5998"/>
    <w:rsid w:val="00CF0D34"/>
    <w:rsid w:val="00CF695D"/>
    <w:rsid w:val="00D034B1"/>
    <w:rsid w:val="00D0671D"/>
    <w:rsid w:val="00D129EC"/>
    <w:rsid w:val="00D14CBB"/>
    <w:rsid w:val="00D26D36"/>
    <w:rsid w:val="00D37057"/>
    <w:rsid w:val="00D42DB8"/>
    <w:rsid w:val="00D43B00"/>
    <w:rsid w:val="00D527CC"/>
    <w:rsid w:val="00D5380F"/>
    <w:rsid w:val="00D55A59"/>
    <w:rsid w:val="00D85DE7"/>
    <w:rsid w:val="00D91FF5"/>
    <w:rsid w:val="00D93621"/>
    <w:rsid w:val="00DB26D0"/>
    <w:rsid w:val="00DC5A69"/>
    <w:rsid w:val="00DC777E"/>
    <w:rsid w:val="00DF4648"/>
    <w:rsid w:val="00DF5E45"/>
    <w:rsid w:val="00DF7E20"/>
    <w:rsid w:val="00E021CA"/>
    <w:rsid w:val="00E049F9"/>
    <w:rsid w:val="00E0610A"/>
    <w:rsid w:val="00E067A0"/>
    <w:rsid w:val="00E140D5"/>
    <w:rsid w:val="00E4146D"/>
    <w:rsid w:val="00E46D3D"/>
    <w:rsid w:val="00E54DA1"/>
    <w:rsid w:val="00E56473"/>
    <w:rsid w:val="00E61278"/>
    <w:rsid w:val="00E636CF"/>
    <w:rsid w:val="00E75200"/>
    <w:rsid w:val="00E7527C"/>
    <w:rsid w:val="00E7744B"/>
    <w:rsid w:val="00E8273C"/>
    <w:rsid w:val="00E85CC0"/>
    <w:rsid w:val="00E86EF7"/>
    <w:rsid w:val="00E95E79"/>
    <w:rsid w:val="00E96D63"/>
    <w:rsid w:val="00EA0F4C"/>
    <w:rsid w:val="00EA2A19"/>
    <w:rsid w:val="00EA485E"/>
    <w:rsid w:val="00EB1661"/>
    <w:rsid w:val="00EC1487"/>
    <w:rsid w:val="00EC152B"/>
    <w:rsid w:val="00EC2997"/>
    <w:rsid w:val="00ED5676"/>
    <w:rsid w:val="00EE1A15"/>
    <w:rsid w:val="00EE1B90"/>
    <w:rsid w:val="00EE232B"/>
    <w:rsid w:val="00EE396F"/>
    <w:rsid w:val="00EE57AD"/>
    <w:rsid w:val="00F02535"/>
    <w:rsid w:val="00F0334E"/>
    <w:rsid w:val="00F10139"/>
    <w:rsid w:val="00F14357"/>
    <w:rsid w:val="00F159BA"/>
    <w:rsid w:val="00F213E3"/>
    <w:rsid w:val="00F2284C"/>
    <w:rsid w:val="00F30008"/>
    <w:rsid w:val="00F45D27"/>
    <w:rsid w:val="00F544F0"/>
    <w:rsid w:val="00F55CE0"/>
    <w:rsid w:val="00F56ED4"/>
    <w:rsid w:val="00F57B6D"/>
    <w:rsid w:val="00F675A6"/>
    <w:rsid w:val="00F67815"/>
    <w:rsid w:val="00F70502"/>
    <w:rsid w:val="00F72271"/>
    <w:rsid w:val="00F861D6"/>
    <w:rsid w:val="00F90253"/>
    <w:rsid w:val="00F91BDC"/>
    <w:rsid w:val="00F94890"/>
    <w:rsid w:val="00F9668F"/>
    <w:rsid w:val="00FA1F9F"/>
    <w:rsid w:val="00FA5FA9"/>
    <w:rsid w:val="00FA7C6B"/>
    <w:rsid w:val="00FD788B"/>
    <w:rsid w:val="00FE2E95"/>
    <w:rsid w:val="00FF0D6F"/>
    <w:rsid w:val="00FF7EA7"/>
    <w:rsid w:val="00FF7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63DC83"/>
  <w15:chartTrackingRefBased/>
  <w15:docId w15:val="{3864C0C7-394A-4ECB-8DC3-510B05E7D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7E13"/>
    <w:rPr>
      <w:lang w:val="lt-LT"/>
    </w:rPr>
  </w:style>
  <w:style w:type="paragraph" w:styleId="Heading1">
    <w:name w:val="heading 1"/>
    <w:basedOn w:val="Normal"/>
    <w:next w:val="Normal"/>
    <w:qFormat/>
    <w:rsid w:val="00FE2E9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327E13"/>
    <w:pPr>
      <w:keepNext/>
      <w:jc w:val="both"/>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27E13"/>
    <w:pPr>
      <w:tabs>
        <w:tab w:val="center" w:pos="4153"/>
        <w:tab w:val="right" w:pos="8306"/>
      </w:tabs>
    </w:pPr>
    <w:rPr>
      <w:rFonts w:ascii="TimesLT" w:hAnsi="TimesLT"/>
      <w:sz w:val="24"/>
      <w:lang w:val="en-US"/>
    </w:rPr>
  </w:style>
  <w:style w:type="paragraph" w:styleId="BodyText">
    <w:name w:val="Body Text"/>
    <w:basedOn w:val="Normal"/>
    <w:rsid w:val="00327E13"/>
    <w:pPr>
      <w:jc w:val="both"/>
    </w:pPr>
    <w:rPr>
      <w:rFonts w:ascii="TimesLT" w:hAnsi="TimesLT"/>
      <w:sz w:val="24"/>
    </w:rPr>
  </w:style>
  <w:style w:type="paragraph" w:styleId="BodyTextIndent3">
    <w:name w:val="Body Text Indent 3"/>
    <w:basedOn w:val="Normal"/>
    <w:link w:val="BodyTextIndent3Char"/>
    <w:rsid w:val="00327E13"/>
    <w:pPr>
      <w:ind w:firstLine="426"/>
      <w:jc w:val="both"/>
    </w:pPr>
    <w:rPr>
      <w:sz w:val="24"/>
    </w:rPr>
  </w:style>
  <w:style w:type="paragraph" w:styleId="BodyTextIndent2">
    <w:name w:val="Body Text Indent 2"/>
    <w:basedOn w:val="Normal"/>
    <w:link w:val="BodyTextIndent2Char"/>
    <w:rsid w:val="00327E13"/>
    <w:pPr>
      <w:ind w:firstLine="360"/>
      <w:jc w:val="both"/>
    </w:pPr>
    <w:rPr>
      <w:sz w:val="24"/>
    </w:rPr>
  </w:style>
  <w:style w:type="paragraph" w:styleId="Caption">
    <w:name w:val="caption"/>
    <w:basedOn w:val="Normal"/>
    <w:next w:val="Normal"/>
    <w:qFormat/>
    <w:rsid w:val="00FE2E95"/>
    <w:pPr>
      <w:spacing w:before="240" w:after="120"/>
      <w:jc w:val="center"/>
    </w:pPr>
    <w:rPr>
      <w:b/>
      <w:caps/>
      <w:sz w:val="24"/>
    </w:rPr>
  </w:style>
  <w:style w:type="character" w:styleId="Hyperlink">
    <w:name w:val="Hyperlink"/>
    <w:rsid w:val="006D305E"/>
    <w:rPr>
      <w:color w:val="0000FF"/>
      <w:u w:val="single"/>
    </w:rPr>
  </w:style>
  <w:style w:type="paragraph" w:styleId="DocumentMap">
    <w:name w:val="Document Map"/>
    <w:basedOn w:val="Normal"/>
    <w:semiHidden/>
    <w:rsid w:val="002942A0"/>
    <w:pPr>
      <w:shd w:val="clear" w:color="auto" w:fill="000080"/>
    </w:pPr>
    <w:rPr>
      <w:rFonts w:ascii="Tahoma" w:hAnsi="Tahoma" w:cs="Tahoma"/>
    </w:rPr>
  </w:style>
  <w:style w:type="paragraph" w:styleId="BalloonText">
    <w:name w:val="Balloon Text"/>
    <w:basedOn w:val="Normal"/>
    <w:semiHidden/>
    <w:rsid w:val="00102F2A"/>
    <w:rPr>
      <w:rFonts w:ascii="Tahoma" w:hAnsi="Tahoma" w:cs="Tahoma"/>
      <w:sz w:val="16"/>
      <w:szCs w:val="16"/>
    </w:rPr>
  </w:style>
  <w:style w:type="paragraph" w:styleId="BodyTextIndent">
    <w:name w:val="Body Text Indent"/>
    <w:basedOn w:val="Normal"/>
    <w:rsid w:val="00323896"/>
    <w:pPr>
      <w:spacing w:after="120"/>
      <w:ind w:left="283"/>
    </w:pPr>
  </w:style>
  <w:style w:type="table" w:styleId="TableGrid">
    <w:name w:val="Table Grid"/>
    <w:basedOn w:val="TableNormal"/>
    <w:rsid w:val="00BA08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6479CE"/>
    <w:pPr>
      <w:jc w:val="center"/>
    </w:pPr>
    <w:rPr>
      <w:sz w:val="24"/>
    </w:rPr>
  </w:style>
  <w:style w:type="character" w:customStyle="1" w:styleId="TitleChar">
    <w:name w:val="Title Char"/>
    <w:link w:val="Title"/>
    <w:rsid w:val="006479CE"/>
    <w:rPr>
      <w:sz w:val="24"/>
      <w:lang w:eastAsia="en-US"/>
    </w:rPr>
  </w:style>
  <w:style w:type="character" w:customStyle="1" w:styleId="BodyTextIndent2Char">
    <w:name w:val="Body Text Indent 2 Char"/>
    <w:link w:val="BodyTextIndent2"/>
    <w:rsid w:val="006479CE"/>
    <w:rPr>
      <w:sz w:val="24"/>
      <w:lang w:eastAsia="en-US"/>
    </w:rPr>
  </w:style>
  <w:style w:type="character" w:styleId="CommentReference">
    <w:name w:val="annotation reference"/>
    <w:rsid w:val="00113825"/>
    <w:rPr>
      <w:sz w:val="16"/>
      <w:szCs w:val="16"/>
    </w:rPr>
  </w:style>
  <w:style w:type="paragraph" w:styleId="CommentText">
    <w:name w:val="annotation text"/>
    <w:basedOn w:val="Normal"/>
    <w:link w:val="CommentTextChar"/>
    <w:rsid w:val="00113825"/>
  </w:style>
  <w:style w:type="character" w:customStyle="1" w:styleId="CommentTextChar">
    <w:name w:val="Comment Text Char"/>
    <w:link w:val="CommentText"/>
    <w:rsid w:val="00113825"/>
    <w:rPr>
      <w:lang w:eastAsia="en-US"/>
    </w:rPr>
  </w:style>
  <w:style w:type="paragraph" w:styleId="CommentSubject">
    <w:name w:val="annotation subject"/>
    <w:basedOn w:val="CommentText"/>
    <w:next w:val="CommentText"/>
    <w:link w:val="CommentSubjectChar"/>
    <w:rsid w:val="00113825"/>
    <w:rPr>
      <w:b/>
      <w:bCs/>
    </w:rPr>
  </w:style>
  <w:style w:type="character" w:customStyle="1" w:styleId="CommentSubjectChar">
    <w:name w:val="Comment Subject Char"/>
    <w:link w:val="CommentSubject"/>
    <w:rsid w:val="00113825"/>
    <w:rPr>
      <w:b/>
      <w:bCs/>
      <w:lang w:eastAsia="en-US"/>
    </w:rPr>
  </w:style>
  <w:style w:type="character" w:customStyle="1" w:styleId="HeaderChar">
    <w:name w:val="Header Char"/>
    <w:link w:val="Header"/>
    <w:rsid w:val="007A5214"/>
    <w:rPr>
      <w:rFonts w:ascii="TimesLT" w:hAnsi="TimesLT"/>
      <w:sz w:val="24"/>
      <w:lang w:val="en-US" w:eastAsia="en-US"/>
    </w:rPr>
  </w:style>
  <w:style w:type="character" w:customStyle="1" w:styleId="BodyTextIndent3Char">
    <w:name w:val="Body Text Indent 3 Char"/>
    <w:link w:val="BodyTextIndent3"/>
    <w:rsid w:val="007A5214"/>
    <w:rPr>
      <w:sz w:val="24"/>
      <w:lang w:eastAsia="en-US"/>
    </w:rPr>
  </w:style>
  <w:style w:type="paragraph" w:customStyle="1" w:styleId="Lygis1">
    <w:name w:val="Lygis 1"/>
    <w:basedOn w:val="Normal"/>
    <w:autoRedefine/>
    <w:rsid w:val="007A5214"/>
    <w:pPr>
      <w:jc w:val="both"/>
    </w:pPr>
    <w:rPr>
      <w:b/>
      <w:sz w:val="24"/>
      <w:lang w:eastAsia="lt-LT"/>
    </w:rPr>
  </w:style>
  <w:style w:type="paragraph" w:styleId="NormalWeb">
    <w:name w:val="Normal (Web)"/>
    <w:basedOn w:val="Normal"/>
    <w:uiPriority w:val="99"/>
    <w:unhideWhenUsed/>
    <w:rsid w:val="00C346AE"/>
    <w:pPr>
      <w:spacing w:before="100" w:beforeAutospacing="1" w:after="100" w:afterAutospacing="1"/>
    </w:pPr>
    <w:rPr>
      <w:sz w:val="24"/>
      <w:szCs w:val="24"/>
      <w:lang w:val="en-US"/>
    </w:rPr>
  </w:style>
  <w:style w:type="paragraph" w:styleId="ListParagraph">
    <w:name w:val="List Paragraph"/>
    <w:basedOn w:val="Normal"/>
    <w:uiPriority w:val="34"/>
    <w:qFormat/>
    <w:rsid w:val="006468FA"/>
    <w:pPr>
      <w:ind w:left="720"/>
      <w:contextualSpacing/>
    </w:pPr>
  </w:style>
  <w:style w:type="paragraph" w:styleId="FootnoteText">
    <w:name w:val="footnote text"/>
    <w:basedOn w:val="Normal"/>
    <w:link w:val="FootnoteTextChar"/>
    <w:uiPriority w:val="99"/>
    <w:unhideWhenUsed/>
    <w:rsid w:val="00475F3B"/>
    <w:pPr>
      <w:pBdr>
        <w:top w:val="nil"/>
        <w:left w:val="nil"/>
        <w:bottom w:val="nil"/>
        <w:right w:val="nil"/>
        <w:between w:val="nil"/>
        <w:bar w:val="nil"/>
      </w:pBdr>
    </w:pPr>
    <w:rPr>
      <w:rFonts w:eastAsia="Arial Unicode MS"/>
      <w:bdr w:val="nil"/>
      <w:lang w:val="en-US"/>
    </w:rPr>
  </w:style>
  <w:style w:type="character" w:customStyle="1" w:styleId="FootnoteTextChar">
    <w:name w:val="Footnote Text Char"/>
    <w:basedOn w:val="DefaultParagraphFont"/>
    <w:link w:val="FootnoteText"/>
    <w:uiPriority w:val="99"/>
    <w:rsid w:val="00475F3B"/>
    <w:rPr>
      <w:rFonts w:eastAsia="Arial Unicode MS"/>
      <w:bdr w:val="nil"/>
    </w:rPr>
  </w:style>
  <w:style w:type="character" w:styleId="FootnoteReference">
    <w:name w:val="footnote reference"/>
    <w:basedOn w:val="DefaultParagraphFont"/>
    <w:uiPriority w:val="99"/>
    <w:unhideWhenUsed/>
    <w:rsid w:val="00475F3B"/>
    <w:rPr>
      <w:vertAlign w:val="superscript"/>
    </w:rPr>
  </w:style>
  <w:style w:type="paragraph" w:customStyle="1" w:styleId="FreeForm">
    <w:name w:val="Free Form"/>
    <w:rsid w:val="00A105B3"/>
    <w:pPr>
      <w:pBdr>
        <w:top w:val="nil"/>
        <w:left w:val="nil"/>
        <w:bottom w:val="nil"/>
        <w:right w:val="nil"/>
        <w:between w:val="nil"/>
        <w:bar w:val="nil"/>
      </w:pBdr>
    </w:pPr>
    <w:rPr>
      <w:rFonts w:ascii="Helvetica Neue" w:eastAsia="Arial Unicode MS" w:hAnsi="Helvetica Neue" w:cs="Arial Unicode MS"/>
      <w:color w:val="413F3C"/>
      <w:sz w:val="16"/>
      <w:szCs w:val="16"/>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59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D5EB5B66D1BA64D9ABA45DDAFBB5D15" ma:contentTypeVersion="1" ma:contentTypeDescription="Kurkite naują dokumentą." ma:contentTypeScope="" ma:versionID="764571429b1772772ce1189a9bdb47c8">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4FC0C-EE96-4AC3-9D75-D5442C7B66D1}">
  <ds:schemaRefs>
    <ds:schemaRef ds:uri="http://schemas.microsoft.com/sharepoint/v3/contenttype/forms"/>
  </ds:schemaRefs>
</ds:datastoreItem>
</file>

<file path=customXml/itemProps2.xml><?xml version="1.0" encoding="utf-8"?>
<ds:datastoreItem xmlns:ds="http://schemas.openxmlformats.org/officeDocument/2006/customXml" ds:itemID="{1A8EDFE5-C531-47BA-BB9E-839306307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A92AAA5-FF4F-48F0-8B29-E89EC41325E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61B70CA-60D8-4503-A1DD-E99EF5D59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5</Pages>
  <Words>1819</Words>
  <Characters>10374</Characters>
  <Application>Microsoft Office Word</Application>
  <DocSecurity>0</DocSecurity>
  <Lines>86</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KRAŠTO APSAUGOS MINISTERIJOS</vt:lpstr>
      <vt:lpstr>KRAŠTO APSAUGOS MINISTERIJOS</vt:lpstr>
    </vt:vector>
  </TitlesOfParts>
  <Company>LIAT</Company>
  <LinksUpToDate>false</LinksUpToDate>
  <CharactersWithSpaces>12169</CharactersWithSpaces>
  <SharedDoc>false</SharedDoc>
  <HLinks>
    <vt:vector size="6" baseType="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KRAŠTO APSAUGOS MINISTERIJOS</dc:title>
  <dc:subject/>
  <dc:creator>albepov</dc:creator>
  <cp:keywords/>
  <cp:lastModifiedBy>Windows User</cp:lastModifiedBy>
  <cp:revision>94</cp:revision>
  <cp:lastPrinted>2014-06-10T07:15:00Z</cp:lastPrinted>
  <dcterms:created xsi:type="dcterms:W3CDTF">2023-08-09T05:56:00Z</dcterms:created>
  <dcterms:modified xsi:type="dcterms:W3CDTF">2025-07-03T12:46:00Z</dcterms:modified>
</cp:coreProperties>
</file>